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52" w:lineRule="exact"/>
        <w:rPr>
          <w:sz w:val="24"/>
          <w:szCs w:val="24"/>
          <w:color w:val="auto"/>
        </w:rPr>
      </w:pPr>
    </w:p>
    <w:p>
      <w:pPr>
        <w:jc w:val="center"/>
        <w:ind w:left="3020"/>
        <w:spacing w:after="0"/>
        <w:tabs>
          <w:tab w:leader="none" w:pos="220" w:val="left"/>
        </w:tabs>
        <w:rPr>
          <w:sz w:val="20"/>
          <w:szCs w:val="20"/>
          <w:color w:val="auto"/>
        </w:rPr>
      </w:pPr>
      <w:r>
        <w:rPr>
          <w:rFonts w:ascii="Arial" w:cs="Arial" w:eastAsia="Arial" w:hAnsi="Arial"/>
          <w:sz w:val="18"/>
          <w:szCs w:val="18"/>
          <w:b w:val="1"/>
          <w:bCs w:val="1"/>
          <w:color w:val="auto"/>
        </w:rPr>
        <w:t>x</w:t>
        <w:tab/>
        <w:t>QUARTERLY REPORT PURSUANT TO SECTION 13 OR 15(d)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980" w:type="dxa"/>
            <w:vAlign w:val="bottom"/>
            <w:gridSpan w:val="5"/>
          </w:tcPr>
          <w:p>
            <w:pPr>
              <w:jc w:val="center"/>
              <w:ind w:right="3350"/>
              <w:spacing w:after="0"/>
              <w:rPr>
                <w:sz w:val="20"/>
                <w:szCs w:val="20"/>
                <w:color w:val="auto"/>
              </w:rPr>
            </w:pPr>
            <w:r>
              <w:rPr>
                <w:rFonts w:ascii="Arial" w:cs="Arial" w:eastAsia="Arial" w:hAnsi="Arial"/>
                <w:sz w:val="18"/>
                <w:szCs w:val="18"/>
                <w:b w:val="1"/>
                <w:bCs w:val="1"/>
                <w:color w:val="auto"/>
                <w:w w:val="91"/>
              </w:rPr>
              <w:t>For the Quarterly Period Ended June 30, 2014</w:t>
            </w:r>
          </w:p>
        </w:tc>
      </w:tr>
      <w:tr>
        <w:trPr>
          <w:trHeight w:val="459"/>
        </w:trPr>
        <w:tc>
          <w:tcPr>
            <w:tcW w:w="2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500" w:type="dxa"/>
            <w:vAlign w:val="bottom"/>
            <w:gridSpan w:val="4"/>
          </w:tcPr>
          <w:p>
            <w:pPr>
              <w:jc w:val="center"/>
              <w:ind w:right="4830"/>
              <w:spacing w:after="0"/>
              <w:rPr>
                <w:sz w:val="20"/>
                <w:szCs w:val="20"/>
                <w:color w:val="auto"/>
              </w:rPr>
            </w:pPr>
            <w:r>
              <w:rPr>
                <w:rFonts w:ascii="Arial" w:cs="Arial" w:eastAsia="Arial" w:hAnsi="Arial"/>
                <w:sz w:val="18"/>
                <w:szCs w:val="18"/>
                <w:b w:val="1"/>
                <w:bCs w:val="1"/>
                <w:color w:val="auto"/>
                <w:w w:val="96"/>
              </w:rPr>
              <w:t>OR</w:t>
            </w:r>
          </w:p>
        </w:tc>
      </w:tr>
      <w:tr>
        <w:trPr>
          <w:trHeight w:val="441"/>
        </w:trPr>
        <w:tc>
          <w:tcPr>
            <w:tcW w:w="2880" w:type="dxa"/>
            <w:vAlign w:val="bottom"/>
          </w:tcPr>
          <w:p>
            <w:pPr>
              <w:spacing w:after="0"/>
              <w:rPr>
                <w:sz w:val="24"/>
                <w:szCs w:val="24"/>
                <w:color w:val="auto"/>
              </w:rPr>
            </w:pPr>
          </w:p>
        </w:tc>
        <w:tc>
          <w:tcPr>
            <w:tcW w:w="8540" w:type="dxa"/>
            <w:vAlign w:val="bottom"/>
            <w:gridSpan w:val="6"/>
          </w:tcPr>
          <w:p>
            <w:pPr>
              <w:jc w:val="center"/>
              <w:ind w:right="2770"/>
              <w:spacing w:after="0"/>
              <w:rPr>
                <w:sz w:val="20"/>
                <w:szCs w:val="20"/>
                <w:color w:val="auto"/>
              </w:rPr>
            </w:pPr>
            <w:r>
              <w:rPr>
                <w:rFonts w:ascii="Arial" w:cs="Arial" w:eastAsia="Arial" w:hAnsi="Arial"/>
                <w:sz w:val="18"/>
                <w:szCs w:val="18"/>
                <w:b w:val="1"/>
                <w:bCs w:val="1"/>
                <w:color w:val="auto"/>
                <w:w w:val="99"/>
              </w:rPr>
              <w:t>o   TRANSITION REPORT PURSUANT TO SECTION 13 OR 15(d)</w:t>
            </w:r>
          </w:p>
        </w:tc>
      </w:tr>
      <w:tr>
        <w:trPr>
          <w:trHeight w:val="234"/>
        </w:trPr>
        <w:tc>
          <w:tcPr>
            <w:tcW w:w="2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980" w:type="dxa"/>
            <w:vAlign w:val="bottom"/>
            <w:gridSpan w:val="5"/>
          </w:tcPr>
          <w:p>
            <w:pPr>
              <w:jc w:val="center"/>
              <w:ind w:right="3350"/>
              <w:spacing w:after="0"/>
              <w:rPr>
                <w:sz w:val="20"/>
                <w:szCs w:val="20"/>
                <w:color w:val="auto"/>
              </w:rPr>
            </w:pPr>
            <w:r>
              <w:rPr>
                <w:rFonts w:ascii="Arial" w:cs="Arial" w:eastAsia="Arial" w:hAnsi="Arial"/>
                <w:sz w:val="18"/>
                <w:szCs w:val="18"/>
                <w:b w:val="1"/>
                <w:bCs w:val="1"/>
                <w:color w:val="auto"/>
                <w:w w:val="99"/>
              </w:rPr>
              <w:t>OF THE SECURITIES EXCHANGE ACT OF 1934</w:t>
            </w:r>
          </w:p>
        </w:tc>
      </w:tr>
      <w:tr>
        <w:trPr>
          <w:trHeight w:val="459"/>
        </w:trPr>
        <w:tc>
          <w:tcPr>
            <w:tcW w:w="2880" w:type="dxa"/>
            <w:vAlign w:val="bottom"/>
          </w:tcPr>
          <w:p>
            <w:pPr>
              <w:spacing w:after="0"/>
              <w:rPr>
                <w:sz w:val="24"/>
                <w:szCs w:val="24"/>
                <w:color w:val="auto"/>
              </w:rPr>
            </w:pPr>
          </w:p>
        </w:tc>
        <w:tc>
          <w:tcPr>
            <w:tcW w:w="8540" w:type="dxa"/>
            <w:vAlign w:val="bottom"/>
            <w:gridSpan w:val="6"/>
          </w:tcPr>
          <w:p>
            <w:pPr>
              <w:jc w:val="center"/>
              <w:ind w:right="2770"/>
              <w:spacing w:after="0"/>
              <w:rPr>
                <w:sz w:val="20"/>
                <w:szCs w:val="20"/>
                <w:color w:val="auto"/>
              </w:rPr>
            </w:pPr>
            <w:r>
              <w:rPr>
                <w:rFonts w:ascii="Arial" w:cs="Arial" w:eastAsia="Arial" w:hAnsi="Arial"/>
                <w:sz w:val="18"/>
                <w:szCs w:val="18"/>
                <w:b w:val="1"/>
                <w:bCs w:val="1"/>
                <w:color w:val="auto"/>
                <w:w w:val="90"/>
              </w:rPr>
              <w:t>For the Transition Period from ___________ to ___________</w:t>
            </w:r>
          </w:p>
        </w:tc>
      </w:tr>
      <w:tr>
        <w:trPr>
          <w:trHeight w:val="459"/>
        </w:trPr>
        <w:tc>
          <w:tcPr>
            <w:tcW w:w="2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980" w:type="dxa"/>
            <w:vAlign w:val="bottom"/>
            <w:gridSpan w:val="5"/>
          </w:tcPr>
          <w:p>
            <w:pPr>
              <w:jc w:val="center"/>
              <w:ind w:right="3330"/>
              <w:spacing w:after="0"/>
              <w:rPr>
                <w:sz w:val="20"/>
                <w:szCs w:val="20"/>
                <w:color w:val="auto"/>
              </w:rPr>
            </w:pPr>
            <w:r>
              <w:rPr>
                <w:rFonts w:ascii="Arial" w:cs="Arial" w:eastAsia="Arial" w:hAnsi="Arial"/>
                <w:sz w:val="18"/>
                <w:szCs w:val="18"/>
                <w:b w:val="1"/>
                <w:bCs w:val="1"/>
                <w:color w:val="auto"/>
                <w:w w:val="90"/>
              </w:rPr>
              <w:t>Commission file number 001-35095</w:t>
            </w:r>
          </w:p>
        </w:tc>
      </w:tr>
      <w:tr>
        <w:trPr>
          <w:trHeight w:val="466"/>
        </w:trPr>
        <w:tc>
          <w:tcPr>
            <w:tcW w:w="2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980" w:type="dxa"/>
            <w:vAlign w:val="bottom"/>
            <w:gridSpan w:val="5"/>
          </w:tcPr>
          <w:p>
            <w:pPr>
              <w:jc w:val="center"/>
              <w:ind w:right="3330"/>
              <w:spacing w:after="0"/>
              <w:rPr>
                <w:sz w:val="20"/>
                <w:szCs w:val="20"/>
                <w:color w:val="auto"/>
              </w:rPr>
            </w:pPr>
            <w:r>
              <w:rPr>
                <w:rFonts w:ascii="Arial" w:cs="Arial" w:eastAsia="Arial" w:hAnsi="Arial"/>
                <w:sz w:val="18"/>
                <w:szCs w:val="18"/>
                <w:b w:val="1"/>
                <w:bCs w:val="1"/>
                <w:color w:val="auto"/>
              </w:rPr>
              <w:t>UNITED COMMUNITY BANKS, INC.</w:t>
            </w:r>
          </w:p>
        </w:tc>
      </w:tr>
      <w:tr>
        <w:trPr>
          <w:trHeight w:val="234"/>
        </w:trPr>
        <w:tc>
          <w:tcPr>
            <w:tcW w:w="288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5140" w:type="dxa"/>
            <w:vAlign w:val="bottom"/>
            <w:tcBorders>
              <w:top w:val="single" w:sz="8" w:color="auto"/>
            </w:tcBorders>
            <w:gridSpan w:val="4"/>
          </w:tcPr>
          <w:p>
            <w:pPr>
              <w:jc w:val="center"/>
              <w:ind w:right="49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2840" w:type="dxa"/>
            <w:vAlign w:val="bottom"/>
          </w:tcPr>
          <w:p>
            <w:pPr>
              <w:spacing w:after="0"/>
              <w:rPr>
                <w:sz w:val="20"/>
                <w:szCs w:val="20"/>
                <w:color w:val="auto"/>
              </w:rPr>
            </w:pPr>
          </w:p>
        </w:tc>
      </w:tr>
      <w:tr>
        <w:trPr>
          <w:trHeight w:val="448"/>
        </w:trPr>
        <w:tc>
          <w:tcPr>
            <w:tcW w:w="2880" w:type="dxa"/>
            <w:vAlign w:val="bottom"/>
          </w:tcPr>
          <w:p>
            <w:pPr>
              <w:jc w:val="center"/>
              <w:ind w:left="490"/>
              <w:spacing w:after="0"/>
              <w:rPr>
                <w:sz w:val="20"/>
                <w:szCs w:val="20"/>
                <w:color w:val="auto"/>
              </w:rPr>
            </w:pPr>
            <w:r>
              <w:rPr>
                <w:rFonts w:ascii="Arial" w:cs="Arial" w:eastAsia="Arial" w:hAnsi="Arial"/>
                <w:sz w:val="18"/>
                <w:szCs w:val="18"/>
                <w:b w:val="1"/>
                <w:bCs w:val="1"/>
                <w:color w:val="auto"/>
                <w:w w:val="91"/>
              </w:rPr>
              <w:t>Georgia</w:t>
            </w:r>
          </w:p>
        </w:tc>
        <w:tc>
          <w:tcPr>
            <w:tcW w:w="8540" w:type="dxa"/>
            <w:vAlign w:val="bottom"/>
            <w:gridSpan w:val="6"/>
          </w:tcPr>
          <w:p>
            <w:pPr>
              <w:jc w:val="right"/>
              <w:ind w:right="1190"/>
              <w:spacing w:after="0"/>
              <w:rPr>
                <w:sz w:val="20"/>
                <w:szCs w:val="20"/>
                <w:color w:val="auto"/>
              </w:rPr>
            </w:pPr>
            <w:r>
              <w:rPr>
                <w:rFonts w:ascii="Arial" w:cs="Arial" w:eastAsia="Arial" w:hAnsi="Arial"/>
                <w:sz w:val="18"/>
                <w:szCs w:val="18"/>
                <w:b w:val="1"/>
                <w:bCs w:val="1"/>
                <w:color w:val="auto"/>
              </w:rPr>
              <w:t>58-1807304</w:t>
            </w:r>
          </w:p>
        </w:tc>
      </w:tr>
      <w:tr>
        <w:trPr>
          <w:trHeight w:val="234"/>
        </w:trPr>
        <w:tc>
          <w:tcPr>
            <w:tcW w:w="2880" w:type="dxa"/>
            <w:vAlign w:val="bottom"/>
            <w:tcBorders>
              <w:top w:val="single" w:sz="8" w:color="auto"/>
            </w:tcBorders>
          </w:tcPr>
          <w:p>
            <w:pPr>
              <w:jc w:val="center"/>
              <w:ind w:left="470"/>
              <w:spacing w:after="0"/>
              <w:rPr>
                <w:sz w:val="20"/>
                <w:szCs w:val="20"/>
                <w:color w:val="auto"/>
              </w:rPr>
            </w:pPr>
            <w:r>
              <w:rPr>
                <w:rFonts w:ascii="Arial" w:cs="Arial" w:eastAsia="Arial" w:hAnsi="Arial"/>
                <w:sz w:val="18"/>
                <w:szCs w:val="18"/>
                <w:b w:val="1"/>
                <w:bCs w:val="1"/>
                <w:color w:val="auto"/>
                <w:w w:val="92"/>
              </w:rPr>
              <w:t>(State of Incorporation)</w:t>
            </w:r>
          </w:p>
        </w:tc>
        <w:tc>
          <w:tcPr>
            <w:tcW w:w="560" w:type="dxa"/>
            <w:vAlign w:val="bottom"/>
            <w:tcBorders>
              <w:top w:val="single" w:sz="8" w:color="auto"/>
            </w:tcBorders>
          </w:tcPr>
          <w:p>
            <w:pPr>
              <w:spacing w:after="0"/>
              <w:rPr>
                <w:sz w:val="20"/>
                <w:szCs w:val="20"/>
                <w:color w:val="auto"/>
              </w:rPr>
            </w:pPr>
          </w:p>
        </w:tc>
        <w:tc>
          <w:tcPr>
            <w:tcW w:w="1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4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423"/>
        </w:trPr>
        <w:tc>
          <w:tcPr>
            <w:tcW w:w="2880" w:type="dxa"/>
            <w:vAlign w:val="bottom"/>
          </w:tcPr>
          <w:p>
            <w:pPr>
              <w:jc w:val="center"/>
              <w:ind w:left="490"/>
              <w:spacing w:after="0"/>
              <w:rPr>
                <w:sz w:val="20"/>
                <w:szCs w:val="20"/>
                <w:color w:val="auto"/>
              </w:rPr>
            </w:pPr>
            <w:r>
              <w:rPr>
                <w:rFonts w:ascii="Arial" w:cs="Arial" w:eastAsia="Arial" w:hAnsi="Arial"/>
                <w:sz w:val="18"/>
                <w:szCs w:val="18"/>
                <w:b w:val="1"/>
                <w:bCs w:val="1"/>
                <w:color w:val="auto"/>
                <w:w w:val="90"/>
              </w:rPr>
              <w:t>125 Highway 515 East</w:t>
            </w: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41"/>
        </w:trPr>
        <w:tc>
          <w:tcPr>
            <w:tcW w:w="2880" w:type="dxa"/>
            <w:vAlign w:val="bottom"/>
          </w:tcPr>
          <w:p>
            <w:pPr>
              <w:jc w:val="center"/>
              <w:ind w:left="470"/>
              <w:spacing w:after="0"/>
              <w:rPr>
                <w:sz w:val="20"/>
                <w:szCs w:val="20"/>
                <w:color w:val="auto"/>
              </w:rPr>
            </w:pPr>
            <w:r>
              <w:rPr>
                <w:rFonts w:ascii="Arial" w:cs="Arial" w:eastAsia="Arial" w:hAnsi="Arial"/>
                <w:sz w:val="18"/>
                <w:szCs w:val="18"/>
                <w:b w:val="1"/>
                <w:bCs w:val="1"/>
                <w:color w:val="auto"/>
                <w:w w:val="90"/>
              </w:rPr>
              <w:t>Blairsville, Georgia</w:t>
            </w:r>
          </w:p>
        </w:tc>
        <w:tc>
          <w:tcPr>
            <w:tcW w:w="8540" w:type="dxa"/>
            <w:vAlign w:val="bottom"/>
            <w:gridSpan w:val="6"/>
          </w:tcPr>
          <w:p>
            <w:pPr>
              <w:jc w:val="right"/>
              <w:ind w:right="1390"/>
              <w:spacing w:after="0"/>
              <w:rPr>
                <w:sz w:val="20"/>
                <w:szCs w:val="20"/>
                <w:color w:val="auto"/>
              </w:rPr>
            </w:pPr>
            <w:r>
              <w:rPr>
                <w:rFonts w:ascii="Arial" w:cs="Arial" w:eastAsia="Arial" w:hAnsi="Arial"/>
                <w:sz w:val="18"/>
                <w:szCs w:val="18"/>
                <w:b w:val="1"/>
                <w:bCs w:val="1"/>
                <w:color w:val="auto"/>
              </w:rPr>
              <w:t>30512</w:t>
            </w:r>
          </w:p>
        </w:tc>
      </w:tr>
      <w:tr>
        <w:trPr>
          <w:trHeight w:val="198"/>
        </w:trPr>
        <w:tc>
          <w:tcPr>
            <w:tcW w:w="2880" w:type="dxa"/>
            <w:vAlign w:val="bottom"/>
            <w:tcBorders>
              <w:top w:val="single" w:sz="8" w:color="auto"/>
            </w:tcBorders>
          </w:tcPr>
          <w:p>
            <w:pPr>
              <w:jc w:val="center"/>
              <w:ind w:left="430"/>
              <w:spacing w:after="0" w:line="198" w:lineRule="exact"/>
              <w:rPr>
                <w:sz w:val="20"/>
                <w:szCs w:val="20"/>
                <w:color w:val="auto"/>
              </w:rPr>
            </w:pPr>
            <w:r>
              <w:rPr>
                <w:rFonts w:ascii="Arial" w:cs="Arial" w:eastAsia="Arial" w:hAnsi="Arial"/>
                <w:sz w:val="18"/>
                <w:szCs w:val="18"/>
                <w:b w:val="1"/>
                <w:bCs w:val="1"/>
                <w:color w:val="auto"/>
                <w:w w:val="89"/>
              </w:rPr>
              <w:t>Address of Principal</w:t>
            </w:r>
          </w:p>
        </w:tc>
        <w:tc>
          <w:tcPr>
            <w:tcW w:w="560" w:type="dxa"/>
            <w:vAlign w:val="bottom"/>
            <w:tcBorders>
              <w:top w:val="single" w:sz="8" w:color="auto"/>
            </w:tcBorders>
          </w:tcPr>
          <w:p>
            <w:pPr>
              <w:spacing w:after="0"/>
              <w:rPr>
                <w:sz w:val="17"/>
                <w:szCs w:val="17"/>
                <w:color w:val="auto"/>
              </w:rPr>
            </w:pP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840" w:type="dxa"/>
            <w:vAlign w:val="bottom"/>
            <w:tcBorders>
              <w:top w:val="single" w:sz="8" w:color="auto"/>
            </w:tcBorders>
          </w:tcPr>
          <w:p>
            <w:pPr>
              <w:jc w:val="center"/>
              <w:ind w:right="490"/>
              <w:spacing w:after="0" w:line="198" w:lineRule="exact"/>
              <w:rPr>
                <w:sz w:val="20"/>
                <w:szCs w:val="20"/>
                <w:color w:val="auto"/>
              </w:rPr>
            </w:pPr>
            <w:r>
              <w:rPr>
                <w:rFonts w:ascii="Arial" w:cs="Arial" w:eastAsia="Arial" w:hAnsi="Arial"/>
                <w:sz w:val="18"/>
                <w:szCs w:val="18"/>
                <w:b w:val="1"/>
                <w:bCs w:val="1"/>
                <w:color w:val="auto"/>
                <w:w w:val="92"/>
              </w:rPr>
              <w:t>(Zip Code)</w:t>
            </w:r>
          </w:p>
        </w:tc>
      </w:tr>
      <w:tr>
        <w:trPr>
          <w:trHeight w:val="234"/>
        </w:trPr>
        <w:tc>
          <w:tcPr>
            <w:tcW w:w="2880" w:type="dxa"/>
            <w:vAlign w:val="bottom"/>
          </w:tcPr>
          <w:p>
            <w:pPr>
              <w:jc w:val="center"/>
              <w:ind w:left="490"/>
              <w:spacing w:after="0"/>
              <w:rPr>
                <w:sz w:val="20"/>
                <w:szCs w:val="20"/>
                <w:color w:val="auto"/>
              </w:rPr>
            </w:pPr>
            <w:r>
              <w:rPr>
                <w:rFonts w:ascii="Arial" w:cs="Arial" w:eastAsia="Arial" w:hAnsi="Arial"/>
                <w:sz w:val="18"/>
                <w:szCs w:val="18"/>
                <w:b w:val="1"/>
                <w:bCs w:val="1"/>
                <w:color w:val="auto"/>
                <w:w w:val="89"/>
              </w:rPr>
              <w:t>Executive Offices</w:t>
            </w: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66"/>
        </w:trPr>
        <w:tc>
          <w:tcPr>
            <w:tcW w:w="2880" w:type="dxa"/>
            <w:vAlign w:val="bottom"/>
          </w:tcPr>
          <w:p>
            <w:pPr>
              <w:spacing w:after="0"/>
              <w:rPr>
                <w:sz w:val="24"/>
                <w:szCs w:val="24"/>
                <w:color w:val="auto"/>
              </w:rPr>
            </w:pPr>
          </w:p>
        </w:tc>
        <w:tc>
          <w:tcPr>
            <w:tcW w:w="3620" w:type="dxa"/>
            <w:vAlign w:val="bottom"/>
            <w:gridSpan w:val="3"/>
          </w:tcPr>
          <w:p>
            <w:pPr>
              <w:jc w:val="center"/>
              <w:ind w:left="1930"/>
              <w:spacing w:after="0"/>
              <w:rPr>
                <w:sz w:val="20"/>
                <w:szCs w:val="20"/>
                <w:color w:val="auto"/>
              </w:rPr>
            </w:pPr>
            <w:r>
              <w:rPr>
                <w:rFonts w:ascii="Arial" w:cs="Arial" w:eastAsia="Arial" w:hAnsi="Arial"/>
                <w:sz w:val="18"/>
                <w:szCs w:val="18"/>
                <w:b w:val="1"/>
                <w:bCs w:val="1"/>
                <w:color w:val="auto"/>
                <w:w w:val="90"/>
              </w:rPr>
              <w:t>(706) 781-2265</w:t>
            </w:r>
          </w:p>
        </w:tc>
        <w:tc>
          <w:tcPr>
            <w:tcW w:w="1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34"/>
        </w:trPr>
        <w:tc>
          <w:tcPr>
            <w:tcW w:w="2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(Telephone Number)</w:t>
            </w:r>
          </w:p>
        </w:tc>
        <w:tc>
          <w:tcPr>
            <w:tcW w:w="4920" w:type="dxa"/>
            <w:vAlign w:val="bottom"/>
            <w:gridSpan w:val="3"/>
          </w:tcPr>
          <w:p>
            <w:pPr>
              <w:spacing w:after="0"/>
              <w:rPr>
                <w:sz w:val="20"/>
                <w:szCs w:val="20"/>
                <w:color w:val="auto"/>
              </w:rPr>
            </w:pPr>
          </w:p>
        </w:tc>
      </w:tr>
    </w:tbl>
    <w:p>
      <w:pPr>
        <w:spacing w:after="0" w:line="206"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YES x NO o</w:t>
      </w:r>
    </w:p>
    <w:p>
      <w:pPr>
        <w:spacing w:after="0" w:line="252"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auto"/>
        </w:rPr>
        <w:t>Indicate by check mark whether the registrant has submitted electronically and posted on its corporate Web site, if any, every Interactive Date File required to be submitted and posted pursuant to Rule 405 of Regulation S-T (§232.405 of this chapter) during the preceding 12 months (or for such shorter period that the registrant was required to submit and post such files).</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YES x NO o</w:t>
      </w:r>
    </w:p>
    <w:p>
      <w:pPr>
        <w:spacing w:after="0" w:line="252" w:lineRule="exact"/>
        <w:rPr>
          <w:sz w:val="24"/>
          <w:szCs w:val="24"/>
          <w:color w:val="auto"/>
        </w:rPr>
      </w:pPr>
    </w:p>
    <w:p>
      <w:pPr>
        <w:jc w:val="both"/>
        <w:spacing w:after="0" w:line="313" w:lineRule="auto"/>
        <w:rPr>
          <w:sz w:val="20"/>
          <w:szCs w:val="20"/>
          <w:color w:val="auto"/>
        </w:rPr>
      </w:pPr>
      <w:r>
        <w:rPr>
          <w:rFonts w:ascii="Arial" w:cs="Arial" w:eastAsia="Arial" w:hAnsi="Arial"/>
          <w:sz w:val="17"/>
          <w:szCs w:val="17"/>
          <w:b w:val="1"/>
          <w:bCs w:val="1"/>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165" w:lineRule="exact"/>
        <w:rPr>
          <w:sz w:val="24"/>
          <w:szCs w:val="24"/>
          <w:color w:val="auto"/>
        </w:rPr>
      </w:pPr>
    </w:p>
    <w:p>
      <w:pPr>
        <w:spacing w:after="0"/>
        <w:tabs>
          <w:tab w:leader="none" w:pos="10000" w:val="left"/>
        </w:tabs>
        <w:rPr>
          <w:sz w:val="20"/>
          <w:szCs w:val="20"/>
          <w:color w:val="auto"/>
        </w:rPr>
      </w:pPr>
      <w:r>
        <w:rPr>
          <w:rFonts w:ascii="Arial" w:cs="Arial" w:eastAsia="Arial" w:hAnsi="Arial"/>
          <w:sz w:val="18"/>
          <w:szCs w:val="18"/>
          <w:b w:val="1"/>
          <w:bCs w:val="1"/>
          <w:color w:val="auto"/>
        </w:rPr>
        <w:t>Large accelerated filer x</w:t>
      </w:r>
      <w:r>
        <w:rPr>
          <w:sz w:val="20"/>
          <w:szCs w:val="20"/>
          <w:color w:val="auto"/>
        </w:rPr>
        <w:tab/>
      </w:r>
      <w:r>
        <w:rPr>
          <w:rFonts w:ascii="Arial" w:cs="Arial" w:eastAsia="Arial" w:hAnsi="Arial"/>
          <w:sz w:val="16"/>
          <w:szCs w:val="16"/>
          <w:b w:val="1"/>
          <w:bCs w:val="1"/>
          <w:color w:val="auto"/>
        </w:rPr>
        <w:t>Accelerated filer o</w:t>
      </w:r>
    </w:p>
    <w:p>
      <w:pPr>
        <w:spacing w:after="0" w:line="225" w:lineRule="exact"/>
        <w:rPr>
          <w:sz w:val="24"/>
          <w:szCs w:val="24"/>
          <w:color w:val="auto"/>
        </w:rPr>
      </w:pPr>
    </w:p>
    <w:p>
      <w:pPr>
        <w:spacing w:after="0"/>
        <w:tabs>
          <w:tab w:leader="none" w:pos="9040" w:val="left"/>
        </w:tabs>
        <w:rPr>
          <w:sz w:val="20"/>
          <w:szCs w:val="20"/>
          <w:color w:val="auto"/>
        </w:rPr>
      </w:pPr>
      <w:r>
        <w:rPr>
          <w:rFonts w:ascii="Arial" w:cs="Arial" w:eastAsia="Arial" w:hAnsi="Arial"/>
          <w:sz w:val="18"/>
          <w:szCs w:val="18"/>
          <w:b w:val="1"/>
          <w:bCs w:val="1"/>
          <w:color w:val="auto"/>
        </w:rPr>
        <w:t>Non-accelerated filer o (Do not check if a smaller reporting company)</w:t>
      </w:r>
      <w:r>
        <w:rPr>
          <w:sz w:val="20"/>
          <w:szCs w:val="20"/>
          <w:color w:val="auto"/>
        </w:rPr>
        <w:tab/>
      </w:r>
      <w:r>
        <w:rPr>
          <w:rFonts w:ascii="Arial" w:cs="Arial" w:eastAsia="Arial" w:hAnsi="Arial"/>
          <w:sz w:val="16"/>
          <w:szCs w:val="16"/>
          <w:b w:val="1"/>
          <w:bCs w:val="1"/>
          <w:color w:val="auto"/>
        </w:rPr>
        <w:t>Smaller Reporting Company o</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Indicate by check mark whether the registrant is a shell company (as defined in Rule 12b-2 of the Act).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YES o NO x</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Common stock, par value $1 per share 50,062,635 shares voting and 10,080,787 shares non-voting outstanding as of July 31, 2014.</w:t>
      </w:r>
    </w:p>
    <w:p>
      <w:pPr>
        <w:sectPr>
          <w:pgSz w:w="11900" w:h="16838" w:orient="portrait"/>
          <w:cols w:equalWidth="0" w:num="1">
            <w:col w:w="11420"/>
          </w:cols>
          <w:pgMar w:left="240" w:top="310" w:right="239" w:bottom="1440" w:gutter="0" w:footer="0" w:header="0"/>
        </w:sectPr>
      </w:pP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INDEX</w:t>
      </w:r>
    </w:p>
    <w:p>
      <w:pPr>
        <w:spacing w:after="0" w:line="225"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 Financial Information</w:t>
        </w:r>
      </w:hyperlink>
    </w:p>
    <w:p>
      <w:pPr>
        <w:spacing w:after="0" w:line="212"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540" w:type="dxa"/>
            <w:vAlign w:val="bottom"/>
          </w:tcPr>
          <w:p>
            <w:pPr>
              <w:spacing w:after="0"/>
              <w:rPr>
                <w:rFonts w:ascii="Arial" w:cs="Arial" w:eastAsia="Arial" w:hAnsi="Arial"/>
                <w:sz w:val="18"/>
                <w:szCs w:val="18"/>
                <w:b w:val="1"/>
                <w:bCs w:val="1"/>
                <w:color w:val="0000EE"/>
                <w:w w:val="91"/>
              </w:rPr>
            </w:pPr>
            <w:hyperlink w:anchor="page3">
              <w:r>
                <w:rPr>
                  <w:rFonts w:ascii="Arial" w:cs="Arial" w:eastAsia="Arial" w:hAnsi="Arial"/>
                  <w:sz w:val="18"/>
                  <w:szCs w:val="18"/>
                  <w:b w:val="1"/>
                  <w:bCs w:val="1"/>
                  <w:color w:val="0000EE"/>
                  <w:w w:val="91"/>
                </w:rPr>
                <w:t>Item 1.</w:t>
              </w:r>
            </w:hyperlink>
          </w:p>
        </w:tc>
        <w:tc>
          <w:tcPr>
            <w:tcW w:w="260" w:type="dxa"/>
            <w:vAlign w:val="bottom"/>
          </w:tcPr>
          <w:p>
            <w:pPr>
              <w:spacing w:after="0"/>
              <w:rPr>
                <w:sz w:val="17"/>
                <w:szCs w:val="17"/>
                <w:color w:val="auto"/>
              </w:rPr>
            </w:pPr>
          </w:p>
        </w:tc>
        <w:tc>
          <w:tcPr>
            <w:tcW w:w="9380" w:type="dxa"/>
            <w:vAlign w:val="bottom"/>
            <w:gridSpan w:val="1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Statements.</w:t>
              </w:r>
            </w:hyperlink>
          </w:p>
        </w:tc>
        <w:tc>
          <w:tcPr>
            <w:tcW w:w="420" w:type="dxa"/>
            <w:vAlign w:val="bottom"/>
          </w:tcPr>
          <w:p>
            <w:pPr>
              <w:spacing w:after="0"/>
              <w:rPr>
                <w:sz w:val="17"/>
                <w:szCs w:val="17"/>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300" w:type="dxa"/>
            <w:vAlign w:val="bottom"/>
            <w:tcBorders>
              <w:bottom w:val="single" w:sz="8" w:color="0000EE"/>
            </w:tcBorders>
            <w:gridSpan w:val="10"/>
          </w:tcPr>
          <w:p>
            <w:pPr>
              <w:spacing w:after="0"/>
              <w:rPr>
                <w:rFonts w:ascii="Arial" w:cs="Arial" w:eastAsia="Arial" w:hAnsi="Arial"/>
                <w:sz w:val="18"/>
                <w:szCs w:val="18"/>
                <w:b w:val="1"/>
                <w:bCs w:val="1"/>
                <w:color w:val="0000EE"/>
                <w:w w:val="90"/>
              </w:rPr>
            </w:pPr>
            <w:hyperlink w:anchor="page3">
              <w:r>
                <w:rPr>
                  <w:rFonts w:ascii="Arial" w:cs="Arial" w:eastAsia="Arial" w:hAnsi="Arial"/>
                  <w:sz w:val="18"/>
                  <w:szCs w:val="18"/>
                  <w:b w:val="1"/>
                  <w:bCs w:val="1"/>
                  <w:color w:val="0000EE"/>
                  <w:w w:val="90"/>
                </w:rPr>
                <w:t>Consolidated Statement of Income (unaudited) for the Three and Six Months Ended June 30, 2014 and 2013</w:t>
              </w:r>
            </w:hyperlink>
          </w:p>
        </w:tc>
        <w:tc>
          <w:tcPr>
            <w:tcW w:w="1080" w:type="dxa"/>
            <w:vAlign w:val="bottom"/>
            <w:gridSpan w:val="3"/>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412"/>
        </w:trPr>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380" w:type="dxa"/>
            <w:vAlign w:val="bottom"/>
            <w:gridSpan w:val="13"/>
          </w:tcPr>
          <w:p>
            <w:pPr>
              <w:spacing w:after="0"/>
              <w:rPr>
                <w:rFonts w:ascii="Arial" w:cs="Arial" w:eastAsia="Arial" w:hAnsi="Arial"/>
                <w:sz w:val="18"/>
                <w:szCs w:val="18"/>
                <w:b w:val="1"/>
                <w:bCs w:val="1"/>
                <w:color w:val="0000EE"/>
                <w:w w:val="92"/>
              </w:rPr>
            </w:pPr>
            <w:hyperlink w:anchor="page4">
              <w:r>
                <w:rPr>
                  <w:rFonts w:ascii="Arial" w:cs="Arial" w:eastAsia="Arial" w:hAnsi="Arial"/>
                  <w:sz w:val="18"/>
                  <w:szCs w:val="18"/>
                  <w:b w:val="1"/>
                  <w:bCs w:val="1"/>
                  <w:color w:val="0000EE"/>
                  <w:w w:val="92"/>
                </w:rPr>
                <w:t>Consolidated Statement of Comprehensive Income (unaudited) for the Three and Six Months Ended June 31, 2014 and</w:t>
              </w:r>
            </w:hyperlink>
          </w:p>
        </w:tc>
        <w:tc>
          <w:tcPr>
            <w:tcW w:w="420" w:type="dxa"/>
            <w:vAlign w:val="bottom"/>
          </w:tcPr>
          <w:p>
            <w:pPr>
              <w:spacing w:after="0"/>
              <w:rPr>
                <w:sz w:val="24"/>
                <w:szCs w:val="24"/>
                <w:color w:val="auto"/>
              </w:rPr>
            </w:pPr>
          </w:p>
        </w:tc>
      </w:tr>
      <w:tr>
        <w:trPr>
          <w:trHeight w:val="196"/>
        </w:trPr>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Borders>
              <w:top w:val="single" w:sz="8" w:color="0000EE"/>
            </w:tcBorders>
            <w:gridSpan w:val="2"/>
          </w:tcPr>
          <w:p>
            <w:pPr>
              <w:ind w:left="180"/>
              <w:spacing w:after="0" w:line="196" w:lineRule="exact"/>
              <w:rPr>
                <w:rFonts w:ascii="Arial" w:cs="Arial" w:eastAsia="Arial" w:hAnsi="Arial"/>
                <w:sz w:val="18"/>
                <w:szCs w:val="18"/>
                <w:b w:val="1"/>
                <w:bCs w:val="1"/>
                <w:color w:val="0000EE"/>
                <w:w w:val="84"/>
              </w:rPr>
            </w:pPr>
            <w:hyperlink w:anchor="page4">
              <w:r>
                <w:rPr>
                  <w:rFonts w:ascii="Arial" w:cs="Arial" w:eastAsia="Arial" w:hAnsi="Arial"/>
                  <w:sz w:val="18"/>
                  <w:szCs w:val="18"/>
                  <w:b w:val="1"/>
                  <w:bCs w:val="1"/>
                  <w:color w:val="0000EE"/>
                  <w:w w:val="84"/>
                </w:rPr>
                <w:t>2013</w:t>
              </w:r>
            </w:hyperlink>
          </w:p>
        </w:tc>
        <w:tc>
          <w:tcPr>
            <w:tcW w:w="11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21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w:t>
            </w:r>
          </w:p>
        </w:tc>
      </w:tr>
      <w:tr>
        <w:trPr>
          <w:trHeight w:val="20"/>
        </w:trPr>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340" w:type="dxa"/>
            <w:vAlign w:val="bottom"/>
            <w:tcBorders>
              <w:bottom w:val="single" w:sz="8" w:color="0000EE"/>
            </w:tcBorders>
            <w:gridSpan w:val="8"/>
          </w:tcPr>
          <w:p>
            <w:pPr>
              <w:spacing w:after="0"/>
              <w:rPr>
                <w:rFonts w:ascii="Arial" w:cs="Arial" w:eastAsia="Arial" w:hAnsi="Arial"/>
                <w:sz w:val="18"/>
                <w:szCs w:val="18"/>
                <w:b w:val="1"/>
                <w:bCs w:val="1"/>
                <w:color w:val="0000EE"/>
                <w:w w:val="89"/>
              </w:rPr>
            </w:pPr>
            <w:hyperlink w:anchor="page6">
              <w:r>
                <w:rPr>
                  <w:rFonts w:ascii="Arial" w:cs="Arial" w:eastAsia="Arial" w:hAnsi="Arial"/>
                  <w:sz w:val="18"/>
                  <w:szCs w:val="18"/>
                  <w:b w:val="1"/>
                  <w:bCs w:val="1"/>
                  <w:color w:val="0000EE"/>
                  <w:w w:val="89"/>
                </w:rPr>
                <w:t>Consolidated Balance Sheet (unaudited) at June 30, 2014, December 31, 2013 and June 30, 2013</w:t>
              </w:r>
            </w:hyperlink>
          </w:p>
        </w:tc>
        <w:tc>
          <w:tcPr>
            <w:tcW w:w="2040" w:type="dxa"/>
            <w:vAlign w:val="bottom"/>
            <w:gridSpan w:val="5"/>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412"/>
        </w:trPr>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380" w:type="dxa"/>
            <w:vAlign w:val="bottom"/>
            <w:gridSpan w:val="13"/>
          </w:tcPr>
          <w:p>
            <w:pPr>
              <w:spacing w:after="0"/>
              <w:rPr>
                <w:rFonts w:ascii="Arial" w:cs="Arial" w:eastAsia="Arial" w:hAnsi="Arial"/>
                <w:sz w:val="18"/>
                <w:szCs w:val="18"/>
                <w:b w:val="1"/>
                <w:bCs w:val="1"/>
                <w:color w:val="0000EE"/>
                <w:w w:val="93"/>
              </w:rPr>
            </w:pPr>
            <w:hyperlink w:anchor="page7">
              <w:r>
                <w:rPr>
                  <w:rFonts w:ascii="Arial" w:cs="Arial" w:eastAsia="Arial" w:hAnsi="Arial"/>
                  <w:sz w:val="18"/>
                  <w:szCs w:val="18"/>
                  <w:b w:val="1"/>
                  <w:bCs w:val="1"/>
                  <w:color w:val="0000EE"/>
                  <w:w w:val="93"/>
                </w:rPr>
                <w:t>Consolidated Statement of Changes in Shareholders’ Equity (unaudited) for the Six Months Ended June 30, 2014 and</w:t>
              </w:r>
            </w:hyperlink>
          </w:p>
        </w:tc>
        <w:tc>
          <w:tcPr>
            <w:tcW w:w="420" w:type="dxa"/>
            <w:vAlign w:val="bottom"/>
          </w:tcPr>
          <w:p>
            <w:pPr>
              <w:spacing w:after="0"/>
              <w:rPr>
                <w:sz w:val="24"/>
                <w:szCs w:val="24"/>
                <w:color w:val="auto"/>
              </w:rPr>
            </w:pPr>
          </w:p>
        </w:tc>
      </w:tr>
      <w:tr>
        <w:trPr>
          <w:trHeight w:val="196"/>
        </w:trPr>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Borders>
              <w:top w:val="single" w:sz="8" w:color="0000EE"/>
            </w:tcBorders>
            <w:gridSpan w:val="2"/>
          </w:tcPr>
          <w:p>
            <w:pPr>
              <w:ind w:left="180"/>
              <w:spacing w:after="0" w:line="196" w:lineRule="exact"/>
              <w:rPr>
                <w:rFonts w:ascii="Arial" w:cs="Arial" w:eastAsia="Arial" w:hAnsi="Arial"/>
                <w:sz w:val="18"/>
                <w:szCs w:val="18"/>
                <w:b w:val="1"/>
                <w:bCs w:val="1"/>
                <w:color w:val="0000EE"/>
                <w:w w:val="84"/>
              </w:rPr>
            </w:pPr>
            <w:hyperlink w:anchor="page7">
              <w:r>
                <w:rPr>
                  <w:rFonts w:ascii="Arial" w:cs="Arial" w:eastAsia="Arial" w:hAnsi="Arial"/>
                  <w:sz w:val="18"/>
                  <w:szCs w:val="18"/>
                  <w:b w:val="1"/>
                  <w:bCs w:val="1"/>
                  <w:color w:val="0000EE"/>
                  <w:w w:val="84"/>
                </w:rPr>
                <w:t>2013</w:t>
              </w:r>
            </w:hyperlink>
          </w:p>
        </w:tc>
        <w:tc>
          <w:tcPr>
            <w:tcW w:w="11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1380" w:type="dxa"/>
            <w:vAlign w:val="bottom"/>
            <w:tcBorders>
              <w:top w:val="single" w:sz="8" w:color="0000EE"/>
            </w:tcBorders>
          </w:tcPr>
          <w:p>
            <w:pPr>
              <w:spacing w:after="0"/>
              <w:rPr>
                <w:sz w:val="17"/>
                <w:szCs w:val="17"/>
                <w:color w:val="auto"/>
              </w:rPr>
            </w:pPr>
          </w:p>
        </w:tc>
        <w:tc>
          <w:tcPr>
            <w:tcW w:w="21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w:t>
            </w:r>
          </w:p>
        </w:tc>
      </w:tr>
      <w:tr>
        <w:trPr>
          <w:trHeight w:val="20"/>
        </w:trPr>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2"/>
        </w:trPr>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380" w:type="dxa"/>
            <w:vAlign w:val="bottom"/>
            <w:gridSpan w:val="13"/>
          </w:tcPr>
          <w:p>
            <w:pPr>
              <w:spacing w:after="0"/>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Consolidated Statement of Cash Flows (unaudited) for the Six Months Ended June 30, 2014 and 2013</w:t>
              </w:r>
            </w:hyperlink>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412"/>
        </w:trPr>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760" w:type="dxa"/>
            <w:vAlign w:val="bottom"/>
            <w:tcBorders>
              <w:top w:val="single" w:sz="8" w:color="0000EE"/>
            </w:tcBorders>
            <w:gridSpan w:val="9"/>
          </w:tcPr>
          <w:p>
            <w:pPr>
              <w:spacing w:after="0"/>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Notes to Consolidated Financial Statements</w:t>
              </w:r>
            </w:hyperlink>
          </w:p>
        </w:tc>
        <w:tc>
          <w:tcPr>
            <w:tcW w:w="1620" w:type="dxa"/>
            <w:vAlign w:val="bottom"/>
            <w:gridSpan w:val="4"/>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20"/>
        </w:trPr>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gridSpan w:val="4"/>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500" w:type="dxa"/>
            <w:vAlign w:val="bottom"/>
            <w:gridSpan w:val="6"/>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12"/>
        </w:trPr>
        <w:tc>
          <w:tcPr>
            <w:tcW w:w="540" w:type="dxa"/>
            <w:vAlign w:val="bottom"/>
          </w:tcPr>
          <w:p>
            <w:pPr>
              <w:spacing w:after="0"/>
              <w:rPr>
                <w:rFonts w:ascii="Arial" w:cs="Arial" w:eastAsia="Arial" w:hAnsi="Arial"/>
                <w:sz w:val="18"/>
                <w:szCs w:val="18"/>
                <w:b w:val="1"/>
                <w:bCs w:val="1"/>
                <w:color w:val="0000EE"/>
                <w:w w:val="91"/>
              </w:rPr>
            </w:pPr>
            <w:hyperlink w:anchor="page41">
              <w:r>
                <w:rPr>
                  <w:rFonts w:ascii="Arial" w:cs="Arial" w:eastAsia="Arial" w:hAnsi="Arial"/>
                  <w:sz w:val="18"/>
                  <w:szCs w:val="18"/>
                  <w:b w:val="1"/>
                  <w:bCs w:val="1"/>
                  <w:color w:val="0000EE"/>
                  <w:w w:val="91"/>
                </w:rPr>
                <w:t>Item 2.</w:t>
              </w:r>
            </w:hyperlink>
          </w:p>
        </w:tc>
        <w:tc>
          <w:tcPr>
            <w:tcW w:w="260" w:type="dxa"/>
            <w:vAlign w:val="bottom"/>
          </w:tcPr>
          <w:p>
            <w:pPr>
              <w:spacing w:after="0"/>
              <w:rPr>
                <w:sz w:val="24"/>
                <w:szCs w:val="24"/>
                <w:color w:val="auto"/>
              </w:rPr>
            </w:pPr>
          </w:p>
        </w:tc>
        <w:tc>
          <w:tcPr>
            <w:tcW w:w="9380" w:type="dxa"/>
            <w:vAlign w:val="bottom"/>
            <w:gridSpan w:val="13"/>
          </w:tcPr>
          <w:p>
            <w:pPr>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Management’s Discussion and Analysis of Financial Condition and Results of Operations.</w:t>
              </w:r>
            </w:hyperlink>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36</w:t>
            </w:r>
          </w:p>
        </w:tc>
      </w:tr>
      <w:tr>
        <w:trPr>
          <w:trHeight w:val="412"/>
        </w:trPr>
        <w:tc>
          <w:tcPr>
            <w:tcW w:w="540" w:type="dxa"/>
            <w:vAlign w:val="bottom"/>
            <w:tcBorders>
              <w:top w:val="single" w:sz="8" w:color="0000EE"/>
            </w:tcBorders>
          </w:tcPr>
          <w:p>
            <w:pPr>
              <w:spacing w:after="0"/>
              <w:rPr>
                <w:rFonts w:ascii="Arial" w:cs="Arial" w:eastAsia="Arial" w:hAnsi="Arial"/>
                <w:sz w:val="18"/>
                <w:szCs w:val="18"/>
                <w:b w:val="1"/>
                <w:bCs w:val="1"/>
                <w:color w:val="0000EE"/>
                <w:w w:val="91"/>
              </w:rPr>
            </w:pPr>
            <w:hyperlink w:anchor="page66">
              <w:r>
                <w:rPr>
                  <w:rFonts w:ascii="Arial" w:cs="Arial" w:eastAsia="Arial" w:hAnsi="Arial"/>
                  <w:sz w:val="18"/>
                  <w:szCs w:val="18"/>
                  <w:b w:val="1"/>
                  <w:bCs w:val="1"/>
                  <w:color w:val="0000EE"/>
                  <w:w w:val="91"/>
                </w:rPr>
                <w:t>Item 3.</w:t>
              </w:r>
            </w:hyperlink>
          </w:p>
        </w:tc>
        <w:tc>
          <w:tcPr>
            <w:tcW w:w="260" w:type="dxa"/>
            <w:vAlign w:val="bottom"/>
          </w:tcPr>
          <w:p>
            <w:pPr>
              <w:spacing w:after="0"/>
              <w:rPr>
                <w:sz w:val="24"/>
                <w:szCs w:val="24"/>
                <w:color w:val="auto"/>
              </w:rPr>
            </w:pPr>
          </w:p>
        </w:tc>
        <w:tc>
          <w:tcPr>
            <w:tcW w:w="6880" w:type="dxa"/>
            <w:vAlign w:val="bottom"/>
            <w:tcBorders>
              <w:top w:val="single" w:sz="8" w:color="0000EE"/>
            </w:tcBorders>
            <w:gridSpan w:val="7"/>
          </w:tcPr>
          <w:p>
            <w:pPr>
              <w:spacing w:after="0"/>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Quantitative and Qualitative Disclosures About Market Risk.</w:t>
              </w:r>
            </w:hyperlink>
          </w:p>
        </w:tc>
        <w:tc>
          <w:tcPr>
            <w:tcW w:w="2500" w:type="dxa"/>
            <w:vAlign w:val="bottom"/>
            <w:gridSpan w:val="6"/>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59</w:t>
            </w:r>
          </w:p>
        </w:tc>
      </w:tr>
      <w:tr>
        <w:trPr>
          <w:trHeight w:val="412"/>
        </w:trPr>
        <w:tc>
          <w:tcPr>
            <w:tcW w:w="540" w:type="dxa"/>
            <w:vAlign w:val="bottom"/>
            <w:tcBorders>
              <w:top w:val="single" w:sz="8" w:color="0000EE"/>
            </w:tcBorders>
          </w:tcPr>
          <w:p>
            <w:pPr>
              <w:spacing w:after="0"/>
              <w:rPr>
                <w:rFonts w:ascii="Arial" w:cs="Arial" w:eastAsia="Arial" w:hAnsi="Arial"/>
                <w:sz w:val="18"/>
                <w:szCs w:val="18"/>
                <w:b w:val="1"/>
                <w:bCs w:val="1"/>
                <w:color w:val="0000EE"/>
                <w:w w:val="91"/>
              </w:rPr>
            </w:pPr>
            <w:hyperlink w:anchor="page66">
              <w:r>
                <w:rPr>
                  <w:rFonts w:ascii="Arial" w:cs="Arial" w:eastAsia="Arial" w:hAnsi="Arial"/>
                  <w:sz w:val="18"/>
                  <w:szCs w:val="18"/>
                  <w:b w:val="1"/>
                  <w:bCs w:val="1"/>
                  <w:color w:val="0000EE"/>
                  <w:w w:val="91"/>
                </w:rPr>
                <w:t>Item 4.</w:t>
              </w:r>
            </w:hyperlink>
          </w:p>
        </w:tc>
        <w:tc>
          <w:tcPr>
            <w:tcW w:w="260" w:type="dxa"/>
            <w:vAlign w:val="bottom"/>
          </w:tcPr>
          <w:p>
            <w:pPr>
              <w:spacing w:after="0"/>
              <w:rPr>
                <w:sz w:val="24"/>
                <w:szCs w:val="24"/>
                <w:color w:val="auto"/>
              </w:rPr>
            </w:pPr>
          </w:p>
        </w:tc>
        <w:tc>
          <w:tcPr>
            <w:tcW w:w="4720" w:type="dxa"/>
            <w:vAlign w:val="bottom"/>
            <w:tcBorders>
              <w:top w:val="single" w:sz="8" w:color="0000EE"/>
            </w:tcBorders>
            <w:gridSpan w:val="6"/>
          </w:tcPr>
          <w:p>
            <w:pPr>
              <w:spacing w:after="0"/>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Controls and Procedures.</w:t>
              </w:r>
            </w:hyperlink>
          </w:p>
        </w:tc>
        <w:tc>
          <w:tcPr>
            <w:tcW w:w="4660" w:type="dxa"/>
            <w:vAlign w:val="bottom"/>
            <w:gridSpan w:val="7"/>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59</w:t>
            </w:r>
          </w:p>
        </w:tc>
      </w:tr>
      <w:tr>
        <w:trPr>
          <w:trHeight w:val="20"/>
        </w:trPr>
        <w:tc>
          <w:tcPr>
            <w:tcW w:w="5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rFonts w:ascii="Arial" w:cs="Arial" w:eastAsia="Arial" w:hAnsi="Arial"/>
          <w:sz w:val="18"/>
          <w:szCs w:val="18"/>
          <w:b w:val="1"/>
          <w:bCs w:val="1"/>
          <w:u w:val="single" w:color="auto"/>
          <w:color w:val="0000EE"/>
        </w:rPr>
      </w:pPr>
      <w:hyperlink w:anchor="page67">
        <w:r>
          <w:rPr>
            <w:rFonts w:ascii="Arial" w:cs="Arial" w:eastAsia="Arial" w:hAnsi="Arial"/>
            <w:sz w:val="18"/>
            <w:szCs w:val="18"/>
            <w:b w:val="1"/>
            <w:bCs w:val="1"/>
            <w:u w:val="single" w:color="auto"/>
            <w:color w:val="0000EE"/>
          </w:rPr>
          <w:t>PART II - Other Information</w:t>
        </w:r>
      </w:hyperlink>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18"/>
                <w:szCs w:val="18"/>
                <w:color w:val="auto"/>
              </w:rPr>
            </w:pPr>
          </w:p>
        </w:tc>
        <w:tc>
          <w:tcPr>
            <w:tcW w:w="540" w:type="dxa"/>
            <w:vAlign w:val="bottom"/>
            <w:tcBorders>
              <w:bottom w:val="single" w:sz="8" w:color="0000EE"/>
            </w:tcBorders>
          </w:tcPr>
          <w:p>
            <w:pPr>
              <w:spacing w:after="0"/>
              <w:rPr>
                <w:rFonts w:ascii="Arial" w:cs="Arial" w:eastAsia="Arial" w:hAnsi="Arial"/>
                <w:sz w:val="18"/>
                <w:szCs w:val="18"/>
                <w:b w:val="1"/>
                <w:bCs w:val="1"/>
                <w:color w:val="0000EE"/>
                <w:w w:val="91"/>
              </w:rPr>
            </w:pPr>
            <w:hyperlink w:anchor="page67">
              <w:r>
                <w:rPr>
                  <w:rFonts w:ascii="Arial" w:cs="Arial" w:eastAsia="Arial" w:hAnsi="Arial"/>
                  <w:sz w:val="18"/>
                  <w:szCs w:val="18"/>
                  <w:b w:val="1"/>
                  <w:bCs w:val="1"/>
                  <w:color w:val="0000EE"/>
                  <w:w w:val="91"/>
                </w:rPr>
                <w:t>Item 1.</w:t>
              </w:r>
            </w:hyperlink>
          </w:p>
        </w:tc>
        <w:tc>
          <w:tcPr>
            <w:tcW w:w="20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1460" w:type="dxa"/>
            <w:vAlign w:val="bottom"/>
            <w:tcBorders>
              <w:bottom w:val="single" w:sz="8" w:color="0000EE"/>
            </w:tcBorders>
            <w:gridSpan w:val="3"/>
          </w:tcPr>
          <w:p>
            <w:pPr>
              <w:spacing w:after="0"/>
              <w:rPr>
                <w:rFonts w:ascii="Arial" w:cs="Arial" w:eastAsia="Arial" w:hAnsi="Arial"/>
                <w:sz w:val="18"/>
                <w:szCs w:val="18"/>
                <w:b w:val="1"/>
                <w:bCs w:val="1"/>
                <w:color w:val="0000EE"/>
                <w:w w:val="87"/>
              </w:rPr>
            </w:pPr>
            <w:hyperlink w:anchor="page67">
              <w:r>
                <w:rPr>
                  <w:rFonts w:ascii="Arial" w:cs="Arial" w:eastAsia="Arial" w:hAnsi="Arial"/>
                  <w:sz w:val="18"/>
                  <w:szCs w:val="18"/>
                  <w:b w:val="1"/>
                  <w:bCs w:val="1"/>
                  <w:color w:val="0000EE"/>
                  <w:w w:val="87"/>
                </w:rPr>
                <w:t>Legal Proceedings.</w:t>
              </w:r>
            </w:hyperlink>
          </w:p>
        </w:tc>
        <w:tc>
          <w:tcPr>
            <w:tcW w:w="5660" w:type="dxa"/>
            <w:vAlign w:val="bottom"/>
            <w:gridSpan w:val="5"/>
          </w:tcPr>
          <w:p>
            <w:pPr>
              <w:spacing w:after="0"/>
              <w:rPr>
                <w:sz w:val="18"/>
                <w:szCs w:val="18"/>
                <w:color w:val="auto"/>
              </w:rPr>
            </w:pPr>
          </w:p>
        </w:tc>
        <w:tc>
          <w:tcPr>
            <w:tcW w:w="2680" w:type="dxa"/>
            <w:vAlign w:val="bottom"/>
          </w:tcPr>
          <w:p>
            <w:pPr>
              <w:jc w:val="right"/>
              <w:spacing w:after="0"/>
              <w:rPr>
                <w:sz w:val="20"/>
                <w:szCs w:val="20"/>
                <w:color w:val="auto"/>
              </w:rPr>
            </w:pPr>
            <w:r>
              <w:rPr>
                <w:rFonts w:ascii="Arial" w:cs="Arial" w:eastAsia="Arial" w:hAnsi="Arial"/>
                <w:sz w:val="18"/>
                <w:szCs w:val="18"/>
                <w:b w:val="1"/>
                <w:bCs w:val="1"/>
                <w:color w:val="auto"/>
              </w:rPr>
              <w:t>60</w:t>
            </w:r>
          </w:p>
        </w:tc>
      </w:tr>
      <w:tr>
        <w:trPr>
          <w:trHeight w:val="196"/>
        </w:trPr>
        <w:tc>
          <w:tcPr>
            <w:tcW w:w="820" w:type="dxa"/>
            <w:vAlign w:val="bottom"/>
          </w:tcPr>
          <w:p>
            <w:pPr>
              <w:spacing w:after="0"/>
              <w:rPr>
                <w:sz w:val="17"/>
                <w:szCs w:val="17"/>
                <w:color w:val="auto"/>
              </w:rPr>
            </w:pPr>
          </w:p>
        </w:tc>
        <w:tc>
          <w:tcPr>
            <w:tcW w:w="740" w:type="dxa"/>
            <w:vAlign w:val="bottom"/>
            <w:gridSpan w:val="3"/>
          </w:tcPr>
          <w:p>
            <w:pPr>
              <w:spacing w:after="0" w:line="196" w:lineRule="exact"/>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Item 1A.</w:t>
              </w:r>
            </w:hyperlink>
          </w:p>
        </w:tc>
        <w:tc>
          <w:tcPr>
            <w:tcW w:w="7180" w:type="dxa"/>
            <w:vAlign w:val="bottom"/>
            <w:gridSpan w:val="9"/>
          </w:tcPr>
          <w:p>
            <w:pPr>
              <w:ind w:left="60"/>
              <w:spacing w:after="0" w:line="196" w:lineRule="exact"/>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Risk Factors.</w:t>
              </w:r>
            </w:hyperlink>
          </w:p>
        </w:tc>
        <w:tc>
          <w:tcPr>
            <w:tcW w:w="26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60</w:t>
            </w:r>
          </w:p>
        </w:tc>
      </w:tr>
      <w:tr>
        <w:trPr>
          <w:trHeight w:val="20"/>
        </w:trPr>
        <w:tc>
          <w:tcPr>
            <w:tcW w:w="8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196"/>
        </w:trPr>
        <w:tc>
          <w:tcPr>
            <w:tcW w:w="820" w:type="dxa"/>
            <w:vAlign w:val="bottom"/>
          </w:tcPr>
          <w:p>
            <w:pPr>
              <w:spacing w:after="0"/>
              <w:rPr>
                <w:sz w:val="17"/>
                <w:szCs w:val="17"/>
                <w:color w:val="auto"/>
              </w:rPr>
            </w:pPr>
          </w:p>
        </w:tc>
        <w:tc>
          <w:tcPr>
            <w:tcW w:w="540" w:type="dxa"/>
            <w:vAlign w:val="bottom"/>
          </w:tcPr>
          <w:p>
            <w:pPr>
              <w:spacing w:after="0" w:line="196" w:lineRule="exact"/>
              <w:rPr>
                <w:rFonts w:ascii="Arial" w:cs="Arial" w:eastAsia="Arial" w:hAnsi="Arial"/>
                <w:sz w:val="18"/>
                <w:szCs w:val="18"/>
                <w:b w:val="1"/>
                <w:bCs w:val="1"/>
                <w:color w:val="0000EE"/>
                <w:w w:val="91"/>
              </w:rPr>
            </w:pPr>
            <w:hyperlink w:anchor="page67">
              <w:r>
                <w:rPr>
                  <w:rFonts w:ascii="Arial" w:cs="Arial" w:eastAsia="Arial" w:hAnsi="Arial"/>
                  <w:sz w:val="18"/>
                  <w:szCs w:val="18"/>
                  <w:b w:val="1"/>
                  <w:bCs w:val="1"/>
                  <w:color w:val="0000EE"/>
                  <w:w w:val="91"/>
                </w:rPr>
                <w:t>Item 2.</w:t>
              </w:r>
            </w:hyperlink>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120" w:type="dxa"/>
            <w:vAlign w:val="bottom"/>
            <w:gridSpan w:val="8"/>
          </w:tcPr>
          <w:p>
            <w:pPr>
              <w:spacing w:after="0" w:line="196" w:lineRule="exact"/>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Unregistered Sales of Equity Securities and Use of Proceeds.</w:t>
              </w:r>
            </w:hyperlink>
          </w:p>
        </w:tc>
        <w:tc>
          <w:tcPr>
            <w:tcW w:w="26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60</w:t>
            </w:r>
          </w:p>
        </w:tc>
      </w:tr>
      <w:tr>
        <w:trPr>
          <w:trHeight w:val="196"/>
        </w:trPr>
        <w:tc>
          <w:tcPr>
            <w:tcW w:w="82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b w:val="1"/>
                <w:bCs w:val="1"/>
                <w:color w:val="0000EE"/>
                <w:w w:val="91"/>
              </w:rPr>
            </w:pPr>
            <w:hyperlink w:anchor="page67">
              <w:r>
                <w:rPr>
                  <w:rFonts w:ascii="Arial" w:cs="Arial" w:eastAsia="Arial" w:hAnsi="Arial"/>
                  <w:sz w:val="18"/>
                  <w:szCs w:val="18"/>
                  <w:b w:val="1"/>
                  <w:bCs w:val="1"/>
                  <w:color w:val="0000EE"/>
                  <w:w w:val="91"/>
                </w:rPr>
                <w:t>Item 3.</w:t>
              </w:r>
            </w:hyperlink>
          </w:p>
        </w:tc>
        <w:tc>
          <w:tcPr>
            <w:tcW w:w="20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250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b w:val="1"/>
                <w:bCs w:val="1"/>
                <w:color w:val="0000EE"/>
                <w:w w:val="88"/>
              </w:rPr>
            </w:pPr>
            <w:hyperlink w:anchor="page67">
              <w:r>
                <w:rPr>
                  <w:rFonts w:ascii="Arial" w:cs="Arial" w:eastAsia="Arial" w:hAnsi="Arial"/>
                  <w:sz w:val="18"/>
                  <w:szCs w:val="18"/>
                  <w:b w:val="1"/>
                  <w:bCs w:val="1"/>
                  <w:color w:val="0000EE"/>
                  <w:w w:val="88"/>
                </w:rPr>
                <w:t>Defaults Upon Senior Securities.</w:t>
              </w:r>
            </w:hyperlink>
          </w:p>
        </w:tc>
        <w:tc>
          <w:tcPr>
            <w:tcW w:w="2120" w:type="dxa"/>
            <w:vAlign w:val="bottom"/>
            <w:tcBorders>
              <w:top w:val="single" w:sz="8" w:color="0000EE"/>
            </w:tcBorders>
          </w:tcPr>
          <w:p>
            <w:pPr>
              <w:spacing w:after="0"/>
              <w:rPr>
                <w:sz w:val="17"/>
                <w:szCs w:val="17"/>
                <w:color w:val="auto"/>
              </w:rPr>
            </w:pPr>
          </w:p>
        </w:tc>
        <w:tc>
          <w:tcPr>
            <w:tcW w:w="2500" w:type="dxa"/>
            <w:vAlign w:val="bottom"/>
          </w:tcPr>
          <w:p>
            <w:pPr>
              <w:spacing w:after="0"/>
              <w:rPr>
                <w:sz w:val="17"/>
                <w:szCs w:val="17"/>
                <w:color w:val="auto"/>
              </w:rPr>
            </w:pPr>
          </w:p>
        </w:tc>
        <w:tc>
          <w:tcPr>
            <w:tcW w:w="26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60</w:t>
            </w:r>
          </w:p>
        </w:tc>
      </w:tr>
      <w:tr>
        <w:trPr>
          <w:trHeight w:val="196"/>
        </w:trPr>
        <w:tc>
          <w:tcPr>
            <w:tcW w:w="82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Arial" w:cs="Arial" w:eastAsia="Arial" w:hAnsi="Arial"/>
                <w:sz w:val="18"/>
                <w:szCs w:val="18"/>
                <w:b w:val="1"/>
                <w:bCs w:val="1"/>
                <w:color w:val="0000EE"/>
                <w:w w:val="91"/>
              </w:rPr>
            </w:pPr>
            <w:hyperlink w:anchor="page67">
              <w:r>
                <w:rPr>
                  <w:rFonts w:ascii="Arial" w:cs="Arial" w:eastAsia="Arial" w:hAnsi="Arial"/>
                  <w:sz w:val="18"/>
                  <w:szCs w:val="18"/>
                  <w:b w:val="1"/>
                  <w:bCs w:val="1"/>
                  <w:color w:val="0000EE"/>
                  <w:w w:val="91"/>
                </w:rPr>
                <w:t>Item 4.</w:t>
              </w:r>
            </w:hyperlink>
          </w:p>
        </w:tc>
        <w:tc>
          <w:tcPr>
            <w:tcW w:w="20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1900" w:type="dxa"/>
            <w:vAlign w:val="bottom"/>
            <w:tcBorders>
              <w:bottom w:val="single" w:sz="8" w:color="0000EE"/>
            </w:tcBorders>
            <w:gridSpan w:val="5"/>
          </w:tcPr>
          <w:p>
            <w:pPr>
              <w:spacing w:after="0" w:line="196" w:lineRule="exact"/>
              <w:rPr>
                <w:rFonts w:ascii="Arial" w:cs="Arial" w:eastAsia="Arial" w:hAnsi="Arial"/>
                <w:sz w:val="18"/>
                <w:szCs w:val="18"/>
                <w:b w:val="1"/>
                <w:bCs w:val="1"/>
                <w:color w:val="0000EE"/>
                <w:w w:val="88"/>
              </w:rPr>
            </w:pPr>
            <w:hyperlink w:anchor="page67">
              <w:r>
                <w:rPr>
                  <w:rFonts w:ascii="Arial" w:cs="Arial" w:eastAsia="Arial" w:hAnsi="Arial"/>
                  <w:sz w:val="18"/>
                  <w:szCs w:val="18"/>
                  <w:b w:val="1"/>
                  <w:bCs w:val="1"/>
                  <w:color w:val="0000EE"/>
                  <w:w w:val="88"/>
                </w:rPr>
                <w:t>Mine Safety Disclosures.</w:t>
              </w:r>
            </w:hyperlink>
          </w:p>
        </w:tc>
        <w:tc>
          <w:tcPr>
            <w:tcW w:w="5220" w:type="dxa"/>
            <w:vAlign w:val="bottom"/>
            <w:gridSpan w:val="3"/>
          </w:tcPr>
          <w:p>
            <w:pPr>
              <w:spacing w:after="0"/>
              <w:rPr>
                <w:sz w:val="17"/>
                <w:szCs w:val="17"/>
                <w:color w:val="auto"/>
              </w:rPr>
            </w:pPr>
          </w:p>
        </w:tc>
        <w:tc>
          <w:tcPr>
            <w:tcW w:w="26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60</w:t>
            </w:r>
          </w:p>
        </w:tc>
      </w:tr>
      <w:tr>
        <w:trPr>
          <w:trHeight w:val="196"/>
        </w:trPr>
        <w:tc>
          <w:tcPr>
            <w:tcW w:w="82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Arial" w:cs="Arial" w:eastAsia="Arial" w:hAnsi="Arial"/>
                <w:sz w:val="18"/>
                <w:szCs w:val="18"/>
                <w:b w:val="1"/>
                <w:bCs w:val="1"/>
                <w:color w:val="0000EE"/>
                <w:w w:val="91"/>
              </w:rPr>
            </w:pPr>
            <w:hyperlink w:anchor="page67">
              <w:r>
                <w:rPr>
                  <w:rFonts w:ascii="Arial" w:cs="Arial" w:eastAsia="Arial" w:hAnsi="Arial"/>
                  <w:sz w:val="18"/>
                  <w:szCs w:val="18"/>
                  <w:b w:val="1"/>
                  <w:bCs w:val="1"/>
                  <w:color w:val="0000EE"/>
                  <w:w w:val="91"/>
                </w:rPr>
                <w:t>Item 5.</w:t>
              </w:r>
            </w:hyperlink>
          </w:p>
        </w:tc>
        <w:tc>
          <w:tcPr>
            <w:tcW w:w="20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150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94"/>
              </w:rPr>
            </w:pPr>
            <w:hyperlink w:anchor="page67">
              <w:r>
                <w:rPr>
                  <w:rFonts w:ascii="Arial" w:cs="Arial" w:eastAsia="Arial" w:hAnsi="Arial"/>
                  <w:sz w:val="18"/>
                  <w:szCs w:val="18"/>
                  <w:b w:val="1"/>
                  <w:bCs w:val="1"/>
                  <w:color w:val="0000EE"/>
                  <w:w w:val="94"/>
                </w:rPr>
                <w:t>Other Information.</w:t>
              </w:r>
            </w:hyperlink>
          </w:p>
        </w:tc>
        <w:tc>
          <w:tcPr>
            <w:tcW w:w="5620" w:type="dxa"/>
            <w:vAlign w:val="bottom"/>
            <w:gridSpan w:val="4"/>
          </w:tcPr>
          <w:p>
            <w:pPr>
              <w:spacing w:after="0"/>
              <w:rPr>
                <w:sz w:val="17"/>
                <w:szCs w:val="17"/>
                <w:color w:val="auto"/>
              </w:rPr>
            </w:pPr>
          </w:p>
        </w:tc>
        <w:tc>
          <w:tcPr>
            <w:tcW w:w="26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60</w:t>
            </w:r>
          </w:p>
        </w:tc>
      </w:tr>
      <w:tr>
        <w:trPr>
          <w:trHeight w:val="196"/>
        </w:trPr>
        <w:tc>
          <w:tcPr>
            <w:tcW w:w="820" w:type="dxa"/>
            <w:vAlign w:val="bottom"/>
          </w:tcPr>
          <w:p>
            <w:pPr>
              <w:spacing w:after="0"/>
              <w:rPr>
                <w:sz w:val="17"/>
                <w:szCs w:val="17"/>
                <w:color w:val="auto"/>
              </w:rPr>
            </w:pPr>
          </w:p>
        </w:tc>
        <w:tc>
          <w:tcPr>
            <w:tcW w:w="540" w:type="dxa"/>
            <w:vAlign w:val="bottom"/>
            <w:tcBorders>
              <w:bottom w:val="single" w:sz="8" w:color="0000EE"/>
            </w:tcBorders>
          </w:tcPr>
          <w:p>
            <w:pPr>
              <w:spacing w:after="0" w:line="196" w:lineRule="exact"/>
              <w:rPr>
                <w:rFonts w:ascii="Arial" w:cs="Arial" w:eastAsia="Arial" w:hAnsi="Arial"/>
                <w:sz w:val="18"/>
                <w:szCs w:val="18"/>
                <w:b w:val="1"/>
                <w:bCs w:val="1"/>
                <w:color w:val="0000EE"/>
                <w:w w:val="91"/>
              </w:rPr>
            </w:pPr>
            <w:hyperlink w:anchor="page68">
              <w:r>
                <w:rPr>
                  <w:rFonts w:ascii="Arial" w:cs="Arial" w:eastAsia="Arial" w:hAnsi="Arial"/>
                  <w:sz w:val="18"/>
                  <w:szCs w:val="18"/>
                  <w:b w:val="1"/>
                  <w:bCs w:val="1"/>
                  <w:color w:val="0000EE"/>
                  <w:w w:val="91"/>
                </w:rPr>
                <w:t>Item 6.</w:t>
              </w:r>
            </w:hyperlink>
          </w:p>
        </w:tc>
        <w:tc>
          <w:tcPr>
            <w:tcW w:w="20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b w:val="1"/>
                <w:bCs w:val="1"/>
                <w:color w:val="0000EE"/>
                <w:w w:val="90"/>
              </w:rPr>
            </w:pPr>
            <w:hyperlink w:anchor="page68">
              <w:r>
                <w:rPr>
                  <w:rFonts w:ascii="Arial" w:cs="Arial" w:eastAsia="Arial" w:hAnsi="Arial"/>
                  <w:sz w:val="18"/>
                  <w:szCs w:val="18"/>
                  <w:b w:val="1"/>
                  <w:bCs w:val="1"/>
                  <w:color w:val="0000EE"/>
                  <w:w w:val="90"/>
                </w:rPr>
                <w:t>Exhibits.</w:t>
              </w:r>
            </w:hyperlink>
          </w:p>
        </w:tc>
        <w:tc>
          <w:tcPr>
            <w:tcW w:w="6420" w:type="dxa"/>
            <w:vAlign w:val="bottom"/>
            <w:gridSpan w:val="7"/>
          </w:tcPr>
          <w:p>
            <w:pPr>
              <w:spacing w:after="0"/>
              <w:rPr>
                <w:sz w:val="17"/>
                <w:szCs w:val="17"/>
                <w:color w:val="auto"/>
              </w:rPr>
            </w:pPr>
          </w:p>
        </w:tc>
        <w:tc>
          <w:tcPr>
            <w:tcW w:w="26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61</w:t>
            </w:r>
          </w:p>
        </w:tc>
      </w:tr>
      <w:tr>
        <w:trPr>
          <w:trHeight w:val="696"/>
        </w:trPr>
        <w:tc>
          <w:tcPr>
            <w:tcW w:w="820" w:type="dxa"/>
            <w:vAlign w:val="bottom"/>
            <w:tcBorders>
              <w:bottom w:val="single" w:sz="8" w:color="DCDCDC"/>
            </w:tcBorders>
          </w:tcPr>
          <w:p>
            <w:pPr>
              <w:spacing w:after="0"/>
              <w:rPr>
                <w:sz w:val="24"/>
                <w:szCs w:val="24"/>
                <w:color w:val="auto"/>
              </w:rPr>
            </w:pPr>
          </w:p>
        </w:tc>
        <w:tc>
          <w:tcPr>
            <w:tcW w:w="54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4680" w:type="dxa"/>
            <w:vAlign w:val="bottom"/>
            <w:tcBorders>
              <w:bottom w:val="single" w:sz="8" w:color="DCDCDC"/>
            </w:tcBorders>
            <w:gridSpan w:val="8"/>
          </w:tcPr>
          <w:p>
            <w:pPr>
              <w:jc w:val="right"/>
              <w:ind w:right="480"/>
              <w:spacing w:after="0"/>
              <w:rPr>
                <w:sz w:val="20"/>
                <w:szCs w:val="20"/>
                <w:color w:val="auto"/>
              </w:rPr>
            </w:pPr>
            <w:r>
              <w:rPr>
                <w:rFonts w:ascii="Arial" w:cs="Arial" w:eastAsia="Arial" w:hAnsi="Arial"/>
                <w:sz w:val="18"/>
                <w:szCs w:val="18"/>
                <w:color w:val="auto"/>
              </w:rPr>
              <w:t>2</w:t>
            </w:r>
          </w:p>
        </w:tc>
        <w:tc>
          <w:tcPr>
            <w:tcW w:w="2500" w:type="dxa"/>
            <w:vAlign w:val="bottom"/>
            <w:tcBorders>
              <w:bottom w:val="single" w:sz="8" w:color="DCDCDC"/>
            </w:tcBorders>
          </w:tcPr>
          <w:p>
            <w:pPr>
              <w:spacing w:after="0"/>
              <w:rPr>
                <w:sz w:val="24"/>
                <w:szCs w:val="24"/>
                <w:color w:val="auto"/>
              </w:rPr>
            </w:pPr>
          </w:p>
        </w:tc>
        <w:tc>
          <w:tcPr>
            <w:tcW w:w="268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113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Income </w:t>
      </w:r>
      <w:r>
        <w:rPr>
          <w:rFonts w:ascii="Arial" w:cs="Arial" w:eastAsia="Arial" w:hAnsi="Arial"/>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6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96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594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b w:val="1"/>
                <w:bCs w:val="1"/>
                <w:color w:val="auto"/>
              </w:rPr>
              <w:t>Interest revenue:</w:t>
            </w:r>
          </w:p>
        </w:tc>
        <w:tc>
          <w:tcPr>
            <w:tcW w:w="12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Loans, including fees</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48,261</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50,730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95,949</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101,665</w:t>
            </w: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ind w:left="160"/>
              <w:spacing w:after="0"/>
              <w:rPr>
                <w:sz w:val="20"/>
                <w:szCs w:val="20"/>
                <w:color w:val="auto"/>
              </w:rPr>
            </w:pPr>
            <w:r>
              <w:rPr>
                <w:rFonts w:ascii="Arial" w:cs="Arial" w:eastAsia="Arial" w:hAnsi="Arial"/>
                <w:sz w:val="18"/>
                <w:szCs w:val="18"/>
                <w:color w:val="auto"/>
                <w:w w:val="97"/>
              </w:rPr>
              <w:t>Investment securities, including tax exempt of $193, $210, $381 and $422</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12,165</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10,074</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23,772</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20,018</w:t>
            </w: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Deposits in banks and short-term investments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1,823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1,786</w:t>
            </w: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F0FFFF"/>
          </w:tcPr>
          <w:p>
            <w:pPr>
              <w:ind w:left="320"/>
              <w:spacing w:after="0"/>
              <w:rPr>
                <w:sz w:val="20"/>
                <w:szCs w:val="20"/>
                <w:color w:val="auto"/>
              </w:rPr>
            </w:pPr>
            <w:r>
              <w:rPr>
                <w:rFonts w:ascii="Arial" w:cs="Arial" w:eastAsia="Arial" w:hAnsi="Arial"/>
                <w:sz w:val="18"/>
                <w:szCs w:val="18"/>
                <w:color w:val="auto"/>
              </w:rPr>
              <w:t>Total interest revenue</w:t>
            </w:r>
          </w:p>
        </w:tc>
        <w:tc>
          <w:tcPr>
            <w:tcW w:w="12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61,406</w:t>
            </w:r>
          </w:p>
        </w:tc>
        <w:tc>
          <w:tcPr>
            <w:tcW w:w="14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61,720</w:t>
            </w:r>
          </w:p>
        </w:tc>
        <w:tc>
          <w:tcPr>
            <w:tcW w:w="20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121,544</w:t>
            </w:r>
          </w:p>
        </w:tc>
        <w:tc>
          <w:tcPr>
            <w:tcW w:w="8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123,469</w:t>
            </w:r>
          </w:p>
        </w:tc>
      </w:tr>
      <w:tr>
        <w:trPr>
          <w:trHeight w:val="216"/>
        </w:trPr>
        <w:tc>
          <w:tcPr>
            <w:tcW w:w="20" w:type="dxa"/>
            <w:vAlign w:val="bottom"/>
          </w:tcPr>
          <w:p>
            <w:pPr>
              <w:spacing w:after="0"/>
              <w:rPr>
                <w:sz w:val="18"/>
                <w:szCs w:val="18"/>
                <w:color w:val="auto"/>
              </w:rPr>
            </w:pPr>
          </w:p>
        </w:tc>
        <w:tc>
          <w:tcPr>
            <w:tcW w:w="5940" w:type="dxa"/>
            <w:vAlign w:val="bottom"/>
            <w:tcBorders>
              <w:top w:val="single" w:sz="8" w:color="F0FFFF"/>
            </w:tcBorders>
          </w:tcPr>
          <w:p>
            <w:pPr>
              <w:spacing w:after="0"/>
              <w:rPr>
                <w:sz w:val="20"/>
                <w:szCs w:val="20"/>
                <w:color w:val="auto"/>
              </w:rPr>
            </w:pPr>
            <w:r>
              <w:rPr>
                <w:rFonts w:ascii="Arial" w:cs="Arial" w:eastAsia="Arial" w:hAnsi="Arial"/>
                <w:sz w:val="18"/>
                <w:szCs w:val="18"/>
                <w:b w:val="1"/>
                <w:bCs w:val="1"/>
                <w:color w:val="auto"/>
              </w:rPr>
              <w:t>Interest expense:</w:t>
            </w:r>
          </w:p>
        </w:tc>
        <w:tc>
          <w:tcPr>
            <w:tcW w:w="12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Deposits: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20"/>
              <w:spacing w:after="0"/>
              <w:rPr>
                <w:sz w:val="20"/>
                <w:szCs w:val="20"/>
                <w:color w:val="auto"/>
              </w:rPr>
            </w:pPr>
            <w:r>
              <w:rPr>
                <w:rFonts w:ascii="Arial" w:cs="Arial" w:eastAsia="Arial" w:hAnsi="Arial"/>
                <w:sz w:val="18"/>
                <w:szCs w:val="18"/>
                <w:color w:val="auto"/>
              </w:rPr>
              <w:t>NOW</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419</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851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873</w:t>
            </w: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ind w:left="320"/>
              <w:spacing w:after="0"/>
              <w:rPr>
                <w:sz w:val="20"/>
                <w:szCs w:val="20"/>
                <w:color w:val="auto"/>
              </w:rPr>
            </w:pPr>
            <w:r>
              <w:rPr>
                <w:rFonts w:ascii="Arial" w:cs="Arial" w:eastAsia="Arial" w:hAnsi="Arial"/>
                <w:sz w:val="18"/>
                <w:szCs w:val="18"/>
                <w:color w:val="auto"/>
              </w:rPr>
              <w:t>Money market</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534</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1,320</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1,096</w:t>
            </w:r>
          </w:p>
        </w:tc>
      </w:tr>
      <w:tr>
        <w:trPr>
          <w:trHeight w:val="216"/>
        </w:trPr>
        <w:tc>
          <w:tcPr>
            <w:tcW w:w="20" w:type="dxa"/>
            <w:vAlign w:val="bottom"/>
          </w:tcPr>
          <w:p>
            <w:pPr>
              <w:spacing w:after="0"/>
              <w:rPr>
                <w:sz w:val="18"/>
                <w:szCs w:val="18"/>
                <w:color w:val="auto"/>
              </w:rPr>
            </w:pPr>
          </w:p>
        </w:tc>
        <w:tc>
          <w:tcPr>
            <w:tcW w:w="5940" w:type="dxa"/>
            <w:vAlign w:val="bottom"/>
          </w:tcPr>
          <w:p>
            <w:pPr>
              <w:ind w:left="320"/>
              <w:spacing w:after="0"/>
              <w:rPr>
                <w:sz w:val="20"/>
                <w:szCs w:val="20"/>
                <w:color w:val="auto"/>
              </w:rPr>
            </w:pPr>
            <w:r>
              <w:rPr>
                <w:rFonts w:ascii="Arial" w:cs="Arial" w:eastAsia="Arial" w:hAnsi="Arial"/>
                <w:sz w:val="18"/>
                <w:szCs w:val="18"/>
                <w:color w:val="auto"/>
              </w:rPr>
              <w:t>Savings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ind w:left="320"/>
              <w:spacing w:after="0"/>
              <w:rPr>
                <w:sz w:val="20"/>
                <w:szCs w:val="20"/>
                <w:color w:val="auto"/>
              </w:rPr>
            </w:pPr>
            <w:r>
              <w:rPr>
                <w:rFonts w:ascii="Arial" w:cs="Arial" w:eastAsia="Arial" w:hAnsi="Arial"/>
                <w:sz w:val="18"/>
                <w:szCs w:val="18"/>
                <w:color w:val="auto"/>
              </w:rPr>
              <w:t>Time</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2,018</w:t>
            </w: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2,950</w:t>
            </w: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3,789</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6,241</w:t>
            </w:r>
          </w:p>
        </w:tc>
      </w:tr>
      <w:tr>
        <w:trPr>
          <w:trHeight w:val="27"/>
        </w:trPr>
        <w:tc>
          <w:tcPr>
            <w:tcW w:w="20" w:type="dxa"/>
            <w:vAlign w:val="bottom"/>
          </w:tcPr>
          <w:p>
            <w:pPr>
              <w:spacing w:after="0"/>
              <w:rPr>
                <w:sz w:val="2"/>
                <w:szCs w:val="2"/>
                <w:color w:val="auto"/>
              </w:rPr>
            </w:pPr>
          </w:p>
        </w:tc>
        <w:tc>
          <w:tcPr>
            <w:tcW w:w="594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480"/>
              <w:spacing w:after="0"/>
              <w:rPr>
                <w:sz w:val="20"/>
                <w:szCs w:val="20"/>
                <w:color w:val="auto"/>
              </w:rPr>
            </w:pPr>
            <w:r>
              <w:rPr>
                <w:rFonts w:ascii="Arial" w:cs="Arial" w:eastAsia="Arial" w:hAnsi="Arial"/>
                <w:sz w:val="18"/>
                <w:szCs w:val="18"/>
                <w:color w:val="auto"/>
              </w:rPr>
              <w:t>Total deposit interest expense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3,939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6,001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8,282</w:t>
            </w: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Short-term borrowings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908</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522</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1,748</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1,038</w:t>
            </w: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Federal Home Loan Bank advances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2,638</w:t>
            </w: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2,666</w:t>
            </w: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5,272</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5,328</w:t>
            </w:r>
          </w:p>
        </w:tc>
      </w:tr>
      <w:tr>
        <w:trPr>
          <w:trHeight w:val="27"/>
        </w:trPr>
        <w:tc>
          <w:tcPr>
            <w:tcW w:w="20" w:type="dxa"/>
            <w:vAlign w:val="bottom"/>
          </w:tcPr>
          <w:p>
            <w:pPr>
              <w:spacing w:after="0"/>
              <w:rPr>
                <w:sz w:val="2"/>
                <w:szCs w:val="2"/>
                <w:color w:val="auto"/>
              </w:rPr>
            </w:pPr>
          </w:p>
        </w:tc>
        <w:tc>
          <w:tcPr>
            <w:tcW w:w="594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20"/>
              <w:spacing w:after="0"/>
              <w:rPr>
                <w:sz w:val="20"/>
                <w:szCs w:val="20"/>
                <w:color w:val="auto"/>
              </w:rPr>
            </w:pPr>
            <w:r>
              <w:rPr>
                <w:rFonts w:ascii="Arial" w:cs="Arial" w:eastAsia="Arial" w:hAnsi="Arial"/>
                <w:sz w:val="18"/>
                <w:szCs w:val="18"/>
                <w:color w:val="auto"/>
              </w:rPr>
              <w:t>Total interest expense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7,157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13,159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14,697</w:t>
            </w: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ind w:left="320"/>
              <w:spacing w:after="0"/>
              <w:rPr>
                <w:sz w:val="20"/>
                <w:szCs w:val="20"/>
                <w:color w:val="auto"/>
              </w:rPr>
            </w:pPr>
            <w:r>
              <w:rPr>
                <w:rFonts w:ascii="Arial" w:cs="Arial" w:eastAsia="Arial" w:hAnsi="Arial"/>
                <w:sz w:val="18"/>
                <w:szCs w:val="18"/>
                <w:color w:val="auto"/>
              </w:rPr>
              <w:t>Net interest revenue</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54,573</w:t>
            </w: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54,563</w:t>
            </w: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108,385</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108,772</w:t>
            </w: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Provision for credit losses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48,500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4,700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59,500</w:t>
            </w: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F0FFFF"/>
          </w:tcPr>
          <w:p>
            <w:pPr>
              <w:ind w:left="320"/>
              <w:spacing w:after="0"/>
              <w:rPr>
                <w:sz w:val="20"/>
                <w:szCs w:val="20"/>
                <w:color w:val="auto"/>
              </w:rPr>
            </w:pPr>
            <w:r>
              <w:rPr>
                <w:rFonts w:ascii="Arial" w:cs="Arial" w:eastAsia="Arial" w:hAnsi="Arial"/>
                <w:sz w:val="18"/>
                <w:szCs w:val="18"/>
                <w:color w:val="auto"/>
              </w:rPr>
              <w:t>Net interest revenue after provision for credit losses</w:t>
            </w:r>
          </w:p>
        </w:tc>
        <w:tc>
          <w:tcPr>
            <w:tcW w:w="12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52,373</w:t>
            </w:r>
          </w:p>
        </w:tc>
        <w:tc>
          <w:tcPr>
            <w:tcW w:w="14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280" w:type="dxa"/>
            <w:vAlign w:val="bottom"/>
            <w:shd w:val="clear" w:color="auto" w:fill="F0FFFF"/>
          </w:tcPr>
          <w:p>
            <w:pPr>
              <w:spacing w:after="0"/>
              <w:rPr>
                <w:sz w:val="19"/>
                <w:szCs w:val="19"/>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6,063</w:t>
            </w:r>
          </w:p>
        </w:tc>
        <w:tc>
          <w:tcPr>
            <w:tcW w:w="20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103,685</w:t>
            </w:r>
          </w:p>
        </w:tc>
        <w:tc>
          <w:tcPr>
            <w:tcW w:w="8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49,272</w:t>
            </w:r>
          </w:p>
        </w:tc>
      </w:tr>
      <w:tr>
        <w:trPr>
          <w:trHeight w:val="216"/>
        </w:trPr>
        <w:tc>
          <w:tcPr>
            <w:tcW w:w="20" w:type="dxa"/>
            <w:vAlign w:val="bottom"/>
          </w:tcPr>
          <w:p>
            <w:pPr>
              <w:spacing w:after="0"/>
              <w:rPr>
                <w:sz w:val="18"/>
                <w:szCs w:val="18"/>
                <w:color w:val="auto"/>
              </w:rPr>
            </w:pPr>
          </w:p>
        </w:tc>
        <w:tc>
          <w:tcPr>
            <w:tcW w:w="5940" w:type="dxa"/>
            <w:vAlign w:val="bottom"/>
            <w:tcBorders>
              <w:top w:val="single" w:sz="8" w:color="F0FFFF"/>
            </w:tcBorders>
          </w:tcPr>
          <w:p>
            <w:pPr>
              <w:spacing w:after="0"/>
              <w:rPr>
                <w:sz w:val="20"/>
                <w:szCs w:val="20"/>
                <w:color w:val="auto"/>
              </w:rPr>
            </w:pPr>
            <w:r>
              <w:rPr>
                <w:rFonts w:ascii="Arial" w:cs="Arial" w:eastAsia="Arial" w:hAnsi="Arial"/>
                <w:sz w:val="18"/>
                <w:szCs w:val="18"/>
                <w:b w:val="1"/>
                <w:bCs w:val="1"/>
                <w:color w:val="auto"/>
              </w:rPr>
              <w:t>Fee revenue:</w:t>
            </w:r>
          </w:p>
        </w:tc>
        <w:tc>
          <w:tcPr>
            <w:tcW w:w="12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Service charges and fees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8,527</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7,972</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16,425</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15,375</w:t>
            </w: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Mortgage loan and other related fees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1,877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3,003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3,231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5,658</w:t>
            </w: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Brokerage fees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1,245</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1,063</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2,422</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1,830</w:t>
            </w: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Securities gains, net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4,435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4,652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Loss from prepayment of debt</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(4,446)</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(4,446)</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3,905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4,035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5,875</w:t>
            </w: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ind w:left="320"/>
              <w:spacing w:after="0"/>
              <w:rPr>
                <w:sz w:val="20"/>
                <w:szCs w:val="20"/>
                <w:color w:val="auto"/>
              </w:rPr>
            </w:pPr>
            <w:r>
              <w:rPr>
                <w:rFonts w:ascii="Arial" w:cs="Arial" w:eastAsia="Arial" w:hAnsi="Arial"/>
                <w:sz w:val="18"/>
                <w:szCs w:val="18"/>
                <w:color w:val="auto"/>
              </w:rPr>
              <w:t>Total fee revenue</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14,143</w:t>
            </w: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15,943</w:t>
            </w: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26,319</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28,854</w:t>
            </w:r>
          </w:p>
        </w:tc>
      </w:tr>
      <w:tr>
        <w:trPr>
          <w:trHeight w:val="27"/>
        </w:trPr>
        <w:tc>
          <w:tcPr>
            <w:tcW w:w="20" w:type="dxa"/>
            <w:vAlign w:val="bottom"/>
          </w:tcPr>
          <w:p>
            <w:pPr>
              <w:spacing w:after="0"/>
              <w:rPr>
                <w:sz w:val="2"/>
                <w:szCs w:val="2"/>
                <w:color w:val="auto"/>
              </w:rPr>
            </w:pPr>
          </w:p>
        </w:tc>
        <w:tc>
          <w:tcPr>
            <w:tcW w:w="594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320"/>
              <w:spacing w:after="0"/>
              <w:rPr>
                <w:sz w:val="20"/>
                <w:szCs w:val="20"/>
                <w:color w:val="auto"/>
              </w:rPr>
            </w:pPr>
            <w:r>
              <w:rPr>
                <w:rFonts w:ascii="Arial" w:cs="Arial" w:eastAsia="Arial" w:hAnsi="Arial"/>
                <w:sz w:val="18"/>
                <w:szCs w:val="18"/>
                <w:b w:val="1"/>
                <w:bCs w:val="1"/>
                <w:color w:val="auto"/>
              </w:rPr>
              <w:t>Total revenue</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66,516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22,006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130,004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78,126</w:t>
            </w: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Salaries and employee benefits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24,287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24,734</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48,683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48,326</w:t>
            </w: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Communications and equipment</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3,037</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3,468</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6,276</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6,514</w:t>
            </w: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Occupancy</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3,262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3,449</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6,640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6,816</w:t>
            </w: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Advertising and public relations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1,139</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1,037</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1,765</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1,975</w:t>
            </w: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Postage, printing and supplies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894</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1,580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1,757</w:t>
            </w: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Professional fees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2,172</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2,499</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3,599</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4,865</w:t>
            </w: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Foreclosed property</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5,151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7,484</w:t>
            </w: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FDIC assessments and other regulatory charges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1,425</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2,505</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2,778</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5,010</w:t>
            </w: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Amortization of intangibles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491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748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1,196</w:t>
            </w: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3,943</w:t>
            </w: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4,595</w:t>
            </w: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7,295</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8,650</w:t>
            </w:r>
          </w:p>
        </w:tc>
      </w:tr>
      <w:tr>
        <w:trPr>
          <w:trHeight w:val="27"/>
        </w:trPr>
        <w:tc>
          <w:tcPr>
            <w:tcW w:w="20" w:type="dxa"/>
            <w:vAlign w:val="bottom"/>
          </w:tcPr>
          <w:p>
            <w:pPr>
              <w:spacing w:after="0"/>
              <w:rPr>
                <w:sz w:val="2"/>
                <w:szCs w:val="2"/>
                <w:color w:val="auto"/>
              </w:rPr>
            </w:pPr>
          </w:p>
        </w:tc>
        <w:tc>
          <w:tcPr>
            <w:tcW w:w="594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40,532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48,823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79,582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92,593</w:t>
            </w: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ind w:left="320"/>
              <w:spacing w:after="0"/>
              <w:rPr>
                <w:sz w:val="20"/>
                <w:szCs w:val="20"/>
                <w:color w:val="auto"/>
              </w:rPr>
            </w:pPr>
            <w:r>
              <w:rPr>
                <w:rFonts w:ascii="Arial" w:cs="Arial" w:eastAsia="Arial" w:hAnsi="Arial"/>
                <w:sz w:val="18"/>
                <w:szCs w:val="18"/>
                <w:color w:val="auto"/>
              </w:rPr>
              <w:t>Net income (loss) before income taxes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25,984</w:t>
            </w: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(26,817)</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50,422</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(14,467)</w:t>
            </w: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Income tax expense (benefit)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(256,781)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18,665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(256,196)</w:t>
            </w: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ind w:left="320"/>
              <w:spacing w:after="0"/>
              <w:rPr>
                <w:sz w:val="20"/>
                <w:szCs w:val="20"/>
                <w:color w:val="auto"/>
              </w:rPr>
            </w:pPr>
            <w:r>
              <w:rPr>
                <w:rFonts w:ascii="Arial" w:cs="Arial" w:eastAsia="Arial" w:hAnsi="Arial"/>
                <w:sz w:val="18"/>
                <w:szCs w:val="18"/>
                <w:b w:val="1"/>
                <w:bCs w:val="1"/>
                <w:color w:val="auto"/>
              </w:rPr>
              <w:t>Net income</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16,357</w:t>
            </w: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229,964</w:t>
            </w: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31,757</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241,729</w:t>
            </w: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Preferred stock dividends and discount accretion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3,055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439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6,107</w:t>
            </w: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5940" w:type="dxa"/>
            <w:vAlign w:val="bottom"/>
            <w:shd w:val="clear" w:color="auto" w:fill="F0FFFF"/>
          </w:tcPr>
          <w:p>
            <w:pPr>
              <w:ind w:left="320"/>
              <w:spacing w:after="0"/>
              <w:rPr>
                <w:sz w:val="20"/>
                <w:szCs w:val="20"/>
                <w:color w:val="auto"/>
              </w:rPr>
            </w:pPr>
            <w:r>
              <w:rPr>
                <w:rFonts w:ascii="Arial" w:cs="Arial" w:eastAsia="Arial" w:hAnsi="Arial"/>
                <w:sz w:val="18"/>
                <w:szCs w:val="18"/>
                <w:b w:val="1"/>
                <w:bCs w:val="1"/>
                <w:color w:val="auto"/>
              </w:rPr>
              <w:t>Net income available to common shareholders</w:t>
            </w:r>
          </w:p>
        </w:tc>
        <w:tc>
          <w:tcPr>
            <w:tcW w:w="3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16,357</w:t>
            </w:r>
          </w:p>
        </w:tc>
        <w:tc>
          <w:tcPr>
            <w:tcW w:w="3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226,909</w:t>
            </w: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31,318</w:t>
            </w:r>
          </w:p>
        </w:tc>
        <w:tc>
          <w:tcPr>
            <w:tcW w:w="3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235,622</w:t>
            </w:r>
          </w:p>
        </w:tc>
      </w:tr>
      <w:tr>
        <w:trPr>
          <w:trHeight w:val="210"/>
        </w:trPr>
        <w:tc>
          <w:tcPr>
            <w:tcW w:w="20" w:type="dxa"/>
            <w:vAlign w:val="bottom"/>
          </w:tcPr>
          <w:p>
            <w:pPr>
              <w:spacing w:after="0"/>
              <w:rPr>
                <w:sz w:val="18"/>
                <w:szCs w:val="18"/>
                <w:color w:val="auto"/>
              </w:rPr>
            </w:pPr>
          </w:p>
        </w:tc>
        <w:tc>
          <w:tcPr>
            <w:tcW w:w="594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Earnings per common share:</w:t>
            </w:r>
          </w:p>
        </w:tc>
        <w:tc>
          <w:tcPr>
            <w:tcW w:w="12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ind w:left="320"/>
              <w:spacing w:after="0"/>
              <w:rPr>
                <w:sz w:val="20"/>
                <w:szCs w:val="20"/>
                <w:color w:val="auto"/>
              </w:rPr>
            </w:pPr>
            <w:r>
              <w:rPr>
                <w:rFonts w:ascii="Arial" w:cs="Arial" w:eastAsia="Arial" w:hAnsi="Arial"/>
                <w:sz w:val="18"/>
                <w:szCs w:val="18"/>
                <w:color w:val="auto"/>
              </w:rPr>
              <w:t>Basic</w:t>
            </w:r>
          </w:p>
        </w:tc>
        <w:tc>
          <w:tcPr>
            <w:tcW w:w="3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.27</w:t>
            </w:r>
          </w:p>
        </w:tc>
        <w:tc>
          <w:tcPr>
            <w:tcW w:w="3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3.90</w:t>
            </w: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.52</w:t>
            </w:r>
          </w:p>
        </w:tc>
        <w:tc>
          <w:tcPr>
            <w:tcW w:w="3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4.05</w:t>
            </w:r>
          </w:p>
        </w:tc>
      </w:tr>
      <w:tr>
        <w:trPr>
          <w:trHeight w:val="216"/>
        </w:trPr>
        <w:tc>
          <w:tcPr>
            <w:tcW w:w="20" w:type="dxa"/>
            <w:vAlign w:val="bottom"/>
          </w:tcPr>
          <w:p>
            <w:pPr>
              <w:spacing w:after="0"/>
              <w:rPr>
                <w:sz w:val="18"/>
                <w:szCs w:val="18"/>
                <w:color w:val="auto"/>
              </w:rPr>
            </w:pPr>
          </w:p>
        </w:tc>
        <w:tc>
          <w:tcPr>
            <w:tcW w:w="5940" w:type="dxa"/>
            <w:vAlign w:val="bottom"/>
          </w:tcPr>
          <w:p>
            <w:pPr>
              <w:ind w:left="32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3.90</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4.05</w:t>
            </w: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spacing w:after="0"/>
              <w:rPr>
                <w:sz w:val="20"/>
                <w:szCs w:val="20"/>
                <w:color w:val="auto"/>
              </w:rPr>
            </w:pPr>
            <w:r>
              <w:rPr>
                <w:rFonts w:ascii="Arial" w:cs="Arial" w:eastAsia="Arial" w:hAnsi="Arial"/>
                <w:sz w:val="18"/>
                <w:szCs w:val="18"/>
                <w:color w:val="auto"/>
              </w:rPr>
              <w:t>Weighted average common shares outstanding:</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32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60,712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58,141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60,386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58,111</w:t>
            </w: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ind w:left="32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60,714</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58,141</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60,388</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58,111</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694" w:gutter="0" w:footer="0" w:header="0"/>
        </w:sectPr>
      </w:pPr>
    </w:p>
    <w:bookmarkStart w:id="3" w:name="page4"/>
    <w:bookmarkEnd w:id="3"/>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COMMUNITY BANKS, INC.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Comprehensive Income </w:t>
      </w:r>
      <w:r>
        <w:rPr>
          <w:rFonts w:ascii="Arial" w:cs="Arial" w:eastAsia="Arial" w:hAnsi="Arial"/>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40" w:type="dxa"/>
            <w:vAlign w:val="bottom"/>
            <w:gridSpan w:val="3"/>
          </w:tcPr>
          <w:p>
            <w:pPr>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3940" w:type="dxa"/>
            <w:vAlign w:val="bottom"/>
            <w:gridSpan w:val="9"/>
          </w:tcPr>
          <w:p>
            <w:pPr>
              <w:jc w:val="center"/>
              <w:ind w:right="260"/>
              <w:spacing w:after="0"/>
              <w:rPr>
                <w:sz w:val="20"/>
                <w:szCs w:val="20"/>
                <w:color w:val="auto"/>
              </w:rPr>
            </w:pPr>
            <w:r>
              <w:rPr>
                <w:rFonts w:ascii="Arial" w:cs="Arial" w:eastAsia="Arial" w:hAnsi="Arial"/>
                <w:sz w:val="18"/>
                <w:szCs w:val="18"/>
                <w:b w:val="1"/>
                <w:bCs w:val="1"/>
                <w:color w:val="auto"/>
                <w:w w:val="90"/>
              </w:rPr>
              <w:t>Three Months Ended June 30,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20" w:type="dxa"/>
            <w:vAlign w:val="bottom"/>
            <w:gridSpan w:val="9"/>
          </w:tcPr>
          <w:p>
            <w:pPr>
              <w:jc w:val="center"/>
              <w:ind w:right="240"/>
              <w:spacing w:after="0"/>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90"/>
              </w:rPr>
              <w:t>Tax</w:t>
            </w: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0"/>
              </w:rPr>
              <w:t>Tax</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4"/>
              </w:rPr>
              <w:t>Before-tax</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(Expense)</w:t>
            </w:r>
          </w:p>
        </w:tc>
        <w:tc>
          <w:tcPr>
            <w:tcW w:w="14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Net of Tax</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2"/>
              </w:rPr>
              <w:t>Before-tax</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(Expense)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4"/>
              </w:rPr>
              <w:t>Net of Tax</w:t>
            </w:r>
          </w:p>
        </w:tc>
        <w:tc>
          <w:tcPr>
            <w:tcW w:w="0" w:type="dxa"/>
            <w:vAlign w:val="bottom"/>
          </w:tcPr>
          <w:p>
            <w:pPr>
              <w:spacing w:after="0"/>
              <w:rPr>
                <w:sz w:val="1"/>
                <w:szCs w:val="1"/>
                <w:color w:val="auto"/>
              </w:rPr>
            </w:pPr>
          </w:p>
        </w:tc>
      </w:tr>
      <w:tr>
        <w:trPr>
          <w:trHeight w:val="234"/>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Benefit</w:t>
            </w:r>
          </w:p>
        </w:tc>
        <w:tc>
          <w:tcPr>
            <w:tcW w:w="14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Benefit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Amount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F0FF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F0FFFF"/>
          </w:tcPr>
          <w:p>
            <w:pPr>
              <w:spacing w:after="0"/>
              <w:rPr>
                <w:sz w:val="18"/>
                <w:szCs w:val="18"/>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25,984</w:t>
            </w:r>
          </w:p>
        </w:tc>
        <w:tc>
          <w:tcPr>
            <w:tcW w:w="140" w:type="dxa"/>
            <w:vAlign w:val="bottom"/>
            <w:shd w:val="clear" w:color="auto" w:fill="F0FFFF"/>
          </w:tcPr>
          <w:p>
            <w:pPr>
              <w:spacing w:after="0"/>
              <w:rPr>
                <w:sz w:val="18"/>
                <w:szCs w:val="18"/>
                <w:color w:val="auto"/>
              </w:rPr>
            </w:pPr>
          </w:p>
        </w:tc>
        <w:tc>
          <w:tcPr>
            <w:tcW w:w="2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(9,627)</w:t>
            </w: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16,357</w:t>
            </w:r>
          </w:p>
        </w:tc>
        <w:tc>
          <w:tcPr>
            <w:tcW w:w="2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50,422</w:t>
            </w: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(18,665)</w:t>
            </w:r>
          </w:p>
        </w:tc>
        <w:tc>
          <w:tcPr>
            <w:tcW w:w="2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31,757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F0FFFF"/>
          </w:tcPr>
          <w:p>
            <w:pPr>
              <w:ind w:left="160"/>
              <w:spacing w:after="0" w:line="201" w:lineRule="exact"/>
              <w:rPr>
                <w:sz w:val="20"/>
                <w:szCs w:val="20"/>
                <w:color w:val="auto"/>
              </w:rPr>
            </w:pPr>
            <w:r>
              <w:rPr>
                <w:rFonts w:ascii="Arial" w:cs="Arial" w:eastAsia="Arial" w:hAnsi="Arial"/>
                <w:sz w:val="18"/>
                <w:szCs w:val="18"/>
                <w:color w:val="auto"/>
              </w:rPr>
              <w:t>Unrealized gains (losses) on available-</w:t>
            </w: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F0FFFF"/>
          </w:tcPr>
          <w:p>
            <w:pPr>
              <w:ind w:left="320"/>
              <w:spacing w:after="0"/>
              <w:rPr>
                <w:sz w:val="20"/>
                <w:szCs w:val="20"/>
                <w:color w:val="auto"/>
              </w:rPr>
            </w:pPr>
            <w:r>
              <w:rPr>
                <w:rFonts w:ascii="Arial" w:cs="Arial" w:eastAsia="Arial" w:hAnsi="Arial"/>
                <w:sz w:val="18"/>
                <w:szCs w:val="18"/>
                <w:color w:val="auto"/>
              </w:rPr>
              <w:t>for-sale securities:</w:t>
            </w:r>
          </w:p>
        </w:tc>
        <w:tc>
          <w:tcPr>
            <w:tcW w:w="120" w:type="dxa"/>
            <w:vAlign w:val="bottom"/>
            <w:shd w:val="clear" w:color="auto" w:fill="F0FFFF"/>
          </w:tcPr>
          <w:p>
            <w:pPr>
              <w:spacing w:after="0"/>
              <w:rPr>
                <w:sz w:val="20"/>
                <w:szCs w:val="20"/>
                <w:color w:val="auto"/>
              </w:rPr>
            </w:pPr>
          </w:p>
        </w:tc>
        <w:tc>
          <w:tcPr>
            <w:tcW w:w="104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02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0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02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0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0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Unrealized holding gains (losses)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480"/>
              <w:spacing w:after="0"/>
              <w:rPr>
                <w:sz w:val="20"/>
                <w:szCs w:val="20"/>
                <w:color w:val="auto"/>
              </w:rPr>
            </w:pPr>
            <w:r>
              <w:rPr>
                <w:rFonts w:ascii="Arial" w:cs="Arial" w:eastAsia="Arial" w:hAnsi="Arial"/>
                <w:sz w:val="18"/>
                <w:szCs w:val="18"/>
                <w:color w:val="auto"/>
              </w:rPr>
              <w:t>arising during period</w:t>
            </w:r>
          </w:p>
        </w:tc>
        <w:tc>
          <w:tcPr>
            <w:tcW w:w="12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11,184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(4,216)</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6,968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15,053</w:t>
            </w:r>
          </w:p>
        </w:tc>
        <w:tc>
          <w:tcPr>
            <w:tcW w:w="14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(5,657)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9,396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F0FFFF"/>
          </w:tcPr>
          <w:p>
            <w:pPr>
              <w:ind w:left="320"/>
              <w:spacing w:after="0" w:line="201" w:lineRule="exact"/>
              <w:rPr>
                <w:sz w:val="20"/>
                <w:szCs w:val="20"/>
                <w:color w:val="auto"/>
              </w:rPr>
            </w:pPr>
            <w:r>
              <w:rPr>
                <w:rFonts w:ascii="Arial" w:cs="Arial" w:eastAsia="Arial" w:hAnsi="Arial"/>
                <w:sz w:val="18"/>
                <w:szCs w:val="18"/>
                <w:color w:val="auto"/>
              </w:rPr>
              <w:t>Reclassification adjustment for gains</w:t>
            </w: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F0FFFF"/>
          </w:tcPr>
          <w:p>
            <w:pPr>
              <w:ind w:left="480"/>
              <w:spacing w:after="0"/>
              <w:rPr>
                <w:sz w:val="20"/>
                <w:szCs w:val="20"/>
                <w:color w:val="auto"/>
              </w:rPr>
            </w:pPr>
            <w:r>
              <w:rPr>
                <w:rFonts w:ascii="Arial" w:cs="Arial" w:eastAsia="Arial" w:hAnsi="Arial"/>
                <w:sz w:val="18"/>
                <w:szCs w:val="18"/>
                <w:color w:val="auto"/>
              </w:rPr>
              <w:t>included in net income</w:t>
            </w:r>
          </w:p>
        </w:tc>
        <w:tc>
          <w:tcPr>
            <w:tcW w:w="120" w:type="dxa"/>
            <w:vAlign w:val="bottom"/>
            <w:shd w:val="clear" w:color="auto" w:fill="F0FFFF"/>
          </w:tcPr>
          <w:p>
            <w:pPr>
              <w:spacing w:after="0"/>
              <w:rPr>
                <w:sz w:val="20"/>
                <w:szCs w:val="20"/>
                <w:color w:val="auto"/>
              </w:rPr>
            </w:pPr>
          </w:p>
        </w:tc>
        <w:tc>
          <w:tcPr>
            <w:tcW w:w="11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(4,435)</w:t>
            </w:r>
          </w:p>
        </w:tc>
        <w:tc>
          <w:tcPr>
            <w:tcW w:w="1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1,725</w:t>
            </w:r>
          </w:p>
        </w:tc>
        <w:tc>
          <w:tcPr>
            <w:tcW w:w="14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(2,710)</w:t>
            </w:r>
          </w:p>
        </w:tc>
        <w:tc>
          <w:tcPr>
            <w:tcW w:w="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2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(4,652)</w:t>
            </w:r>
          </w:p>
        </w:tc>
        <w:tc>
          <w:tcPr>
            <w:tcW w:w="14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1,817</w:t>
            </w:r>
          </w:p>
        </w:tc>
        <w:tc>
          <w:tcPr>
            <w:tcW w:w="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(2,835)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shd w:val="clear" w:color="auto" w:fill="F0FFFF"/>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320"/>
              <w:spacing w:after="0"/>
              <w:rPr>
                <w:sz w:val="20"/>
                <w:szCs w:val="20"/>
                <w:color w:val="auto"/>
              </w:rPr>
            </w:pPr>
            <w:r>
              <w:rPr>
                <w:rFonts w:ascii="Arial" w:cs="Arial" w:eastAsia="Arial" w:hAnsi="Arial"/>
                <w:sz w:val="18"/>
                <w:szCs w:val="18"/>
                <w:color w:val="auto"/>
              </w:rPr>
              <w:t>Net unrealized gains (losses)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(2,491)</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4,258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10,401</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(3,840)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6,561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F0FFFF"/>
          </w:tcPr>
          <w:p>
            <w:pPr>
              <w:ind w:left="160"/>
              <w:spacing w:after="0" w:line="201" w:lineRule="exact"/>
              <w:rPr>
                <w:sz w:val="20"/>
                <w:szCs w:val="20"/>
                <w:color w:val="auto"/>
              </w:rPr>
            </w:pPr>
            <w:r>
              <w:rPr>
                <w:rFonts w:ascii="Arial" w:cs="Arial" w:eastAsia="Arial" w:hAnsi="Arial"/>
                <w:sz w:val="18"/>
                <w:szCs w:val="18"/>
                <w:color w:val="auto"/>
              </w:rPr>
              <w:t>Amortization of gains included in net</w:t>
            </w: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F0FFFF"/>
          </w:tcPr>
          <w:p>
            <w:pPr>
              <w:ind w:left="320"/>
              <w:spacing w:after="0"/>
              <w:rPr>
                <w:sz w:val="20"/>
                <w:szCs w:val="20"/>
                <w:color w:val="auto"/>
              </w:rPr>
            </w:pPr>
            <w:r>
              <w:rPr>
                <w:rFonts w:ascii="Arial" w:cs="Arial" w:eastAsia="Arial" w:hAnsi="Arial"/>
                <w:sz w:val="18"/>
                <w:szCs w:val="18"/>
                <w:color w:val="auto"/>
                <w:w w:val="97"/>
              </w:rPr>
              <w:t>income on available-for-sale securities</w:t>
            </w: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F0FFFF"/>
          </w:tcPr>
          <w:p>
            <w:pPr>
              <w:ind w:left="320"/>
              <w:spacing w:after="0"/>
              <w:rPr>
                <w:sz w:val="20"/>
                <w:szCs w:val="20"/>
                <w:color w:val="auto"/>
              </w:rPr>
            </w:pPr>
            <w:r>
              <w:rPr>
                <w:rFonts w:ascii="Arial" w:cs="Arial" w:eastAsia="Arial" w:hAnsi="Arial"/>
                <w:sz w:val="18"/>
                <w:szCs w:val="18"/>
                <w:color w:val="auto"/>
              </w:rPr>
              <w:t>transferred to held-to-maturity</w:t>
            </w:r>
          </w:p>
        </w:tc>
        <w:tc>
          <w:tcPr>
            <w:tcW w:w="120" w:type="dxa"/>
            <w:vAlign w:val="bottom"/>
            <w:shd w:val="clear" w:color="auto" w:fill="F0FFFF"/>
          </w:tcPr>
          <w:p>
            <w:pPr>
              <w:spacing w:after="0"/>
              <w:rPr>
                <w:sz w:val="20"/>
                <w:szCs w:val="20"/>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409</w:t>
            </w:r>
          </w:p>
        </w:tc>
        <w:tc>
          <w:tcPr>
            <w:tcW w:w="14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2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(154)</w:t>
            </w:r>
          </w:p>
        </w:tc>
        <w:tc>
          <w:tcPr>
            <w:tcW w:w="14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255</w:t>
            </w:r>
          </w:p>
        </w:tc>
        <w:tc>
          <w:tcPr>
            <w:tcW w:w="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739</w:t>
            </w:r>
          </w:p>
        </w:tc>
        <w:tc>
          <w:tcPr>
            <w:tcW w:w="14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(277)</w:t>
            </w:r>
          </w:p>
        </w:tc>
        <w:tc>
          <w:tcPr>
            <w:tcW w:w="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shd w:val="clear" w:color="auto" w:fill="F0FFFF"/>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320"/>
              <w:spacing w:after="0"/>
              <w:rPr>
                <w:sz w:val="20"/>
                <w:szCs w:val="20"/>
                <w:color w:val="auto"/>
              </w:rPr>
            </w:pPr>
            <w:r>
              <w:rPr>
                <w:rFonts w:ascii="Arial" w:cs="Arial" w:eastAsia="Arial" w:hAnsi="Arial"/>
                <w:sz w:val="18"/>
                <w:szCs w:val="18"/>
                <w:color w:val="auto"/>
              </w:rPr>
              <w:t>Net unrealized gains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739</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(277)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F0FFFF"/>
          </w:tcPr>
          <w:p>
            <w:pPr>
              <w:ind w:left="160"/>
              <w:spacing w:after="0" w:line="201" w:lineRule="exact"/>
              <w:rPr>
                <w:sz w:val="20"/>
                <w:szCs w:val="20"/>
                <w:color w:val="auto"/>
              </w:rPr>
            </w:pPr>
            <w:r>
              <w:rPr>
                <w:rFonts w:ascii="Arial" w:cs="Arial" w:eastAsia="Arial" w:hAnsi="Arial"/>
                <w:sz w:val="18"/>
                <w:szCs w:val="18"/>
                <w:color w:val="auto"/>
                <w:w w:val="98"/>
              </w:rPr>
              <w:t>Amounts reclassified into net income on</w:t>
            </w: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F0FFFF"/>
          </w:tcPr>
          <w:p>
            <w:pPr>
              <w:ind w:left="320"/>
              <w:spacing w:after="0"/>
              <w:rPr>
                <w:sz w:val="20"/>
                <w:szCs w:val="20"/>
                <w:color w:val="auto"/>
              </w:rPr>
            </w:pPr>
            <w:r>
              <w:rPr>
                <w:rFonts w:ascii="Arial" w:cs="Arial" w:eastAsia="Arial" w:hAnsi="Arial"/>
                <w:sz w:val="18"/>
                <w:szCs w:val="18"/>
                <w:color w:val="auto"/>
              </w:rPr>
              <w:t>cash flow hedges</w:t>
            </w:r>
          </w:p>
        </w:tc>
        <w:tc>
          <w:tcPr>
            <w:tcW w:w="120" w:type="dxa"/>
            <w:vAlign w:val="bottom"/>
            <w:shd w:val="clear" w:color="auto" w:fill="F0FFFF"/>
          </w:tcPr>
          <w:p>
            <w:pPr>
              <w:spacing w:after="0"/>
              <w:rPr>
                <w:sz w:val="20"/>
                <w:szCs w:val="20"/>
                <w:color w:val="auto"/>
              </w:rPr>
            </w:pPr>
          </w:p>
        </w:tc>
        <w:tc>
          <w:tcPr>
            <w:tcW w:w="11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573</w:t>
            </w:r>
          </w:p>
        </w:tc>
        <w:tc>
          <w:tcPr>
            <w:tcW w:w="1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2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(223)</w:t>
            </w:r>
          </w:p>
        </w:tc>
        <w:tc>
          <w:tcPr>
            <w:tcW w:w="14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350</w:t>
            </w:r>
          </w:p>
        </w:tc>
        <w:tc>
          <w:tcPr>
            <w:tcW w:w="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670</w:t>
            </w:r>
          </w:p>
        </w:tc>
        <w:tc>
          <w:tcPr>
            <w:tcW w:w="14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(261)</w:t>
            </w:r>
          </w:p>
        </w:tc>
        <w:tc>
          <w:tcPr>
            <w:tcW w:w="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8"/>
              </w:rPr>
              <w:t>Unrealized losses on derivative financial</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320"/>
              <w:spacing w:after="0"/>
              <w:rPr>
                <w:sz w:val="20"/>
                <w:szCs w:val="20"/>
                <w:color w:val="auto"/>
              </w:rPr>
            </w:pPr>
            <w:r>
              <w:rPr>
                <w:rFonts w:ascii="Arial" w:cs="Arial" w:eastAsia="Arial" w:hAnsi="Arial"/>
                <w:sz w:val="18"/>
                <w:szCs w:val="18"/>
                <w:color w:val="auto"/>
                <w:w w:val="95"/>
              </w:rPr>
              <w:t>instruments accounted for as cash flow</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320"/>
              <w:spacing w:after="0"/>
              <w:rPr>
                <w:sz w:val="20"/>
                <w:szCs w:val="20"/>
                <w:color w:val="auto"/>
              </w:rPr>
            </w:pPr>
            <w:r>
              <w:rPr>
                <w:rFonts w:ascii="Arial" w:cs="Arial" w:eastAsia="Arial" w:hAnsi="Arial"/>
                <w:sz w:val="18"/>
                <w:szCs w:val="18"/>
                <w:color w:val="auto"/>
              </w:rPr>
              <w:t>hedges</w:t>
            </w:r>
          </w:p>
        </w:tc>
        <w:tc>
          <w:tcPr>
            <w:tcW w:w="12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(3,547)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1,380</w:t>
            </w:r>
          </w:p>
        </w:tc>
        <w:tc>
          <w:tcPr>
            <w:tcW w:w="14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(2,167)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(6,379)</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2,482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(3,897)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F0FFFF"/>
          </w:tcPr>
          <w:p>
            <w:pPr>
              <w:ind w:left="320"/>
              <w:spacing w:after="0"/>
              <w:rPr>
                <w:sz w:val="20"/>
                <w:szCs w:val="20"/>
                <w:color w:val="auto"/>
              </w:rPr>
            </w:pPr>
            <w:r>
              <w:rPr>
                <w:rFonts w:ascii="Arial" w:cs="Arial" w:eastAsia="Arial" w:hAnsi="Arial"/>
                <w:sz w:val="18"/>
                <w:szCs w:val="18"/>
                <w:color w:val="auto"/>
              </w:rPr>
              <w:t>Net unrealized losses</w:t>
            </w:r>
          </w:p>
        </w:tc>
        <w:tc>
          <w:tcPr>
            <w:tcW w:w="12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(2,974)</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1,157</w:t>
            </w:r>
          </w:p>
        </w:tc>
        <w:tc>
          <w:tcPr>
            <w:tcW w:w="1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(1,817)</w:t>
            </w: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(5,709)</w:t>
            </w:r>
          </w:p>
        </w:tc>
        <w:tc>
          <w:tcPr>
            <w:tcW w:w="1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2,221</w:t>
            </w: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(3,488)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Net actuarial gain on defined benefit</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320"/>
              <w:spacing w:after="0"/>
              <w:rPr>
                <w:sz w:val="20"/>
                <w:szCs w:val="20"/>
                <w:color w:val="auto"/>
              </w:rPr>
            </w:pPr>
            <w:r>
              <w:rPr>
                <w:rFonts w:ascii="Arial" w:cs="Arial" w:eastAsia="Arial" w:hAnsi="Arial"/>
                <w:sz w:val="18"/>
                <w:szCs w:val="18"/>
                <w:color w:val="auto"/>
              </w:rPr>
              <w:t>pension plan</w:t>
            </w:r>
          </w:p>
        </w:tc>
        <w:tc>
          <w:tcPr>
            <w:tcW w:w="12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296</w:t>
            </w:r>
          </w:p>
        </w:tc>
        <w:tc>
          <w:tcPr>
            <w:tcW w:w="14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F0FFFF"/>
          </w:tcPr>
          <w:p>
            <w:pPr>
              <w:ind w:left="160"/>
              <w:spacing w:after="0" w:line="201" w:lineRule="exact"/>
              <w:rPr>
                <w:sz w:val="20"/>
                <w:szCs w:val="20"/>
                <w:color w:val="auto"/>
              </w:rPr>
            </w:pPr>
            <w:r>
              <w:rPr>
                <w:rFonts w:ascii="Arial" w:cs="Arial" w:eastAsia="Arial" w:hAnsi="Arial"/>
                <w:sz w:val="18"/>
                <w:szCs w:val="18"/>
                <w:color w:val="auto"/>
              </w:rPr>
              <w:t>Amortization of prior service cost and</w:t>
            </w: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F0FFFF"/>
          </w:tcPr>
          <w:p>
            <w:pPr>
              <w:ind w:left="320"/>
              <w:spacing w:after="0"/>
              <w:rPr>
                <w:sz w:val="20"/>
                <w:szCs w:val="20"/>
                <w:color w:val="auto"/>
              </w:rPr>
            </w:pPr>
            <w:r>
              <w:rPr>
                <w:rFonts w:ascii="Arial" w:cs="Arial" w:eastAsia="Arial" w:hAnsi="Arial"/>
                <w:sz w:val="18"/>
                <w:szCs w:val="18"/>
                <w:color w:val="auto"/>
                <w:w w:val="95"/>
              </w:rPr>
              <w:t>actuarial losses included in net periodic</w:t>
            </w: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F0FFFF"/>
          </w:tcPr>
          <w:p>
            <w:pPr>
              <w:ind w:left="320"/>
              <w:spacing w:after="0"/>
              <w:rPr>
                <w:sz w:val="20"/>
                <w:szCs w:val="20"/>
                <w:color w:val="auto"/>
              </w:rPr>
            </w:pPr>
            <w:r>
              <w:rPr>
                <w:rFonts w:ascii="Arial" w:cs="Arial" w:eastAsia="Arial" w:hAnsi="Arial"/>
                <w:sz w:val="18"/>
                <w:szCs w:val="18"/>
                <w:color w:val="auto"/>
              </w:rPr>
              <w:t>pension cost for defined benefit</w:t>
            </w: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gridSpan w:val="2"/>
            <w:shd w:val="clear" w:color="auto" w:fill="F0FFFF"/>
          </w:tcPr>
          <w:p>
            <w:pPr>
              <w:ind w:left="320"/>
              <w:spacing w:after="0"/>
              <w:rPr>
                <w:sz w:val="20"/>
                <w:szCs w:val="20"/>
                <w:color w:val="auto"/>
              </w:rPr>
            </w:pPr>
            <w:r>
              <w:rPr>
                <w:rFonts w:ascii="Arial" w:cs="Arial" w:eastAsia="Arial" w:hAnsi="Arial"/>
                <w:sz w:val="18"/>
                <w:szCs w:val="18"/>
                <w:color w:val="auto"/>
              </w:rPr>
              <w:t>pension plan</w:t>
            </w:r>
          </w:p>
        </w:tc>
        <w:tc>
          <w:tcPr>
            <w:tcW w:w="120" w:type="dxa"/>
            <w:vAlign w:val="bottom"/>
            <w:shd w:val="clear" w:color="auto" w:fill="F0FFFF"/>
          </w:tcPr>
          <w:p>
            <w:pPr>
              <w:spacing w:after="0"/>
              <w:rPr>
                <w:sz w:val="20"/>
                <w:szCs w:val="20"/>
                <w:color w:val="auto"/>
              </w:rPr>
            </w:pPr>
          </w:p>
        </w:tc>
        <w:tc>
          <w:tcPr>
            <w:tcW w:w="11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2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(36)</w:t>
            </w:r>
          </w:p>
        </w:tc>
        <w:tc>
          <w:tcPr>
            <w:tcW w:w="14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56</w:t>
            </w:r>
          </w:p>
        </w:tc>
        <w:tc>
          <w:tcPr>
            <w:tcW w:w="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183</w:t>
            </w:r>
          </w:p>
        </w:tc>
        <w:tc>
          <w:tcPr>
            <w:tcW w:w="14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(71)</w:t>
            </w:r>
          </w:p>
        </w:tc>
        <w:tc>
          <w:tcPr>
            <w:tcW w:w="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Borders>
              <w:top w:val="single" w:sz="8" w:color="F0FFFF"/>
            </w:tcBorders>
            <w:gridSpan w:val="2"/>
          </w:tcPr>
          <w:p>
            <w:pPr>
              <w:ind w:left="320"/>
              <w:spacing w:after="0" w:line="201" w:lineRule="exact"/>
              <w:rPr>
                <w:sz w:val="20"/>
                <w:szCs w:val="20"/>
                <w:color w:val="auto"/>
              </w:rPr>
            </w:pPr>
            <w:r>
              <w:rPr>
                <w:rFonts w:ascii="Arial" w:cs="Arial" w:eastAsia="Arial" w:hAnsi="Arial"/>
                <w:sz w:val="18"/>
                <w:szCs w:val="18"/>
                <w:color w:val="auto"/>
              </w:rPr>
              <w:t>Net defined benefit pension plan</w:t>
            </w: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F0FF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Borders>
              <w:top w:val="single" w:sz="8" w:color="F0FF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480"/>
              <w:spacing w:after="0"/>
              <w:rPr>
                <w:sz w:val="20"/>
                <w:szCs w:val="20"/>
                <w:color w:val="auto"/>
              </w:rPr>
            </w:pPr>
            <w:r>
              <w:rPr>
                <w:rFonts w:ascii="Arial" w:cs="Arial" w:eastAsia="Arial" w:hAnsi="Arial"/>
                <w:sz w:val="18"/>
                <w:szCs w:val="18"/>
                <w:color w:val="auto"/>
              </w:rPr>
              <w:t>activity</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479</w:t>
            </w:r>
          </w:p>
        </w:tc>
        <w:tc>
          <w:tcPr>
            <w:tcW w:w="14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F0FFFF"/>
          </w:tcPr>
          <w:p>
            <w:pPr>
              <w:ind w:left="480"/>
              <w:spacing w:after="0"/>
              <w:rPr>
                <w:sz w:val="20"/>
                <w:szCs w:val="20"/>
                <w:color w:val="auto"/>
              </w:rPr>
            </w:pPr>
            <w:r>
              <w:rPr>
                <w:rFonts w:ascii="Arial" w:cs="Arial" w:eastAsia="Arial" w:hAnsi="Arial"/>
                <w:sz w:val="18"/>
                <w:szCs w:val="18"/>
                <w:color w:val="auto"/>
              </w:rPr>
              <w:t>Total other comprehensive income</w:t>
            </w: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4,276</w:t>
            </w: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(1,524)</w:t>
            </w:r>
          </w:p>
        </w:tc>
        <w:tc>
          <w:tcPr>
            <w:tcW w:w="1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2,752</w:t>
            </w: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5,910</w:t>
            </w:r>
          </w:p>
        </w:tc>
        <w:tc>
          <w:tcPr>
            <w:tcW w:w="1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(2,082)</w:t>
            </w: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3,828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shd w:val="clear" w:color="auto" w:fill="F0FFFF"/>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480"/>
              <w:spacing w:after="0"/>
              <w:rPr>
                <w:sz w:val="20"/>
                <w:szCs w:val="20"/>
                <w:color w:val="auto"/>
              </w:rPr>
            </w:pPr>
            <w:r>
              <w:rPr>
                <w:rFonts w:ascii="Arial" w:cs="Arial" w:eastAsia="Arial" w:hAnsi="Arial"/>
                <w:sz w:val="18"/>
                <w:szCs w:val="18"/>
                <w:color w:val="auto"/>
              </w:rPr>
              <w:t>Comprehensive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30,260</w:t>
            </w:r>
          </w:p>
        </w:tc>
        <w:tc>
          <w:tcPr>
            <w:tcW w:w="14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(11,151)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19,109</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56,332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(20,747)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35,585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80" w:type="dxa"/>
            <w:vAlign w:val="bottom"/>
            <w:tcBorders>
              <w:bottom w:val="single" w:sz="8" w:color="auto"/>
            </w:tcBorders>
            <w:shd w:val="clear" w:color="auto" w:fill="F0FFFF"/>
          </w:tcPr>
          <w:p>
            <w:pPr>
              <w:spacing w:after="0"/>
              <w:rPr>
                <w:sz w:val="20"/>
                <w:szCs w:val="20"/>
                <w:color w:val="auto"/>
              </w:rPr>
            </w:pPr>
            <w:r>
              <w:rPr>
                <w:rFonts w:ascii="Arial" w:cs="Arial" w:eastAsia="Arial" w:hAnsi="Arial"/>
                <w:sz w:val="18"/>
                <w:szCs w:val="18"/>
                <w:b w:val="1"/>
                <w:bCs w:val="1"/>
                <w:color w:val="auto"/>
              </w:rPr>
              <w:t>2013</w:t>
            </w:r>
          </w:p>
        </w:tc>
        <w:tc>
          <w:tcPr>
            <w:tcW w:w="140" w:type="dxa"/>
            <w:vAlign w:val="bottom"/>
            <w:tcBorders>
              <w:bottom w:val="single" w:sz="8" w:color="F0FFFF"/>
            </w:tcBorders>
            <w:shd w:val="clear" w:color="auto" w:fill="F0FFFF"/>
          </w:tcPr>
          <w:p>
            <w:pPr>
              <w:spacing w:after="0"/>
              <w:rPr>
                <w:sz w:val="18"/>
                <w:szCs w:val="18"/>
                <w:color w:val="auto"/>
              </w:rPr>
            </w:pPr>
          </w:p>
        </w:tc>
        <w:tc>
          <w:tcPr>
            <w:tcW w:w="120" w:type="dxa"/>
            <w:vAlign w:val="bottom"/>
            <w:tcBorders>
              <w:bottom w:val="single" w:sz="8" w:color="F0FFFF"/>
            </w:tcBorders>
            <w:shd w:val="clear" w:color="auto" w:fill="F0FFFF"/>
          </w:tcPr>
          <w:p>
            <w:pPr>
              <w:spacing w:after="0"/>
              <w:rPr>
                <w:sz w:val="18"/>
                <w:szCs w:val="18"/>
                <w:color w:val="auto"/>
              </w:rPr>
            </w:pPr>
          </w:p>
        </w:tc>
        <w:tc>
          <w:tcPr>
            <w:tcW w:w="1040" w:type="dxa"/>
            <w:vAlign w:val="bottom"/>
            <w:tcBorders>
              <w:bottom w:val="single" w:sz="8" w:color="F0FFFF"/>
            </w:tcBorders>
            <w:shd w:val="clear" w:color="auto" w:fill="F0FFFF"/>
          </w:tcPr>
          <w:p>
            <w:pPr>
              <w:spacing w:after="0"/>
              <w:rPr>
                <w:sz w:val="18"/>
                <w:szCs w:val="18"/>
                <w:color w:val="auto"/>
              </w:rPr>
            </w:pPr>
          </w:p>
        </w:tc>
        <w:tc>
          <w:tcPr>
            <w:tcW w:w="140" w:type="dxa"/>
            <w:vAlign w:val="bottom"/>
            <w:tcBorders>
              <w:bottom w:val="single" w:sz="8" w:color="F0FFFF"/>
            </w:tcBorders>
            <w:shd w:val="clear" w:color="auto" w:fill="F0FFFF"/>
          </w:tcPr>
          <w:p>
            <w:pPr>
              <w:spacing w:after="0"/>
              <w:rPr>
                <w:sz w:val="18"/>
                <w:szCs w:val="18"/>
                <w:color w:val="auto"/>
              </w:rPr>
            </w:pPr>
          </w:p>
        </w:tc>
        <w:tc>
          <w:tcPr>
            <w:tcW w:w="100" w:type="dxa"/>
            <w:vAlign w:val="bottom"/>
            <w:tcBorders>
              <w:bottom w:val="single" w:sz="8" w:color="F0FFFF"/>
            </w:tcBorders>
            <w:shd w:val="clear" w:color="auto" w:fill="F0FFFF"/>
          </w:tcPr>
          <w:p>
            <w:pPr>
              <w:spacing w:after="0"/>
              <w:rPr>
                <w:sz w:val="18"/>
                <w:szCs w:val="18"/>
                <w:color w:val="auto"/>
              </w:rPr>
            </w:pPr>
          </w:p>
        </w:tc>
        <w:tc>
          <w:tcPr>
            <w:tcW w:w="140" w:type="dxa"/>
            <w:vAlign w:val="bottom"/>
            <w:tcBorders>
              <w:bottom w:val="single" w:sz="8" w:color="F0FFFF"/>
            </w:tcBorders>
            <w:shd w:val="clear" w:color="auto" w:fill="F0FFFF"/>
          </w:tcPr>
          <w:p>
            <w:pPr>
              <w:spacing w:after="0"/>
              <w:rPr>
                <w:sz w:val="18"/>
                <w:szCs w:val="18"/>
                <w:color w:val="auto"/>
              </w:rPr>
            </w:pPr>
          </w:p>
        </w:tc>
        <w:tc>
          <w:tcPr>
            <w:tcW w:w="1020" w:type="dxa"/>
            <w:vAlign w:val="bottom"/>
            <w:tcBorders>
              <w:bottom w:val="single" w:sz="8" w:color="F0FFFF"/>
            </w:tcBorders>
            <w:shd w:val="clear" w:color="auto" w:fill="F0FFFF"/>
          </w:tcPr>
          <w:p>
            <w:pPr>
              <w:spacing w:after="0"/>
              <w:rPr>
                <w:sz w:val="18"/>
                <w:szCs w:val="18"/>
                <w:color w:val="auto"/>
              </w:rPr>
            </w:pPr>
          </w:p>
        </w:tc>
        <w:tc>
          <w:tcPr>
            <w:tcW w:w="220" w:type="dxa"/>
            <w:vAlign w:val="bottom"/>
            <w:tcBorders>
              <w:bottom w:val="single" w:sz="8" w:color="F0FFFF"/>
            </w:tcBorders>
            <w:shd w:val="clear" w:color="auto" w:fill="F0FFFF"/>
          </w:tcPr>
          <w:p>
            <w:pPr>
              <w:spacing w:after="0"/>
              <w:rPr>
                <w:sz w:val="18"/>
                <w:szCs w:val="18"/>
                <w:color w:val="auto"/>
              </w:rPr>
            </w:pPr>
          </w:p>
        </w:tc>
        <w:tc>
          <w:tcPr>
            <w:tcW w:w="140" w:type="dxa"/>
            <w:vAlign w:val="bottom"/>
            <w:tcBorders>
              <w:bottom w:val="single" w:sz="8" w:color="F0FFFF"/>
            </w:tcBorders>
            <w:shd w:val="clear" w:color="auto" w:fill="F0FFFF"/>
          </w:tcPr>
          <w:p>
            <w:pPr>
              <w:spacing w:after="0"/>
              <w:rPr>
                <w:sz w:val="18"/>
                <w:szCs w:val="18"/>
                <w:color w:val="auto"/>
              </w:rPr>
            </w:pPr>
          </w:p>
        </w:tc>
        <w:tc>
          <w:tcPr>
            <w:tcW w:w="1000" w:type="dxa"/>
            <w:vAlign w:val="bottom"/>
            <w:tcBorders>
              <w:bottom w:val="single" w:sz="8" w:color="F0FFFF"/>
            </w:tcBorders>
            <w:shd w:val="clear" w:color="auto" w:fill="F0FFFF"/>
          </w:tcPr>
          <w:p>
            <w:pPr>
              <w:spacing w:after="0"/>
              <w:rPr>
                <w:sz w:val="18"/>
                <w:szCs w:val="18"/>
                <w:color w:val="auto"/>
              </w:rPr>
            </w:pPr>
          </w:p>
        </w:tc>
        <w:tc>
          <w:tcPr>
            <w:tcW w:w="140" w:type="dxa"/>
            <w:vAlign w:val="bottom"/>
            <w:tcBorders>
              <w:bottom w:val="single" w:sz="8" w:color="F0FFFF"/>
            </w:tcBorders>
            <w:shd w:val="clear" w:color="auto" w:fill="F0FFFF"/>
          </w:tcPr>
          <w:p>
            <w:pPr>
              <w:spacing w:after="0"/>
              <w:rPr>
                <w:sz w:val="18"/>
                <w:szCs w:val="18"/>
                <w:color w:val="auto"/>
              </w:rPr>
            </w:pPr>
          </w:p>
        </w:tc>
        <w:tc>
          <w:tcPr>
            <w:tcW w:w="80" w:type="dxa"/>
            <w:vAlign w:val="bottom"/>
            <w:tcBorders>
              <w:bottom w:val="single" w:sz="8" w:color="F0FFFF"/>
            </w:tcBorders>
            <w:shd w:val="clear" w:color="auto" w:fill="F0FFFF"/>
          </w:tcPr>
          <w:p>
            <w:pPr>
              <w:spacing w:after="0"/>
              <w:rPr>
                <w:sz w:val="18"/>
                <w:szCs w:val="18"/>
                <w:color w:val="auto"/>
              </w:rPr>
            </w:pPr>
          </w:p>
        </w:tc>
        <w:tc>
          <w:tcPr>
            <w:tcW w:w="120" w:type="dxa"/>
            <w:vAlign w:val="bottom"/>
            <w:tcBorders>
              <w:bottom w:val="single" w:sz="8" w:color="F0FFFF"/>
            </w:tcBorders>
            <w:shd w:val="clear" w:color="auto" w:fill="F0FFFF"/>
          </w:tcPr>
          <w:p>
            <w:pPr>
              <w:spacing w:after="0"/>
              <w:rPr>
                <w:sz w:val="18"/>
                <w:szCs w:val="18"/>
                <w:color w:val="auto"/>
              </w:rPr>
            </w:pPr>
          </w:p>
        </w:tc>
        <w:tc>
          <w:tcPr>
            <w:tcW w:w="1020" w:type="dxa"/>
            <w:vAlign w:val="bottom"/>
            <w:tcBorders>
              <w:bottom w:val="single" w:sz="8" w:color="F0FFFF"/>
            </w:tcBorders>
            <w:shd w:val="clear" w:color="auto" w:fill="F0FFFF"/>
          </w:tcPr>
          <w:p>
            <w:pPr>
              <w:spacing w:after="0"/>
              <w:rPr>
                <w:sz w:val="18"/>
                <w:szCs w:val="18"/>
                <w:color w:val="auto"/>
              </w:rPr>
            </w:pPr>
          </w:p>
        </w:tc>
        <w:tc>
          <w:tcPr>
            <w:tcW w:w="200" w:type="dxa"/>
            <w:vAlign w:val="bottom"/>
            <w:tcBorders>
              <w:bottom w:val="single" w:sz="8" w:color="F0FFFF"/>
            </w:tcBorders>
            <w:shd w:val="clear" w:color="auto" w:fill="F0FFFF"/>
          </w:tcPr>
          <w:p>
            <w:pPr>
              <w:spacing w:after="0"/>
              <w:rPr>
                <w:sz w:val="18"/>
                <w:szCs w:val="18"/>
                <w:color w:val="auto"/>
              </w:rPr>
            </w:pPr>
          </w:p>
        </w:tc>
        <w:tc>
          <w:tcPr>
            <w:tcW w:w="140" w:type="dxa"/>
            <w:vAlign w:val="bottom"/>
            <w:tcBorders>
              <w:bottom w:val="single" w:sz="8" w:color="F0FFFF"/>
            </w:tcBorders>
            <w:shd w:val="clear" w:color="auto" w:fill="F0FFFF"/>
          </w:tcPr>
          <w:p>
            <w:pPr>
              <w:spacing w:after="0"/>
              <w:rPr>
                <w:sz w:val="18"/>
                <w:szCs w:val="18"/>
                <w:color w:val="auto"/>
              </w:rPr>
            </w:pPr>
          </w:p>
        </w:tc>
        <w:tc>
          <w:tcPr>
            <w:tcW w:w="1000" w:type="dxa"/>
            <w:vAlign w:val="bottom"/>
            <w:tcBorders>
              <w:bottom w:val="single" w:sz="8" w:color="F0FFFF"/>
            </w:tcBorders>
            <w:shd w:val="clear" w:color="auto" w:fill="F0FFFF"/>
          </w:tcPr>
          <w:p>
            <w:pPr>
              <w:spacing w:after="0"/>
              <w:rPr>
                <w:sz w:val="18"/>
                <w:szCs w:val="18"/>
                <w:color w:val="auto"/>
              </w:rPr>
            </w:pPr>
          </w:p>
        </w:tc>
        <w:tc>
          <w:tcPr>
            <w:tcW w:w="140" w:type="dxa"/>
            <w:vAlign w:val="bottom"/>
            <w:tcBorders>
              <w:bottom w:val="single" w:sz="8" w:color="F0FFFF"/>
            </w:tcBorders>
            <w:shd w:val="clear" w:color="auto" w:fill="F0FFFF"/>
          </w:tcPr>
          <w:p>
            <w:pPr>
              <w:spacing w:after="0"/>
              <w:rPr>
                <w:sz w:val="18"/>
                <w:szCs w:val="18"/>
                <w:color w:val="auto"/>
              </w:rPr>
            </w:pPr>
          </w:p>
        </w:tc>
        <w:tc>
          <w:tcPr>
            <w:tcW w:w="80" w:type="dxa"/>
            <w:vAlign w:val="bottom"/>
            <w:tcBorders>
              <w:bottom w:val="single" w:sz="8" w:color="F0FFFF"/>
            </w:tcBorders>
            <w:shd w:val="clear" w:color="auto" w:fill="F0FFFF"/>
          </w:tcPr>
          <w:p>
            <w:pPr>
              <w:spacing w:after="0"/>
              <w:rPr>
                <w:sz w:val="18"/>
                <w:szCs w:val="18"/>
                <w:color w:val="auto"/>
              </w:rPr>
            </w:pPr>
          </w:p>
        </w:tc>
        <w:tc>
          <w:tcPr>
            <w:tcW w:w="120" w:type="dxa"/>
            <w:vAlign w:val="bottom"/>
            <w:tcBorders>
              <w:bottom w:val="single" w:sz="8" w:color="F0FFFF"/>
            </w:tcBorders>
            <w:shd w:val="clear" w:color="auto" w:fill="F0FFFF"/>
          </w:tcPr>
          <w:p>
            <w:pPr>
              <w:spacing w:after="0"/>
              <w:rPr>
                <w:sz w:val="18"/>
                <w:szCs w:val="18"/>
                <w:color w:val="auto"/>
              </w:rPr>
            </w:pPr>
          </w:p>
        </w:tc>
        <w:tc>
          <w:tcPr>
            <w:tcW w:w="1020" w:type="dxa"/>
            <w:vAlign w:val="bottom"/>
            <w:tcBorders>
              <w:bottom w:val="single" w:sz="8" w:color="F0FFFF"/>
            </w:tcBorders>
            <w:shd w:val="clear" w:color="auto" w:fill="F0FFFF"/>
          </w:tcPr>
          <w:p>
            <w:pPr>
              <w:spacing w:after="0"/>
              <w:rPr>
                <w:sz w:val="18"/>
                <w:szCs w:val="18"/>
                <w:color w:val="auto"/>
              </w:rPr>
            </w:pPr>
          </w:p>
        </w:tc>
        <w:tc>
          <w:tcPr>
            <w:tcW w:w="100" w:type="dxa"/>
            <w:vAlign w:val="bottom"/>
            <w:tcBorders>
              <w:bottom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(26,817)</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256,781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229,964</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(14,467)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256,196</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241,729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Other comprehensive income (loss):</w:t>
            </w: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Unrealized (losses) gains on available-</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320"/>
              <w:spacing w:after="0"/>
              <w:rPr>
                <w:sz w:val="20"/>
                <w:szCs w:val="20"/>
                <w:color w:val="auto"/>
              </w:rPr>
            </w:pPr>
            <w:r>
              <w:rPr>
                <w:rFonts w:ascii="Arial" w:cs="Arial" w:eastAsia="Arial" w:hAnsi="Arial"/>
                <w:sz w:val="18"/>
                <w:szCs w:val="18"/>
                <w:color w:val="auto"/>
              </w:rPr>
              <w:t>for-sale securities:</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F0FFFF"/>
          </w:tcPr>
          <w:p>
            <w:pPr>
              <w:ind w:left="320"/>
              <w:spacing w:after="0" w:line="201" w:lineRule="exact"/>
              <w:rPr>
                <w:sz w:val="20"/>
                <w:szCs w:val="20"/>
                <w:color w:val="auto"/>
              </w:rPr>
            </w:pPr>
            <w:r>
              <w:rPr>
                <w:rFonts w:ascii="Arial" w:cs="Arial" w:eastAsia="Arial" w:hAnsi="Arial"/>
                <w:sz w:val="18"/>
                <w:szCs w:val="18"/>
                <w:color w:val="auto"/>
              </w:rPr>
              <w:t>Unrealized holding gains (losses)</w:t>
            </w: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F0FFFF"/>
          </w:tcPr>
          <w:p>
            <w:pPr>
              <w:ind w:left="480"/>
              <w:spacing w:after="0"/>
              <w:rPr>
                <w:sz w:val="20"/>
                <w:szCs w:val="20"/>
                <w:color w:val="auto"/>
              </w:rPr>
            </w:pPr>
            <w:r>
              <w:rPr>
                <w:rFonts w:ascii="Arial" w:cs="Arial" w:eastAsia="Arial" w:hAnsi="Arial"/>
                <w:sz w:val="18"/>
                <w:szCs w:val="18"/>
                <w:color w:val="auto"/>
              </w:rPr>
              <w:t>arising during period</w:t>
            </w:r>
          </w:p>
        </w:tc>
        <w:tc>
          <w:tcPr>
            <w:tcW w:w="120" w:type="dxa"/>
            <w:vAlign w:val="bottom"/>
            <w:shd w:val="clear" w:color="auto" w:fill="F0FFFF"/>
          </w:tcPr>
          <w:p>
            <w:pPr>
              <w:spacing w:after="0"/>
              <w:rPr>
                <w:sz w:val="20"/>
                <w:szCs w:val="20"/>
                <w:color w:val="auto"/>
              </w:rPr>
            </w:pPr>
          </w:p>
        </w:tc>
        <w:tc>
          <w:tcPr>
            <w:tcW w:w="11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(15,358)</w:t>
            </w:r>
          </w:p>
        </w:tc>
        <w:tc>
          <w:tcPr>
            <w:tcW w:w="1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5,798</w:t>
            </w:r>
          </w:p>
        </w:tc>
        <w:tc>
          <w:tcPr>
            <w:tcW w:w="14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(9,560)</w:t>
            </w:r>
          </w:p>
        </w:tc>
        <w:tc>
          <w:tcPr>
            <w:tcW w:w="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2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(13,717)</w:t>
            </w:r>
          </w:p>
        </w:tc>
        <w:tc>
          <w:tcPr>
            <w:tcW w:w="14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5,177</w:t>
            </w:r>
          </w:p>
        </w:tc>
        <w:tc>
          <w:tcPr>
            <w:tcW w:w="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(8,540)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Reclassification adjustment for gains</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480"/>
              <w:spacing w:after="0"/>
              <w:rPr>
                <w:sz w:val="20"/>
                <w:szCs w:val="20"/>
                <w:color w:val="auto"/>
              </w:rPr>
            </w:pPr>
            <w:r>
              <w:rPr>
                <w:rFonts w:ascii="Arial" w:cs="Arial" w:eastAsia="Arial" w:hAnsi="Arial"/>
                <w:sz w:val="18"/>
                <w:szCs w:val="18"/>
                <w:color w:val="auto"/>
              </w:rPr>
              <w:t>included in net income</w:t>
            </w:r>
          </w:p>
        </w:tc>
        <w:tc>
          <w:tcPr>
            <w:tcW w:w="12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F0FFFF"/>
          </w:tcPr>
          <w:p>
            <w:pPr>
              <w:ind w:left="320"/>
              <w:spacing w:after="0" w:line="201" w:lineRule="exact"/>
              <w:rPr>
                <w:sz w:val="20"/>
                <w:szCs w:val="20"/>
                <w:color w:val="auto"/>
              </w:rPr>
            </w:pPr>
            <w:r>
              <w:rPr>
                <w:rFonts w:ascii="Arial" w:cs="Arial" w:eastAsia="Arial" w:hAnsi="Arial"/>
                <w:sz w:val="18"/>
                <w:szCs w:val="18"/>
                <w:color w:val="auto"/>
                <w:w w:val="99"/>
              </w:rPr>
              <w:t>Adjustment of valuation allowance for</w:t>
            </w: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F0FFFF"/>
          </w:tcPr>
          <w:p>
            <w:pPr>
              <w:ind w:left="480"/>
              <w:spacing w:after="0"/>
              <w:rPr>
                <w:sz w:val="20"/>
                <w:szCs w:val="20"/>
                <w:color w:val="auto"/>
              </w:rPr>
            </w:pPr>
            <w:r>
              <w:rPr>
                <w:rFonts w:ascii="Arial" w:cs="Arial" w:eastAsia="Arial" w:hAnsi="Arial"/>
                <w:sz w:val="18"/>
                <w:szCs w:val="18"/>
                <w:color w:val="auto"/>
                <w:w w:val="98"/>
              </w:rPr>
              <w:t>the change in deferred taxes arising</w:t>
            </w: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F0FFFF"/>
          </w:tcPr>
          <w:p>
            <w:pPr>
              <w:ind w:left="480"/>
              <w:spacing w:after="0"/>
              <w:rPr>
                <w:sz w:val="20"/>
                <w:szCs w:val="20"/>
                <w:color w:val="auto"/>
              </w:rPr>
            </w:pPr>
            <w:r>
              <w:rPr>
                <w:rFonts w:ascii="Arial" w:cs="Arial" w:eastAsia="Arial" w:hAnsi="Arial"/>
                <w:sz w:val="18"/>
                <w:szCs w:val="18"/>
                <w:color w:val="auto"/>
                <w:w w:val="97"/>
              </w:rPr>
              <w:t>from unrealized gains and losses on</w:t>
            </w: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F0FFFF"/>
          </w:tcPr>
          <w:p>
            <w:pPr>
              <w:ind w:left="480"/>
              <w:spacing w:after="0"/>
              <w:rPr>
                <w:sz w:val="20"/>
                <w:szCs w:val="20"/>
                <w:color w:val="auto"/>
              </w:rPr>
            </w:pPr>
            <w:r>
              <w:rPr>
                <w:rFonts w:ascii="Arial" w:cs="Arial" w:eastAsia="Arial" w:hAnsi="Arial"/>
                <w:sz w:val="18"/>
                <w:szCs w:val="18"/>
                <w:color w:val="auto"/>
              </w:rPr>
              <w:t>available-for-sale securities and</w:t>
            </w: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F0FFFF"/>
          </w:tcPr>
          <w:p>
            <w:pPr>
              <w:ind w:left="480"/>
              <w:spacing w:after="0"/>
              <w:rPr>
                <w:sz w:val="20"/>
                <w:szCs w:val="20"/>
                <w:color w:val="auto"/>
              </w:rPr>
            </w:pPr>
            <w:r>
              <w:rPr>
                <w:rFonts w:ascii="Arial" w:cs="Arial" w:eastAsia="Arial" w:hAnsi="Arial"/>
                <w:sz w:val="18"/>
                <w:szCs w:val="18"/>
                <w:color w:val="auto"/>
              </w:rPr>
              <w:t>release of valuation allowance</w:t>
            </w:r>
          </w:p>
        </w:tc>
        <w:tc>
          <w:tcPr>
            <w:tcW w:w="120" w:type="dxa"/>
            <w:vAlign w:val="bottom"/>
            <w:shd w:val="clear" w:color="auto" w:fill="F0FFFF"/>
          </w:tcPr>
          <w:p>
            <w:pPr>
              <w:spacing w:after="0"/>
              <w:rPr>
                <w:sz w:val="20"/>
                <w:szCs w:val="20"/>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2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(3,526)</w:t>
            </w:r>
          </w:p>
        </w:tc>
        <w:tc>
          <w:tcPr>
            <w:tcW w:w="14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(3,526)</w:t>
            </w:r>
          </w:p>
        </w:tc>
        <w:tc>
          <w:tcPr>
            <w:tcW w:w="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(2,950)</w:t>
            </w:r>
          </w:p>
        </w:tc>
        <w:tc>
          <w:tcPr>
            <w:tcW w:w="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(2,950)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shd w:val="clear" w:color="auto" w:fill="F0FFFF"/>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480"/>
              <w:spacing w:after="0"/>
              <w:rPr>
                <w:sz w:val="20"/>
                <w:szCs w:val="20"/>
                <w:color w:val="auto"/>
              </w:rPr>
            </w:pPr>
            <w:r>
              <w:rPr>
                <w:rFonts w:ascii="Arial" w:cs="Arial" w:eastAsia="Arial" w:hAnsi="Arial"/>
                <w:sz w:val="18"/>
                <w:szCs w:val="18"/>
                <w:color w:val="auto"/>
              </w:rPr>
              <w:t>Net unrealized gains (losses)</w:t>
            </w: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(15,358)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2,272</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(13,086)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(13,833)</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2,272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(11,561)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Amortization of gains included in net</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320"/>
              <w:spacing w:after="0"/>
              <w:rPr>
                <w:sz w:val="20"/>
                <w:szCs w:val="20"/>
                <w:color w:val="auto"/>
              </w:rPr>
            </w:pPr>
            <w:r>
              <w:rPr>
                <w:rFonts w:ascii="Arial" w:cs="Arial" w:eastAsia="Arial" w:hAnsi="Arial"/>
                <w:sz w:val="18"/>
                <w:szCs w:val="18"/>
                <w:color w:val="auto"/>
                <w:w w:val="97"/>
              </w:rPr>
              <w:t>income on available-for-sale securities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320"/>
              <w:spacing w:after="0"/>
              <w:rPr>
                <w:sz w:val="20"/>
                <w:szCs w:val="20"/>
                <w:color w:val="auto"/>
              </w:rPr>
            </w:pPr>
            <w:r>
              <w:rPr>
                <w:rFonts w:ascii="Arial" w:cs="Arial" w:eastAsia="Arial" w:hAnsi="Arial"/>
                <w:sz w:val="18"/>
                <w:szCs w:val="18"/>
                <w:color w:val="auto"/>
              </w:rPr>
              <w:t>transferred to held-to-maturity</w:t>
            </w:r>
          </w:p>
        </w:tc>
        <w:tc>
          <w:tcPr>
            <w:tcW w:w="12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(590)</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227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F0FFFF"/>
          </w:tcPr>
          <w:p>
            <w:pPr>
              <w:ind w:left="160"/>
              <w:spacing w:after="0" w:line="201" w:lineRule="exact"/>
              <w:rPr>
                <w:sz w:val="20"/>
                <w:szCs w:val="20"/>
                <w:color w:val="auto"/>
              </w:rPr>
            </w:pPr>
            <w:r>
              <w:rPr>
                <w:rFonts w:ascii="Arial" w:cs="Arial" w:eastAsia="Arial" w:hAnsi="Arial"/>
                <w:sz w:val="18"/>
                <w:szCs w:val="18"/>
                <w:color w:val="auto"/>
              </w:rPr>
              <w:t>Adjustment of valuation allowance for</w:t>
            </w: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F0FFFF"/>
          </w:tcPr>
          <w:p>
            <w:pPr>
              <w:ind w:left="320"/>
              <w:spacing w:after="0"/>
              <w:rPr>
                <w:sz w:val="20"/>
                <w:szCs w:val="20"/>
                <w:color w:val="auto"/>
              </w:rPr>
            </w:pPr>
            <w:r>
              <w:rPr>
                <w:rFonts w:ascii="Arial" w:cs="Arial" w:eastAsia="Arial" w:hAnsi="Arial"/>
                <w:sz w:val="18"/>
                <w:szCs w:val="18"/>
                <w:color w:val="auto"/>
              </w:rPr>
              <w:t>the change in deferred taxes arising</w:t>
            </w: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F0FFFF"/>
          </w:tcPr>
          <w:p>
            <w:pPr>
              <w:ind w:left="320"/>
              <w:spacing w:after="0"/>
              <w:rPr>
                <w:sz w:val="20"/>
                <w:szCs w:val="20"/>
                <w:color w:val="auto"/>
              </w:rPr>
            </w:pPr>
            <w:r>
              <w:rPr>
                <w:rFonts w:ascii="Arial" w:cs="Arial" w:eastAsia="Arial" w:hAnsi="Arial"/>
                <w:sz w:val="18"/>
                <w:szCs w:val="18"/>
                <w:color w:val="auto"/>
                <w:w w:val="96"/>
              </w:rPr>
              <w:t>from the amortization of gains included</w:t>
            </w: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F0FFFF"/>
          </w:tcPr>
          <w:p>
            <w:pPr>
              <w:ind w:left="320"/>
              <w:spacing w:after="0"/>
              <w:rPr>
                <w:sz w:val="20"/>
                <w:szCs w:val="20"/>
                <w:color w:val="auto"/>
              </w:rPr>
            </w:pPr>
            <w:r>
              <w:rPr>
                <w:rFonts w:ascii="Arial" w:cs="Arial" w:eastAsia="Arial" w:hAnsi="Arial"/>
                <w:sz w:val="18"/>
                <w:szCs w:val="18"/>
                <w:color w:val="auto"/>
              </w:rPr>
              <w:t>in net income (loss) on available-for-</w:t>
            </w: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F0FFFF"/>
          </w:tcPr>
          <w:p>
            <w:pPr>
              <w:ind w:left="320"/>
              <w:spacing w:after="0"/>
              <w:rPr>
                <w:sz w:val="20"/>
                <w:szCs w:val="20"/>
                <w:color w:val="auto"/>
              </w:rPr>
            </w:pPr>
            <w:r>
              <w:rPr>
                <w:rFonts w:ascii="Arial" w:cs="Arial" w:eastAsia="Arial" w:hAnsi="Arial"/>
                <w:sz w:val="18"/>
                <w:szCs w:val="18"/>
                <w:color w:val="auto"/>
              </w:rPr>
              <w:t>sale securities transferred to held-to-</w:t>
            </w: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F0FFFF"/>
          </w:tcPr>
          <w:p>
            <w:pPr>
              <w:ind w:left="320"/>
              <w:spacing w:after="0"/>
              <w:rPr>
                <w:sz w:val="20"/>
                <w:szCs w:val="20"/>
                <w:color w:val="auto"/>
              </w:rPr>
            </w:pPr>
            <w:r>
              <w:rPr>
                <w:rFonts w:ascii="Arial" w:cs="Arial" w:eastAsia="Arial" w:hAnsi="Arial"/>
                <w:sz w:val="18"/>
                <w:szCs w:val="18"/>
                <w:color w:val="auto"/>
              </w:rPr>
              <w:t>maturity and release of valuation</w:t>
            </w: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F0FFFF"/>
          </w:tcPr>
          <w:p>
            <w:pPr>
              <w:ind w:left="320"/>
              <w:spacing w:after="0"/>
              <w:rPr>
                <w:sz w:val="20"/>
                <w:szCs w:val="20"/>
                <w:color w:val="auto"/>
              </w:rPr>
            </w:pPr>
            <w:r>
              <w:rPr>
                <w:rFonts w:ascii="Arial" w:cs="Arial" w:eastAsia="Arial" w:hAnsi="Arial"/>
                <w:sz w:val="18"/>
                <w:szCs w:val="18"/>
                <w:color w:val="auto"/>
              </w:rPr>
              <w:t>allowance</w:t>
            </w:r>
          </w:p>
        </w:tc>
        <w:tc>
          <w:tcPr>
            <w:tcW w:w="120" w:type="dxa"/>
            <w:vAlign w:val="bottom"/>
            <w:shd w:val="clear" w:color="auto" w:fill="F0FFFF"/>
          </w:tcPr>
          <w:p>
            <w:pPr>
              <w:spacing w:after="0"/>
              <w:rPr>
                <w:sz w:val="20"/>
                <w:szCs w:val="20"/>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1,415</w:t>
            </w:r>
          </w:p>
        </w:tc>
        <w:tc>
          <w:tcPr>
            <w:tcW w:w="22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1,415</w:t>
            </w:r>
          </w:p>
        </w:tc>
        <w:tc>
          <w:tcPr>
            <w:tcW w:w="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1,293</w:t>
            </w:r>
          </w:p>
        </w:tc>
        <w:tc>
          <w:tcPr>
            <w:tcW w:w="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80" w:type="dxa"/>
            <w:vAlign w:val="bottom"/>
            <w:shd w:val="clear" w:color="auto" w:fill="F0FFFF"/>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480"/>
              <w:spacing w:after="0"/>
              <w:rPr>
                <w:sz w:val="20"/>
                <w:szCs w:val="20"/>
                <w:color w:val="auto"/>
              </w:rPr>
            </w:pPr>
            <w:r>
              <w:rPr>
                <w:rFonts w:ascii="Arial" w:cs="Arial" w:eastAsia="Arial" w:hAnsi="Arial"/>
                <w:sz w:val="18"/>
                <w:szCs w:val="18"/>
                <w:color w:val="auto"/>
              </w:rPr>
              <w:t>Net unrealized losses</w:t>
            </w: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1,518</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1,247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(590)</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F0FFFF"/>
          </w:tcPr>
          <w:p>
            <w:pPr>
              <w:ind w:left="160"/>
              <w:spacing w:after="0" w:line="201" w:lineRule="exact"/>
              <w:rPr>
                <w:sz w:val="20"/>
                <w:szCs w:val="20"/>
                <w:color w:val="auto"/>
              </w:rPr>
            </w:pPr>
            <w:r>
              <w:rPr>
                <w:rFonts w:ascii="Arial" w:cs="Arial" w:eastAsia="Arial" w:hAnsi="Arial"/>
                <w:sz w:val="18"/>
                <w:szCs w:val="18"/>
                <w:color w:val="auto"/>
                <w:w w:val="98"/>
              </w:rPr>
              <w:t>Amounts reclassified into net income on</w:t>
            </w: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F0FFFF"/>
          </w:tcPr>
          <w:p>
            <w:pPr>
              <w:ind w:left="320"/>
              <w:spacing w:after="0"/>
              <w:rPr>
                <w:sz w:val="20"/>
                <w:szCs w:val="20"/>
                <w:color w:val="auto"/>
              </w:rPr>
            </w:pPr>
            <w:r>
              <w:rPr>
                <w:rFonts w:ascii="Arial" w:cs="Arial" w:eastAsia="Arial" w:hAnsi="Arial"/>
                <w:sz w:val="18"/>
                <w:szCs w:val="18"/>
                <w:color w:val="auto"/>
              </w:rPr>
              <w:t>cash flow hedges</w:t>
            </w:r>
          </w:p>
        </w:tc>
        <w:tc>
          <w:tcPr>
            <w:tcW w:w="120" w:type="dxa"/>
            <w:vAlign w:val="bottom"/>
            <w:shd w:val="clear" w:color="auto" w:fill="F0FFFF"/>
          </w:tcPr>
          <w:p>
            <w:pPr>
              <w:spacing w:after="0"/>
              <w:rPr>
                <w:sz w:val="20"/>
                <w:szCs w:val="20"/>
                <w:color w:val="auto"/>
              </w:rPr>
            </w:pPr>
          </w:p>
        </w:tc>
        <w:tc>
          <w:tcPr>
            <w:tcW w:w="11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(187)</w:t>
            </w:r>
          </w:p>
        </w:tc>
        <w:tc>
          <w:tcPr>
            <w:tcW w:w="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2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(844)</w:t>
            </w:r>
          </w:p>
        </w:tc>
        <w:tc>
          <w:tcPr>
            <w:tcW w:w="14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328</w:t>
            </w:r>
          </w:p>
        </w:tc>
        <w:tc>
          <w:tcPr>
            <w:tcW w:w="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Unrealized gains on derivative financial</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320"/>
              <w:spacing w:after="0"/>
              <w:rPr>
                <w:sz w:val="20"/>
                <w:szCs w:val="20"/>
                <w:color w:val="auto"/>
              </w:rPr>
            </w:pPr>
            <w:r>
              <w:rPr>
                <w:rFonts w:ascii="Arial" w:cs="Arial" w:eastAsia="Arial" w:hAnsi="Arial"/>
                <w:sz w:val="18"/>
                <w:szCs w:val="18"/>
                <w:color w:val="auto"/>
                <w:w w:val="95"/>
              </w:rPr>
              <w:t>instruments accounted for as cash flow</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320"/>
              <w:spacing w:after="0"/>
              <w:rPr>
                <w:sz w:val="20"/>
                <w:szCs w:val="20"/>
                <w:color w:val="auto"/>
              </w:rPr>
            </w:pPr>
            <w:r>
              <w:rPr>
                <w:rFonts w:ascii="Arial" w:cs="Arial" w:eastAsia="Arial" w:hAnsi="Arial"/>
                <w:sz w:val="18"/>
                <w:szCs w:val="18"/>
                <w:color w:val="auto"/>
              </w:rPr>
              <w:t>hedges</w:t>
            </w:r>
          </w:p>
        </w:tc>
        <w:tc>
          <w:tcPr>
            <w:tcW w:w="12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11,672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(4,540)</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7,132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12,102</w:t>
            </w:r>
          </w:p>
        </w:tc>
        <w:tc>
          <w:tcPr>
            <w:tcW w:w="14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(4,707)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7,395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F0FFFF"/>
          </w:tcPr>
          <w:p>
            <w:pPr>
              <w:ind w:left="160"/>
              <w:spacing w:after="0" w:line="201" w:lineRule="exact"/>
              <w:rPr>
                <w:sz w:val="20"/>
                <w:szCs w:val="20"/>
                <w:color w:val="auto"/>
              </w:rPr>
            </w:pPr>
            <w:r>
              <w:rPr>
                <w:rFonts w:ascii="Arial" w:cs="Arial" w:eastAsia="Arial" w:hAnsi="Arial"/>
                <w:sz w:val="18"/>
                <w:szCs w:val="18"/>
                <w:color w:val="auto"/>
              </w:rPr>
              <w:t>Adjustment of valuation allowance for</w:t>
            </w:r>
          </w:p>
        </w:tc>
        <w:tc>
          <w:tcPr>
            <w:tcW w:w="120" w:type="dxa"/>
            <w:vAlign w:val="bottom"/>
            <w:shd w:val="clear" w:color="auto" w:fill="F0FFFF"/>
          </w:tcPr>
          <w:p>
            <w:pPr>
              <w:spacing w:after="0"/>
              <w:rPr>
                <w:sz w:val="17"/>
                <w:szCs w:val="17"/>
                <w:color w:val="auto"/>
              </w:rPr>
            </w:pPr>
          </w:p>
        </w:tc>
        <w:tc>
          <w:tcPr>
            <w:tcW w:w="1180" w:type="dxa"/>
            <w:vAlign w:val="bottom"/>
            <w:gridSpan w:val="2"/>
            <w:shd w:val="clear" w:color="auto" w:fill="F0FFFF"/>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240" w:type="dxa"/>
            <w:vAlign w:val="bottom"/>
            <w:gridSpan w:val="2"/>
            <w:shd w:val="clear" w:color="auto" w:fill="F0FFFF"/>
          </w:tcPr>
          <w:p>
            <w:pPr>
              <w:jc w:val="right"/>
              <w:ind w:right="220"/>
              <w:spacing w:after="0" w:line="201" w:lineRule="exact"/>
              <w:rPr>
                <w:sz w:val="20"/>
                <w:szCs w:val="20"/>
                <w:color w:val="auto"/>
              </w:rPr>
            </w:pPr>
            <w:r>
              <w:rPr>
                <w:rFonts w:ascii="Arial" w:cs="Arial" w:eastAsia="Arial" w:hAnsi="Arial"/>
                <w:sz w:val="18"/>
                <w:szCs w:val="18"/>
                <w:color w:val="auto"/>
              </w:rPr>
              <w:t>13,740</w:t>
            </w:r>
          </w:p>
        </w:tc>
        <w:tc>
          <w:tcPr>
            <w:tcW w:w="140" w:type="dxa"/>
            <w:vAlign w:val="bottom"/>
            <w:shd w:val="clear" w:color="auto" w:fill="F0FFFF"/>
          </w:tcPr>
          <w:p>
            <w:pPr>
              <w:spacing w:after="0"/>
              <w:rPr>
                <w:sz w:val="17"/>
                <w:szCs w:val="17"/>
                <w:color w:val="auto"/>
              </w:rPr>
            </w:pPr>
          </w:p>
        </w:tc>
        <w:tc>
          <w:tcPr>
            <w:tcW w:w="1140" w:type="dxa"/>
            <w:vAlign w:val="bottom"/>
            <w:gridSpan w:val="2"/>
            <w:shd w:val="clear" w:color="auto" w:fill="F0FFFF"/>
          </w:tcPr>
          <w:p>
            <w:pPr>
              <w:jc w:val="right"/>
              <w:ind w:right="140"/>
              <w:spacing w:after="0" w:line="201" w:lineRule="exact"/>
              <w:rPr>
                <w:sz w:val="20"/>
                <w:szCs w:val="20"/>
                <w:color w:val="auto"/>
              </w:rPr>
            </w:pPr>
            <w:r>
              <w:rPr>
                <w:rFonts w:ascii="Arial" w:cs="Arial" w:eastAsia="Arial" w:hAnsi="Arial"/>
                <w:sz w:val="18"/>
                <w:szCs w:val="18"/>
                <w:color w:val="auto"/>
              </w:rPr>
              <w:t>13,740</w:t>
            </w: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20" w:type="dxa"/>
            <w:vAlign w:val="bottom"/>
            <w:gridSpan w:val="2"/>
            <w:shd w:val="clear" w:color="auto" w:fill="F0FFFF"/>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17"/>
                <w:szCs w:val="17"/>
                <w:color w:val="auto"/>
              </w:rPr>
            </w:pPr>
          </w:p>
        </w:tc>
        <w:tc>
          <w:tcPr>
            <w:tcW w:w="1140" w:type="dxa"/>
            <w:vAlign w:val="bottom"/>
            <w:gridSpan w:val="2"/>
            <w:shd w:val="clear" w:color="auto" w:fill="F0FFFF"/>
          </w:tcPr>
          <w:p>
            <w:pPr>
              <w:jc w:val="right"/>
              <w:ind w:right="140"/>
              <w:spacing w:after="0" w:line="201" w:lineRule="exact"/>
              <w:rPr>
                <w:sz w:val="20"/>
                <w:szCs w:val="20"/>
                <w:color w:val="auto"/>
              </w:rPr>
            </w:pPr>
            <w:r>
              <w:rPr>
                <w:rFonts w:ascii="Arial" w:cs="Arial" w:eastAsia="Arial" w:hAnsi="Arial"/>
                <w:sz w:val="18"/>
                <w:szCs w:val="18"/>
                <w:color w:val="auto"/>
              </w:rPr>
              <w:t>13,698</w:t>
            </w: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20" w:type="dxa"/>
            <w:vAlign w:val="bottom"/>
            <w:gridSpan w:val="2"/>
            <w:shd w:val="clear" w:color="auto" w:fill="F0FFFF"/>
          </w:tcPr>
          <w:p>
            <w:pPr>
              <w:jc w:val="right"/>
              <w:ind w:right="100"/>
              <w:spacing w:after="0" w:line="201" w:lineRule="exact"/>
              <w:rPr>
                <w:sz w:val="20"/>
                <w:szCs w:val="20"/>
                <w:color w:val="auto"/>
              </w:rPr>
            </w:pPr>
            <w:r>
              <w:rPr>
                <w:rFonts w:ascii="Arial" w:cs="Arial" w:eastAsia="Arial" w:hAnsi="Arial"/>
                <w:sz w:val="18"/>
                <w:szCs w:val="18"/>
                <w:color w:val="auto"/>
              </w:rPr>
              <w:t>13,698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shd w:val="clear" w:color="auto" w:fill="F0FFFF"/>
          </w:tcPr>
          <w:p>
            <w:pPr>
              <w:ind w:left="320"/>
              <w:spacing w:after="0"/>
              <w:rPr>
                <w:sz w:val="20"/>
                <w:szCs w:val="20"/>
                <w:color w:val="auto"/>
              </w:rPr>
            </w:pPr>
            <w:r>
              <w:rPr>
                <w:rFonts w:ascii="Arial" w:cs="Arial" w:eastAsia="Arial" w:hAnsi="Arial"/>
                <w:sz w:val="18"/>
                <w:szCs w:val="18"/>
                <w:color w:val="auto"/>
              </w:rPr>
              <w:t>the change in deferred taxes arising</w:t>
            </w:r>
          </w:p>
        </w:tc>
        <w:tc>
          <w:tcPr>
            <w:tcW w:w="120" w:type="dxa"/>
            <w:vAlign w:val="bottom"/>
            <w:shd w:val="clear" w:color="auto" w:fill="F0FFFF"/>
          </w:tcPr>
          <w:p>
            <w:pPr>
              <w:spacing w:after="0"/>
              <w:rPr>
                <w:sz w:val="20"/>
                <w:szCs w:val="20"/>
                <w:color w:val="auto"/>
              </w:rPr>
            </w:pPr>
          </w:p>
        </w:tc>
        <w:tc>
          <w:tcPr>
            <w:tcW w:w="104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02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0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02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0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0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80" w:type="dxa"/>
            <w:vAlign w:val="bottom"/>
            <w:shd w:val="clear" w:color="auto" w:fill="F0FFFF"/>
          </w:tcPr>
          <w:p>
            <w:pPr>
              <w:spacing w:after="0"/>
              <w:rPr>
                <w:sz w:val="3"/>
                <w:szCs w:val="3"/>
                <w:color w:val="auto"/>
              </w:rPr>
            </w:pPr>
          </w:p>
        </w:tc>
        <w:tc>
          <w:tcPr>
            <w:tcW w:w="140" w:type="dxa"/>
            <w:vAlign w:val="bottom"/>
            <w:shd w:val="clear" w:color="auto" w:fill="F0FFFF"/>
          </w:tcPr>
          <w:p>
            <w:pPr>
              <w:spacing w:after="0"/>
              <w:rPr>
                <w:sz w:val="3"/>
                <w:szCs w:val="3"/>
                <w:color w:val="auto"/>
              </w:rPr>
            </w:pPr>
          </w:p>
        </w:tc>
        <w:tc>
          <w:tcPr>
            <w:tcW w:w="120" w:type="dxa"/>
            <w:vAlign w:val="bottom"/>
            <w:shd w:val="clear" w:color="auto" w:fill="F0FFFF"/>
          </w:tcPr>
          <w:p>
            <w:pPr>
              <w:spacing w:after="0"/>
              <w:rPr>
                <w:sz w:val="3"/>
                <w:szCs w:val="3"/>
                <w:color w:val="auto"/>
              </w:rPr>
            </w:pPr>
          </w:p>
        </w:tc>
        <w:tc>
          <w:tcPr>
            <w:tcW w:w="1040" w:type="dxa"/>
            <w:vAlign w:val="bottom"/>
            <w:shd w:val="clear" w:color="auto" w:fill="F0FFFF"/>
          </w:tcPr>
          <w:p>
            <w:pPr>
              <w:spacing w:after="0"/>
              <w:rPr>
                <w:sz w:val="3"/>
                <w:szCs w:val="3"/>
                <w:color w:val="auto"/>
              </w:rPr>
            </w:pPr>
          </w:p>
        </w:tc>
        <w:tc>
          <w:tcPr>
            <w:tcW w:w="140" w:type="dxa"/>
            <w:vAlign w:val="bottom"/>
            <w:shd w:val="clear" w:color="auto" w:fill="F0FFFF"/>
          </w:tcPr>
          <w:p>
            <w:pPr>
              <w:spacing w:after="0"/>
              <w:rPr>
                <w:sz w:val="3"/>
                <w:szCs w:val="3"/>
                <w:color w:val="auto"/>
              </w:rPr>
            </w:pPr>
          </w:p>
        </w:tc>
        <w:tc>
          <w:tcPr>
            <w:tcW w:w="100" w:type="dxa"/>
            <w:vAlign w:val="bottom"/>
            <w:shd w:val="clear" w:color="auto" w:fill="F0FFFF"/>
          </w:tcPr>
          <w:p>
            <w:pPr>
              <w:spacing w:after="0"/>
              <w:rPr>
                <w:sz w:val="3"/>
                <w:szCs w:val="3"/>
                <w:color w:val="auto"/>
              </w:rPr>
            </w:pPr>
          </w:p>
        </w:tc>
        <w:tc>
          <w:tcPr>
            <w:tcW w:w="140" w:type="dxa"/>
            <w:vAlign w:val="bottom"/>
            <w:shd w:val="clear" w:color="auto" w:fill="F0FFFF"/>
          </w:tcPr>
          <w:p>
            <w:pPr>
              <w:spacing w:after="0"/>
              <w:rPr>
                <w:sz w:val="3"/>
                <w:szCs w:val="3"/>
                <w:color w:val="auto"/>
              </w:rPr>
            </w:pPr>
          </w:p>
        </w:tc>
        <w:tc>
          <w:tcPr>
            <w:tcW w:w="1020" w:type="dxa"/>
            <w:vAlign w:val="bottom"/>
            <w:shd w:val="clear" w:color="auto" w:fill="F0FFFF"/>
          </w:tcPr>
          <w:p>
            <w:pPr>
              <w:spacing w:after="0"/>
              <w:rPr>
                <w:sz w:val="3"/>
                <w:szCs w:val="3"/>
                <w:color w:val="auto"/>
              </w:rPr>
            </w:pPr>
          </w:p>
        </w:tc>
        <w:tc>
          <w:tcPr>
            <w:tcW w:w="220" w:type="dxa"/>
            <w:vAlign w:val="bottom"/>
            <w:shd w:val="clear" w:color="auto" w:fill="F0FFFF"/>
          </w:tcPr>
          <w:p>
            <w:pPr>
              <w:spacing w:after="0"/>
              <w:rPr>
                <w:sz w:val="3"/>
                <w:szCs w:val="3"/>
                <w:color w:val="auto"/>
              </w:rPr>
            </w:pPr>
          </w:p>
        </w:tc>
        <w:tc>
          <w:tcPr>
            <w:tcW w:w="140" w:type="dxa"/>
            <w:vAlign w:val="bottom"/>
            <w:shd w:val="clear" w:color="auto" w:fill="F0FFFF"/>
          </w:tcPr>
          <w:p>
            <w:pPr>
              <w:spacing w:after="0"/>
              <w:rPr>
                <w:sz w:val="3"/>
                <w:szCs w:val="3"/>
                <w:color w:val="auto"/>
              </w:rPr>
            </w:pPr>
          </w:p>
        </w:tc>
        <w:tc>
          <w:tcPr>
            <w:tcW w:w="1000" w:type="dxa"/>
            <w:vAlign w:val="bottom"/>
            <w:shd w:val="clear" w:color="auto" w:fill="F0FFFF"/>
          </w:tcPr>
          <w:p>
            <w:pPr>
              <w:spacing w:after="0"/>
              <w:rPr>
                <w:sz w:val="3"/>
                <w:szCs w:val="3"/>
                <w:color w:val="auto"/>
              </w:rPr>
            </w:pPr>
          </w:p>
        </w:tc>
        <w:tc>
          <w:tcPr>
            <w:tcW w:w="140" w:type="dxa"/>
            <w:vAlign w:val="bottom"/>
            <w:shd w:val="clear" w:color="auto" w:fill="F0FFFF"/>
          </w:tcPr>
          <w:p>
            <w:pPr>
              <w:spacing w:after="0"/>
              <w:rPr>
                <w:sz w:val="3"/>
                <w:szCs w:val="3"/>
                <w:color w:val="auto"/>
              </w:rPr>
            </w:pPr>
          </w:p>
        </w:tc>
        <w:tc>
          <w:tcPr>
            <w:tcW w:w="80" w:type="dxa"/>
            <w:vAlign w:val="bottom"/>
            <w:shd w:val="clear" w:color="auto" w:fill="F0FFFF"/>
          </w:tcPr>
          <w:p>
            <w:pPr>
              <w:spacing w:after="0"/>
              <w:rPr>
                <w:sz w:val="3"/>
                <w:szCs w:val="3"/>
                <w:color w:val="auto"/>
              </w:rPr>
            </w:pPr>
          </w:p>
        </w:tc>
        <w:tc>
          <w:tcPr>
            <w:tcW w:w="120" w:type="dxa"/>
            <w:vAlign w:val="bottom"/>
            <w:shd w:val="clear" w:color="auto" w:fill="F0FFFF"/>
          </w:tcPr>
          <w:p>
            <w:pPr>
              <w:spacing w:after="0"/>
              <w:rPr>
                <w:sz w:val="3"/>
                <w:szCs w:val="3"/>
                <w:color w:val="auto"/>
              </w:rPr>
            </w:pPr>
          </w:p>
        </w:tc>
        <w:tc>
          <w:tcPr>
            <w:tcW w:w="1020" w:type="dxa"/>
            <w:vAlign w:val="bottom"/>
            <w:shd w:val="clear" w:color="auto" w:fill="F0FFFF"/>
          </w:tcPr>
          <w:p>
            <w:pPr>
              <w:spacing w:after="0"/>
              <w:rPr>
                <w:sz w:val="3"/>
                <w:szCs w:val="3"/>
                <w:color w:val="auto"/>
              </w:rPr>
            </w:pPr>
          </w:p>
        </w:tc>
        <w:tc>
          <w:tcPr>
            <w:tcW w:w="200" w:type="dxa"/>
            <w:vAlign w:val="bottom"/>
            <w:shd w:val="clear" w:color="auto" w:fill="F0FFFF"/>
          </w:tcPr>
          <w:p>
            <w:pPr>
              <w:spacing w:after="0"/>
              <w:rPr>
                <w:sz w:val="3"/>
                <w:szCs w:val="3"/>
                <w:color w:val="auto"/>
              </w:rPr>
            </w:pPr>
          </w:p>
        </w:tc>
        <w:tc>
          <w:tcPr>
            <w:tcW w:w="140" w:type="dxa"/>
            <w:vAlign w:val="bottom"/>
            <w:shd w:val="clear" w:color="auto" w:fill="F0FFFF"/>
          </w:tcPr>
          <w:p>
            <w:pPr>
              <w:spacing w:after="0"/>
              <w:rPr>
                <w:sz w:val="3"/>
                <w:szCs w:val="3"/>
                <w:color w:val="auto"/>
              </w:rPr>
            </w:pPr>
          </w:p>
        </w:tc>
        <w:tc>
          <w:tcPr>
            <w:tcW w:w="1000" w:type="dxa"/>
            <w:vAlign w:val="bottom"/>
            <w:shd w:val="clear" w:color="auto" w:fill="F0FFFF"/>
          </w:tcPr>
          <w:p>
            <w:pPr>
              <w:spacing w:after="0"/>
              <w:rPr>
                <w:sz w:val="3"/>
                <w:szCs w:val="3"/>
                <w:color w:val="auto"/>
              </w:rPr>
            </w:pPr>
          </w:p>
        </w:tc>
        <w:tc>
          <w:tcPr>
            <w:tcW w:w="140" w:type="dxa"/>
            <w:vAlign w:val="bottom"/>
            <w:shd w:val="clear" w:color="auto" w:fill="F0FFFF"/>
          </w:tcPr>
          <w:p>
            <w:pPr>
              <w:spacing w:after="0"/>
              <w:rPr>
                <w:sz w:val="3"/>
                <w:szCs w:val="3"/>
                <w:color w:val="auto"/>
              </w:rPr>
            </w:pPr>
          </w:p>
        </w:tc>
        <w:tc>
          <w:tcPr>
            <w:tcW w:w="80" w:type="dxa"/>
            <w:vAlign w:val="bottom"/>
            <w:shd w:val="clear" w:color="auto" w:fill="F0FFFF"/>
          </w:tcPr>
          <w:p>
            <w:pPr>
              <w:spacing w:after="0"/>
              <w:rPr>
                <w:sz w:val="3"/>
                <w:szCs w:val="3"/>
                <w:color w:val="auto"/>
              </w:rPr>
            </w:pPr>
          </w:p>
        </w:tc>
        <w:tc>
          <w:tcPr>
            <w:tcW w:w="120" w:type="dxa"/>
            <w:vAlign w:val="bottom"/>
            <w:shd w:val="clear" w:color="auto" w:fill="F0FFFF"/>
          </w:tcPr>
          <w:p>
            <w:pPr>
              <w:spacing w:after="0"/>
              <w:rPr>
                <w:sz w:val="3"/>
                <w:szCs w:val="3"/>
                <w:color w:val="auto"/>
              </w:rPr>
            </w:pPr>
          </w:p>
        </w:tc>
        <w:tc>
          <w:tcPr>
            <w:tcW w:w="1020" w:type="dxa"/>
            <w:vAlign w:val="bottom"/>
            <w:shd w:val="clear" w:color="auto" w:fill="F0FFFF"/>
          </w:tcPr>
          <w:p>
            <w:pPr>
              <w:spacing w:after="0"/>
              <w:rPr>
                <w:sz w:val="3"/>
                <w:szCs w:val="3"/>
                <w:color w:val="auto"/>
              </w:rPr>
            </w:pPr>
          </w:p>
        </w:tc>
        <w:tc>
          <w:tcPr>
            <w:tcW w:w="100" w:type="dxa"/>
            <w:vAlign w:val="bottom"/>
            <w:shd w:val="clear" w:color="auto" w:fill="F0FFFF"/>
          </w:tcPr>
          <w:p>
            <w:pPr>
              <w:spacing w:after="0"/>
              <w:rPr>
                <w:sz w:val="3"/>
                <w:szCs w:val="3"/>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107"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shd w:val="clear" w:color="auto" w:fill="F0FFFF"/>
          </w:tcPr>
          <w:p>
            <w:pPr>
              <w:ind w:left="340"/>
              <w:spacing w:after="0"/>
              <w:rPr>
                <w:sz w:val="20"/>
                <w:szCs w:val="20"/>
                <w:color w:val="auto"/>
              </w:rPr>
            </w:pPr>
            <w:r>
              <w:rPr>
                <w:rFonts w:ascii="Arial" w:cs="Arial" w:eastAsia="Arial" w:hAnsi="Arial"/>
                <w:sz w:val="18"/>
                <w:szCs w:val="18"/>
                <w:color w:val="auto"/>
                <w:w w:val="99"/>
              </w:rPr>
              <w:t>from unrealized gains and losses and</w:t>
            </w:r>
          </w:p>
        </w:tc>
        <w:tc>
          <w:tcPr>
            <w:tcW w:w="34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34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16"/>
        </w:trPr>
        <w:tc>
          <w:tcPr>
            <w:tcW w:w="3340" w:type="dxa"/>
            <w:vAlign w:val="bottom"/>
            <w:shd w:val="clear" w:color="auto" w:fill="F0FFFF"/>
          </w:tcPr>
          <w:p>
            <w:pPr>
              <w:ind w:left="340"/>
              <w:spacing w:after="0"/>
              <w:rPr>
                <w:sz w:val="20"/>
                <w:szCs w:val="20"/>
                <w:color w:val="auto"/>
              </w:rPr>
            </w:pPr>
            <w:r>
              <w:rPr>
                <w:rFonts w:ascii="Arial" w:cs="Arial" w:eastAsia="Arial" w:hAnsi="Arial"/>
                <w:sz w:val="18"/>
                <w:szCs w:val="18"/>
                <w:color w:val="auto"/>
              </w:rPr>
              <w:t>amortization of gains included in net</w:t>
            </w:r>
          </w:p>
        </w:tc>
        <w:tc>
          <w:tcPr>
            <w:tcW w:w="34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3340" w:type="dxa"/>
            <w:vAlign w:val="bottom"/>
            <w:shd w:val="clear" w:color="auto" w:fill="F0FFFF"/>
          </w:tcPr>
          <w:p>
            <w:pPr>
              <w:ind w:left="340"/>
              <w:spacing w:after="0"/>
              <w:rPr>
                <w:sz w:val="20"/>
                <w:szCs w:val="20"/>
                <w:color w:val="auto"/>
              </w:rPr>
            </w:pPr>
            <w:r>
              <w:rPr>
                <w:rFonts w:ascii="Arial" w:cs="Arial" w:eastAsia="Arial" w:hAnsi="Arial"/>
                <w:sz w:val="18"/>
                <w:szCs w:val="18"/>
                <w:color w:val="auto"/>
              </w:rPr>
              <w:t>income on cash flow hedges and</w:t>
            </w:r>
          </w:p>
        </w:tc>
        <w:tc>
          <w:tcPr>
            <w:tcW w:w="34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37"/>
        </w:trPr>
        <w:tc>
          <w:tcPr>
            <w:tcW w:w="3340" w:type="dxa"/>
            <w:vAlign w:val="bottom"/>
            <w:tcBorders>
              <w:bottom w:val="single" w:sz="8" w:color="F0FFFF"/>
            </w:tcBorders>
            <w:shd w:val="clear" w:color="auto" w:fill="F0FFFF"/>
          </w:tcPr>
          <w:p>
            <w:pPr>
              <w:ind w:left="340"/>
              <w:spacing w:after="0"/>
              <w:rPr>
                <w:sz w:val="20"/>
                <w:szCs w:val="20"/>
                <w:color w:val="auto"/>
              </w:rPr>
            </w:pPr>
            <w:r>
              <w:rPr>
                <w:rFonts w:ascii="Arial" w:cs="Arial" w:eastAsia="Arial" w:hAnsi="Arial"/>
                <w:sz w:val="18"/>
                <w:szCs w:val="18"/>
                <w:color w:val="auto"/>
              </w:rPr>
              <w:t>release of valuation allowance</w:t>
            </w:r>
          </w:p>
        </w:tc>
        <w:tc>
          <w:tcPr>
            <w:tcW w:w="340" w:type="dxa"/>
            <w:vAlign w:val="bottom"/>
            <w:tcBorders>
              <w:bottom w:val="single" w:sz="8" w:color="auto"/>
            </w:tcBorders>
            <w:shd w:val="clear" w:color="auto" w:fill="F0FFFF"/>
          </w:tcPr>
          <w:p>
            <w:pPr>
              <w:spacing w:after="0"/>
              <w:rPr>
                <w:sz w:val="20"/>
                <w:szCs w:val="20"/>
                <w:color w:val="auto"/>
              </w:rPr>
            </w:pPr>
          </w:p>
        </w:tc>
        <w:tc>
          <w:tcPr>
            <w:tcW w:w="820" w:type="dxa"/>
            <w:vAlign w:val="bottom"/>
            <w:tcBorders>
              <w:bottom w:val="single" w:sz="8" w:color="auto"/>
            </w:tcBorders>
            <w:shd w:val="clear" w:color="auto" w:fill="F0FFFF"/>
          </w:tcPr>
          <w:p>
            <w:pPr>
              <w:spacing w:after="0"/>
              <w:rPr>
                <w:sz w:val="20"/>
                <w:szCs w:val="20"/>
                <w:color w:val="auto"/>
              </w:rPr>
            </w:pPr>
          </w:p>
        </w:tc>
        <w:tc>
          <w:tcPr>
            <w:tcW w:w="14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320" w:type="dxa"/>
            <w:vAlign w:val="bottom"/>
            <w:tcBorders>
              <w:bottom w:val="single" w:sz="8" w:color="auto"/>
            </w:tcBorders>
            <w:shd w:val="clear" w:color="auto" w:fill="F0FFFF"/>
          </w:tcPr>
          <w:p>
            <w:pPr>
              <w:spacing w:after="0"/>
              <w:rPr>
                <w:sz w:val="20"/>
                <w:szCs w:val="20"/>
                <w:color w:val="auto"/>
              </w:rPr>
            </w:pPr>
          </w:p>
        </w:tc>
        <w:tc>
          <w:tcPr>
            <w:tcW w:w="840" w:type="dxa"/>
            <w:vAlign w:val="bottom"/>
            <w:tcBorders>
              <w:bottom w:val="single" w:sz="8" w:color="auto"/>
            </w:tcBorders>
            <w:shd w:val="clear" w:color="auto" w:fill="F0FFFF"/>
          </w:tcPr>
          <w:p>
            <w:pPr>
              <w:spacing w:after="0"/>
              <w:rPr>
                <w:sz w:val="20"/>
                <w:szCs w:val="20"/>
                <w:color w:val="auto"/>
              </w:rPr>
            </w:pPr>
          </w:p>
        </w:tc>
        <w:tc>
          <w:tcPr>
            <w:tcW w:w="220" w:type="dxa"/>
            <w:vAlign w:val="bottom"/>
            <w:tcBorders>
              <w:bottom w:val="single" w:sz="8" w:color="F0FFFF"/>
            </w:tcBorders>
            <w:shd w:val="clear" w:color="auto" w:fill="F0FFFF"/>
          </w:tcPr>
          <w:p>
            <w:pPr>
              <w:spacing w:after="0"/>
              <w:rPr>
                <w:sz w:val="20"/>
                <w:szCs w:val="20"/>
                <w:color w:val="auto"/>
              </w:rPr>
            </w:pPr>
          </w:p>
        </w:tc>
        <w:tc>
          <w:tcPr>
            <w:tcW w:w="320" w:type="dxa"/>
            <w:vAlign w:val="bottom"/>
            <w:tcBorders>
              <w:bottom w:val="single" w:sz="8" w:color="auto"/>
            </w:tcBorders>
            <w:shd w:val="clear" w:color="auto" w:fill="F0FFFF"/>
          </w:tcPr>
          <w:p>
            <w:pPr>
              <w:spacing w:after="0"/>
              <w:rPr>
                <w:sz w:val="20"/>
                <w:szCs w:val="20"/>
                <w:color w:val="auto"/>
              </w:rPr>
            </w:pPr>
          </w:p>
        </w:tc>
        <w:tc>
          <w:tcPr>
            <w:tcW w:w="820" w:type="dxa"/>
            <w:vAlign w:val="bottom"/>
            <w:tcBorders>
              <w:bottom w:val="single" w:sz="8" w:color="auto"/>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340" w:type="dxa"/>
            <w:vAlign w:val="bottom"/>
            <w:tcBorders>
              <w:bottom w:val="single" w:sz="8" w:color="auto"/>
            </w:tcBorders>
            <w:shd w:val="clear" w:color="auto" w:fill="F0FFFF"/>
          </w:tcPr>
          <w:p>
            <w:pPr>
              <w:spacing w:after="0"/>
              <w:rPr>
                <w:sz w:val="20"/>
                <w:szCs w:val="20"/>
                <w:color w:val="auto"/>
              </w:rPr>
            </w:pPr>
          </w:p>
        </w:tc>
        <w:tc>
          <w:tcPr>
            <w:tcW w:w="800" w:type="dxa"/>
            <w:vAlign w:val="bottom"/>
            <w:tcBorders>
              <w:bottom w:val="single" w:sz="8" w:color="auto"/>
            </w:tcBorders>
            <w:shd w:val="clear" w:color="auto" w:fill="F0FFFF"/>
          </w:tcPr>
          <w:p>
            <w:pPr>
              <w:spacing w:after="0"/>
              <w:rPr>
                <w:sz w:val="20"/>
                <w:szCs w:val="20"/>
                <w:color w:val="auto"/>
              </w:rPr>
            </w:pPr>
          </w:p>
        </w:tc>
        <w:tc>
          <w:tcPr>
            <w:tcW w:w="200" w:type="dxa"/>
            <w:vAlign w:val="bottom"/>
            <w:tcBorders>
              <w:bottom w:val="single" w:sz="8" w:color="F0FFFF"/>
            </w:tcBorders>
            <w:shd w:val="clear" w:color="auto" w:fill="F0FFFF"/>
          </w:tcPr>
          <w:p>
            <w:pPr>
              <w:spacing w:after="0"/>
              <w:rPr>
                <w:sz w:val="20"/>
                <w:szCs w:val="20"/>
                <w:color w:val="auto"/>
              </w:rPr>
            </w:pPr>
          </w:p>
        </w:tc>
        <w:tc>
          <w:tcPr>
            <w:tcW w:w="320" w:type="dxa"/>
            <w:vAlign w:val="bottom"/>
            <w:tcBorders>
              <w:bottom w:val="single" w:sz="8" w:color="auto"/>
            </w:tcBorders>
            <w:shd w:val="clear" w:color="auto" w:fill="F0FFFF"/>
          </w:tcPr>
          <w:p>
            <w:pPr>
              <w:spacing w:after="0"/>
              <w:rPr>
                <w:sz w:val="20"/>
                <w:szCs w:val="20"/>
                <w:color w:val="auto"/>
              </w:rPr>
            </w:pPr>
          </w:p>
        </w:tc>
        <w:tc>
          <w:tcPr>
            <w:tcW w:w="820" w:type="dxa"/>
            <w:vAlign w:val="bottom"/>
            <w:tcBorders>
              <w:bottom w:val="single" w:sz="8" w:color="auto"/>
            </w:tcBorders>
            <w:shd w:val="clear" w:color="auto" w:fill="F0FFFF"/>
          </w:tcPr>
          <w:p>
            <w:pPr>
              <w:spacing w:after="0"/>
              <w:rPr>
                <w:sz w:val="20"/>
                <w:szCs w:val="20"/>
                <w:color w:val="auto"/>
              </w:rPr>
            </w:pPr>
          </w:p>
        </w:tc>
        <w:tc>
          <w:tcPr>
            <w:tcW w:w="14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bottom w:val="single" w:sz="8" w:color="F0FFFF"/>
            </w:tcBorders>
            <w:shd w:val="clear" w:color="auto" w:fill="F0FFFF"/>
          </w:tcPr>
          <w:p>
            <w:pPr>
              <w:spacing w:after="0"/>
              <w:rPr>
                <w:sz w:val="20"/>
                <w:szCs w:val="20"/>
                <w:color w:val="auto"/>
              </w:rPr>
            </w:pPr>
          </w:p>
        </w:tc>
        <w:tc>
          <w:tcPr>
            <w:tcW w:w="320" w:type="dxa"/>
            <w:vAlign w:val="bottom"/>
            <w:tcBorders>
              <w:bottom w:val="single" w:sz="8" w:color="auto"/>
            </w:tcBorders>
            <w:shd w:val="clear" w:color="auto" w:fill="F0FFFF"/>
          </w:tcPr>
          <w:p>
            <w:pPr>
              <w:spacing w:after="0"/>
              <w:rPr>
                <w:sz w:val="20"/>
                <w:szCs w:val="20"/>
                <w:color w:val="auto"/>
              </w:rPr>
            </w:pPr>
          </w:p>
        </w:tc>
        <w:tc>
          <w:tcPr>
            <w:tcW w:w="820" w:type="dxa"/>
            <w:vAlign w:val="bottom"/>
            <w:tcBorders>
              <w:bottom w:val="single" w:sz="8" w:color="auto"/>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r>
      <w:tr>
        <w:trPr>
          <w:trHeight w:val="216"/>
        </w:trPr>
        <w:tc>
          <w:tcPr>
            <w:tcW w:w="3340" w:type="dxa"/>
            <w:vAlign w:val="bottom"/>
          </w:tcPr>
          <w:p>
            <w:pPr>
              <w:ind w:left="500"/>
              <w:spacing w:after="0"/>
              <w:rPr>
                <w:sz w:val="20"/>
                <w:szCs w:val="20"/>
                <w:color w:val="auto"/>
              </w:rPr>
            </w:pPr>
            <w:r>
              <w:rPr>
                <w:rFonts w:ascii="Arial" w:cs="Arial" w:eastAsia="Arial" w:hAnsi="Arial"/>
                <w:sz w:val="18"/>
                <w:szCs w:val="18"/>
                <w:color w:val="auto"/>
              </w:rPr>
              <w:t>Net unrealized gains</w:t>
            </w:r>
          </w:p>
        </w:tc>
        <w:tc>
          <w:tcPr>
            <w:tcW w:w="34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11,366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9,319</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20,685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11,258</w:t>
            </w:r>
          </w:p>
        </w:tc>
        <w:tc>
          <w:tcPr>
            <w:tcW w:w="3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9,319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20,577</w:t>
            </w:r>
          </w:p>
        </w:tc>
      </w:tr>
      <w:tr>
        <w:trPr>
          <w:trHeight w:val="202"/>
        </w:trPr>
        <w:tc>
          <w:tcPr>
            <w:tcW w:w="3340" w:type="dxa"/>
            <w:vAlign w:val="bottom"/>
            <w:shd w:val="clear" w:color="auto" w:fill="F0FFFF"/>
          </w:tcPr>
          <w:p>
            <w:pPr>
              <w:ind w:left="180"/>
              <w:spacing w:after="0" w:line="201" w:lineRule="exact"/>
              <w:rPr>
                <w:sz w:val="20"/>
                <w:szCs w:val="20"/>
                <w:color w:val="auto"/>
              </w:rPr>
            </w:pPr>
            <w:r>
              <w:rPr>
                <w:rFonts w:ascii="Arial" w:cs="Arial" w:eastAsia="Arial" w:hAnsi="Arial"/>
                <w:sz w:val="18"/>
                <w:szCs w:val="18"/>
                <w:color w:val="auto"/>
              </w:rPr>
              <w:t>Net actuarial loss on defined benefit</w:t>
            </w:r>
          </w:p>
        </w:tc>
        <w:tc>
          <w:tcPr>
            <w:tcW w:w="34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34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30"/>
        </w:trPr>
        <w:tc>
          <w:tcPr>
            <w:tcW w:w="3340" w:type="dxa"/>
            <w:vAlign w:val="bottom"/>
            <w:shd w:val="clear" w:color="auto" w:fill="F0FFFF"/>
          </w:tcPr>
          <w:p>
            <w:pPr>
              <w:ind w:left="340"/>
              <w:spacing w:after="0"/>
              <w:rPr>
                <w:sz w:val="20"/>
                <w:szCs w:val="20"/>
                <w:color w:val="auto"/>
              </w:rPr>
            </w:pPr>
            <w:r>
              <w:rPr>
                <w:rFonts w:ascii="Arial" w:cs="Arial" w:eastAsia="Arial" w:hAnsi="Arial"/>
                <w:sz w:val="18"/>
                <w:szCs w:val="18"/>
                <w:color w:val="auto"/>
              </w:rPr>
              <w:t>pension plan</w:t>
            </w:r>
          </w:p>
        </w:tc>
        <w:tc>
          <w:tcPr>
            <w:tcW w:w="340" w:type="dxa"/>
            <w:vAlign w:val="bottom"/>
            <w:shd w:val="clear" w:color="auto" w:fill="F0FFFF"/>
          </w:tcPr>
          <w:p>
            <w:pPr>
              <w:spacing w:after="0"/>
              <w:rPr>
                <w:sz w:val="20"/>
                <w:szCs w:val="20"/>
                <w:color w:val="auto"/>
              </w:rPr>
            </w:pPr>
          </w:p>
        </w:tc>
        <w:tc>
          <w:tcPr>
            <w:tcW w:w="9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0"/>
                <w:szCs w:val="20"/>
                <w:color w:val="auto"/>
              </w:rPr>
            </w:pPr>
          </w:p>
        </w:tc>
        <w:tc>
          <w:tcPr>
            <w:tcW w:w="320" w:type="dxa"/>
            <w:vAlign w:val="bottom"/>
            <w:shd w:val="clear" w:color="auto" w:fill="F0FFFF"/>
          </w:tcPr>
          <w:p>
            <w:pPr>
              <w:spacing w:after="0"/>
              <w:rPr>
                <w:sz w:val="20"/>
                <w:szCs w:val="20"/>
                <w:color w:val="auto"/>
              </w:rPr>
            </w:pPr>
          </w:p>
        </w:tc>
        <w:tc>
          <w:tcPr>
            <w:tcW w:w="10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F0FFFF"/>
          </w:tcPr>
          <w:p>
            <w:pPr>
              <w:spacing w:after="0"/>
              <w:rPr>
                <w:sz w:val="20"/>
                <w:szCs w:val="20"/>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0"/>
                <w:szCs w:val="20"/>
                <w:color w:val="auto"/>
              </w:rPr>
            </w:pPr>
          </w:p>
        </w:tc>
        <w:tc>
          <w:tcPr>
            <w:tcW w:w="340" w:type="dxa"/>
            <w:vAlign w:val="bottom"/>
            <w:shd w:val="clear" w:color="auto" w:fill="F0FFFF"/>
          </w:tcPr>
          <w:p>
            <w:pPr>
              <w:spacing w:after="0"/>
              <w:rPr>
                <w:sz w:val="20"/>
                <w:szCs w:val="20"/>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(415)</w:t>
            </w:r>
          </w:p>
        </w:tc>
        <w:tc>
          <w:tcPr>
            <w:tcW w:w="320" w:type="dxa"/>
            <w:vAlign w:val="bottom"/>
            <w:shd w:val="clear" w:color="auto" w:fill="F0FFFF"/>
          </w:tcPr>
          <w:p>
            <w:pPr>
              <w:spacing w:after="0"/>
              <w:rPr>
                <w:sz w:val="20"/>
                <w:szCs w:val="20"/>
                <w:color w:val="auto"/>
              </w:rPr>
            </w:pPr>
          </w:p>
        </w:tc>
        <w:tc>
          <w:tcPr>
            <w:tcW w:w="9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161</w:t>
            </w:r>
          </w:p>
        </w:tc>
        <w:tc>
          <w:tcPr>
            <w:tcW w:w="80" w:type="dxa"/>
            <w:vAlign w:val="bottom"/>
            <w:shd w:val="clear" w:color="auto" w:fill="F0FFFF"/>
          </w:tcPr>
          <w:p>
            <w:pPr>
              <w:spacing w:after="0"/>
              <w:rPr>
                <w:sz w:val="20"/>
                <w:szCs w:val="20"/>
                <w:color w:val="auto"/>
              </w:rPr>
            </w:pPr>
          </w:p>
        </w:tc>
        <w:tc>
          <w:tcPr>
            <w:tcW w:w="320" w:type="dxa"/>
            <w:vAlign w:val="bottom"/>
            <w:shd w:val="clear" w:color="auto" w:fill="F0FFFF"/>
          </w:tcPr>
          <w:p>
            <w:pPr>
              <w:spacing w:after="0"/>
              <w:rPr>
                <w:sz w:val="20"/>
                <w:szCs w:val="20"/>
                <w:color w:val="auto"/>
              </w:rPr>
            </w:pPr>
          </w:p>
        </w:tc>
        <w:tc>
          <w:tcPr>
            <w:tcW w:w="9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(254)</w:t>
            </w:r>
          </w:p>
        </w:tc>
      </w:tr>
      <w:tr>
        <w:trPr>
          <w:trHeight w:val="202"/>
        </w:trPr>
        <w:tc>
          <w:tcPr>
            <w:tcW w:w="3340" w:type="dxa"/>
            <w:vAlign w:val="bottom"/>
          </w:tcPr>
          <w:p>
            <w:pPr>
              <w:ind w:left="180"/>
              <w:spacing w:after="0" w:line="201" w:lineRule="exact"/>
              <w:rPr>
                <w:sz w:val="20"/>
                <w:szCs w:val="20"/>
                <w:color w:val="auto"/>
              </w:rPr>
            </w:pPr>
            <w:r>
              <w:rPr>
                <w:rFonts w:ascii="Arial" w:cs="Arial" w:eastAsia="Arial" w:hAnsi="Arial"/>
                <w:sz w:val="18"/>
                <w:szCs w:val="18"/>
                <w:color w:val="auto"/>
              </w:rPr>
              <w:t>Amortization of prior service cost and</w:t>
            </w: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340" w:type="dxa"/>
            <w:vAlign w:val="bottom"/>
          </w:tcPr>
          <w:p>
            <w:pPr>
              <w:ind w:left="340"/>
              <w:spacing w:after="0"/>
              <w:rPr>
                <w:sz w:val="20"/>
                <w:szCs w:val="20"/>
                <w:color w:val="auto"/>
              </w:rPr>
            </w:pPr>
            <w:r>
              <w:rPr>
                <w:rFonts w:ascii="Arial" w:cs="Arial" w:eastAsia="Arial" w:hAnsi="Arial"/>
                <w:sz w:val="18"/>
                <w:szCs w:val="18"/>
                <w:color w:val="auto"/>
                <w:w w:val="95"/>
              </w:rPr>
              <w:t>actuarial losses included in net periodic</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tcPr>
          <w:p>
            <w:pPr>
              <w:ind w:left="340"/>
              <w:spacing w:after="0"/>
              <w:rPr>
                <w:sz w:val="20"/>
                <w:szCs w:val="20"/>
                <w:color w:val="auto"/>
              </w:rPr>
            </w:pPr>
            <w:r>
              <w:rPr>
                <w:rFonts w:ascii="Arial" w:cs="Arial" w:eastAsia="Arial" w:hAnsi="Arial"/>
                <w:sz w:val="18"/>
                <w:szCs w:val="18"/>
                <w:color w:val="auto"/>
              </w:rPr>
              <w:t>pension cost for defined benefit</w:t>
            </w: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340" w:type="dxa"/>
            <w:vAlign w:val="bottom"/>
          </w:tcPr>
          <w:p>
            <w:pPr>
              <w:ind w:left="340"/>
              <w:spacing w:after="0"/>
              <w:rPr>
                <w:sz w:val="20"/>
                <w:szCs w:val="20"/>
                <w:color w:val="auto"/>
              </w:rPr>
            </w:pPr>
            <w:r>
              <w:rPr>
                <w:rFonts w:ascii="Arial" w:cs="Arial" w:eastAsia="Arial" w:hAnsi="Arial"/>
                <w:sz w:val="18"/>
                <w:szCs w:val="18"/>
                <w:color w:val="auto"/>
              </w:rPr>
              <w:t>pension plan</w:t>
            </w:r>
          </w:p>
        </w:tc>
        <w:tc>
          <w:tcPr>
            <w:tcW w:w="3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265</w:t>
            </w:r>
          </w:p>
        </w:tc>
        <w:tc>
          <w:tcPr>
            <w:tcW w:w="3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r>
      <w:tr>
        <w:trPr>
          <w:trHeight w:val="202"/>
        </w:trPr>
        <w:tc>
          <w:tcPr>
            <w:tcW w:w="3340" w:type="dxa"/>
            <w:vAlign w:val="bottom"/>
            <w:shd w:val="clear" w:color="auto" w:fill="F0FFFF"/>
          </w:tcPr>
          <w:p>
            <w:pPr>
              <w:ind w:left="180"/>
              <w:spacing w:after="0" w:line="201" w:lineRule="exact"/>
              <w:rPr>
                <w:sz w:val="20"/>
                <w:szCs w:val="20"/>
                <w:color w:val="auto"/>
              </w:rPr>
            </w:pPr>
            <w:r>
              <w:rPr>
                <w:rFonts w:ascii="Arial" w:cs="Arial" w:eastAsia="Arial" w:hAnsi="Arial"/>
                <w:sz w:val="18"/>
                <w:szCs w:val="18"/>
                <w:color w:val="auto"/>
              </w:rPr>
              <w:t>Adjustment of valuation allowance for</w:t>
            </w:r>
          </w:p>
        </w:tc>
        <w:tc>
          <w:tcPr>
            <w:tcW w:w="34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34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32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16"/>
        </w:trPr>
        <w:tc>
          <w:tcPr>
            <w:tcW w:w="3340" w:type="dxa"/>
            <w:vAlign w:val="bottom"/>
            <w:shd w:val="clear" w:color="auto" w:fill="F0FFFF"/>
          </w:tcPr>
          <w:p>
            <w:pPr>
              <w:ind w:left="340"/>
              <w:spacing w:after="0"/>
              <w:rPr>
                <w:sz w:val="20"/>
                <w:szCs w:val="20"/>
                <w:color w:val="auto"/>
              </w:rPr>
            </w:pPr>
            <w:r>
              <w:rPr>
                <w:rFonts w:ascii="Arial" w:cs="Arial" w:eastAsia="Arial" w:hAnsi="Arial"/>
                <w:sz w:val="18"/>
                <w:szCs w:val="18"/>
                <w:color w:val="auto"/>
              </w:rPr>
              <w:t>the change in deferred taxes arising</w:t>
            </w:r>
          </w:p>
        </w:tc>
        <w:tc>
          <w:tcPr>
            <w:tcW w:w="34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3340" w:type="dxa"/>
            <w:vAlign w:val="bottom"/>
            <w:shd w:val="clear" w:color="auto" w:fill="F0FFFF"/>
          </w:tcPr>
          <w:p>
            <w:pPr>
              <w:ind w:left="340"/>
              <w:spacing w:after="0"/>
              <w:rPr>
                <w:sz w:val="20"/>
                <w:szCs w:val="20"/>
                <w:color w:val="auto"/>
              </w:rPr>
            </w:pPr>
            <w:r>
              <w:rPr>
                <w:rFonts w:ascii="Arial" w:cs="Arial" w:eastAsia="Arial" w:hAnsi="Arial"/>
                <w:sz w:val="18"/>
                <w:szCs w:val="18"/>
                <w:color w:val="auto"/>
              </w:rPr>
              <w:t>from reclassification of unamortized</w:t>
            </w:r>
          </w:p>
        </w:tc>
        <w:tc>
          <w:tcPr>
            <w:tcW w:w="34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3340" w:type="dxa"/>
            <w:vAlign w:val="bottom"/>
            <w:shd w:val="clear" w:color="auto" w:fill="F0FFFF"/>
          </w:tcPr>
          <w:p>
            <w:pPr>
              <w:ind w:left="340"/>
              <w:spacing w:after="0"/>
              <w:rPr>
                <w:sz w:val="20"/>
                <w:szCs w:val="20"/>
                <w:color w:val="auto"/>
              </w:rPr>
            </w:pPr>
            <w:r>
              <w:rPr>
                <w:rFonts w:ascii="Arial" w:cs="Arial" w:eastAsia="Arial" w:hAnsi="Arial"/>
                <w:sz w:val="18"/>
                <w:szCs w:val="18"/>
                <w:color w:val="auto"/>
                <w:w w:val="99"/>
              </w:rPr>
              <w:t>prior service cost and actuarial losses</w:t>
            </w:r>
          </w:p>
        </w:tc>
        <w:tc>
          <w:tcPr>
            <w:tcW w:w="34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3340" w:type="dxa"/>
            <w:vAlign w:val="bottom"/>
            <w:shd w:val="clear" w:color="auto" w:fill="F0FFFF"/>
          </w:tcPr>
          <w:p>
            <w:pPr>
              <w:ind w:left="340"/>
              <w:spacing w:after="0"/>
              <w:rPr>
                <w:sz w:val="20"/>
                <w:szCs w:val="20"/>
                <w:color w:val="auto"/>
              </w:rPr>
            </w:pPr>
            <w:r>
              <w:rPr>
                <w:rFonts w:ascii="Arial" w:cs="Arial" w:eastAsia="Arial" w:hAnsi="Arial"/>
                <w:sz w:val="18"/>
                <w:szCs w:val="18"/>
                <w:color w:val="auto"/>
              </w:rPr>
              <w:t>and amortization of prior service cost</w:t>
            </w:r>
          </w:p>
        </w:tc>
        <w:tc>
          <w:tcPr>
            <w:tcW w:w="34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3340" w:type="dxa"/>
            <w:vAlign w:val="bottom"/>
            <w:shd w:val="clear" w:color="auto" w:fill="F0FFFF"/>
          </w:tcPr>
          <w:p>
            <w:pPr>
              <w:ind w:left="340"/>
              <w:spacing w:after="0"/>
              <w:rPr>
                <w:sz w:val="20"/>
                <w:szCs w:val="20"/>
                <w:color w:val="auto"/>
              </w:rPr>
            </w:pPr>
            <w:r>
              <w:rPr>
                <w:rFonts w:ascii="Arial" w:cs="Arial" w:eastAsia="Arial" w:hAnsi="Arial"/>
                <w:sz w:val="18"/>
                <w:szCs w:val="18"/>
                <w:color w:val="auto"/>
              </w:rPr>
              <w:t>and actuarial losses and release of</w:t>
            </w:r>
          </w:p>
        </w:tc>
        <w:tc>
          <w:tcPr>
            <w:tcW w:w="34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37"/>
        </w:trPr>
        <w:tc>
          <w:tcPr>
            <w:tcW w:w="3340" w:type="dxa"/>
            <w:vAlign w:val="bottom"/>
            <w:shd w:val="clear" w:color="auto" w:fill="F0FFFF"/>
          </w:tcPr>
          <w:p>
            <w:pPr>
              <w:ind w:left="340"/>
              <w:spacing w:after="0"/>
              <w:rPr>
                <w:sz w:val="20"/>
                <w:szCs w:val="20"/>
                <w:color w:val="auto"/>
              </w:rPr>
            </w:pPr>
            <w:r>
              <w:rPr>
                <w:rFonts w:ascii="Arial" w:cs="Arial" w:eastAsia="Arial" w:hAnsi="Arial"/>
                <w:sz w:val="18"/>
                <w:szCs w:val="18"/>
                <w:color w:val="auto"/>
              </w:rPr>
              <w:t>valuation allowance</w:t>
            </w:r>
          </w:p>
        </w:tc>
        <w:tc>
          <w:tcPr>
            <w:tcW w:w="340" w:type="dxa"/>
            <w:vAlign w:val="bottom"/>
            <w:shd w:val="clear" w:color="auto" w:fill="F0FFFF"/>
          </w:tcPr>
          <w:p>
            <w:pPr>
              <w:spacing w:after="0"/>
              <w:rPr>
                <w:sz w:val="20"/>
                <w:szCs w:val="20"/>
                <w:color w:val="auto"/>
              </w:rPr>
            </w:pPr>
          </w:p>
        </w:tc>
        <w:tc>
          <w:tcPr>
            <w:tcW w:w="9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20"/>
                <w:szCs w:val="20"/>
                <w:color w:val="auto"/>
              </w:rPr>
            </w:pPr>
          </w:p>
        </w:tc>
        <w:tc>
          <w:tcPr>
            <w:tcW w:w="320" w:type="dxa"/>
            <w:vAlign w:val="bottom"/>
            <w:shd w:val="clear" w:color="auto" w:fill="F0FFFF"/>
          </w:tcPr>
          <w:p>
            <w:pPr>
              <w:spacing w:after="0"/>
              <w:rPr>
                <w:sz w:val="20"/>
                <w:szCs w:val="20"/>
                <w:color w:val="auto"/>
              </w:rPr>
            </w:pPr>
          </w:p>
        </w:tc>
        <w:tc>
          <w:tcPr>
            <w:tcW w:w="10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110</w:t>
            </w:r>
          </w:p>
        </w:tc>
        <w:tc>
          <w:tcPr>
            <w:tcW w:w="320" w:type="dxa"/>
            <w:vAlign w:val="bottom"/>
            <w:shd w:val="clear" w:color="auto" w:fill="F0FFFF"/>
          </w:tcPr>
          <w:p>
            <w:pPr>
              <w:spacing w:after="0"/>
              <w:rPr>
                <w:sz w:val="20"/>
                <w:szCs w:val="20"/>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F0FFFF"/>
          </w:tcPr>
          <w:p>
            <w:pPr>
              <w:spacing w:after="0"/>
              <w:rPr>
                <w:sz w:val="20"/>
                <w:szCs w:val="20"/>
                <w:color w:val="auto"/>
              </w:rPr>
            </w:pPr>
          </w:p>
        </w:tc>
        <w:tc>
          <w:tcPr>
            <w:tcW w:w="340" w:type="dxa"/>
            <w:vAlign w:val="bottom"/>
            <w:shd w:val="clear" w:color="auto" w:fill="F0FFFF"/>
          </w:tcPr>
          <w:p>
            <w:pPr>
              <w:spacing w:after="0"/>
              <w:rPr>
                <w:sz w:val="20"/>
                <w:szCs w:val="20"/>
                <w:color w:val="auto"/>
              </w:rPr>
            </w:pPr>
          </w:p>
        </w:tc>
        <w:tc>
          <w:tcPr>
            <w:tcW w:w="10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F0FFFF"/>
          </w:tcPr>
          <w:p>
            <w:pPr>
              <w:spacing w:after="0"/>
              <w:rPr>
                <w:sz w:val="20"/>
                <w:szCs w:val="20"/>
                <w:color w:val="auto"/>
              </w:rPr>
            </w:pPr>
          </w:p>
        </w:tc>
        <w:tc>
          <w:tcPr>
            <w:tcW w:w="9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20"/>
                <w:szCs w:val="20"/>
                <w:color w:val="auto"/>
              </w:rPr>
            </w:pPr>
          </w:p>
        </w:tc>
        <w:tc>
          <w:tcPr>
            <w:tcW w:w="320" w:type="dxa"/>
            <w:vAlign w:val="bottom"/>
            <w:shd w:val="clear" w:color="auto" w:fill="F0FFFF"/>
          </w:tcPr>
          <w:p>
            <w:pPr>
              <w:spacing w:after="0"/>
              <w:rPr>
                <w:sz w:val="20"/>
                <w:szCs w:val="20"/>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3340" w:type="dxa"/>
            <w:vAlign w:val="bottom"/>
            <w:tcBorders>
              <w:top w:val="single" w:sz="8" w:color="F0FFFF"/>
            </w:tcBorders>
          </w:tcPr>
          <w:p>
            <w:pPr>
              <w:ind w:left="340"/>
              <w:spacing w:after="0" w:line="201" w:lineRule="exact"/>
              <w:rPr>
                <w:sz w:val="20"/>
                <w:szCs w:val="20"/>
                <w:color w:val="auto"/>
              </w:rPr>
            </w:pPr>
            <w:r>
              <w:rPr>
                <w:rFonts w:ascii="Arial" w:cs="Arial" w:eastAsia="Arial" w:hAnsi="Arial"/>
                <w:sz w:val="18"/>
                <w:szCs w:val="18"/>
                <w:color w:val="auto"/>
              </w:rPr>
              <w:t>Net defined benefit pension plan</w:t>
            </w:r>
          </w:p>
        </w:tc>
        <w:tc>
          <w:tcPr>
            <w:tcW w:w="3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Borders>
              <w:top w:val="single" w:sz="8" w:color="F0FF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Borders>
              <w:top w:val="single" w:sz="8" w:color="F0FF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r>
      <w:tr>
        <w:trPr>
          <w:trHeight w:val="237"/>
        </w:trPr>
        <w:tc>
          <w:tcPr>
            <w:tcW w:w="3340" w:type="dxa"/>
            <w:vAlign w:val="bottom"/>
          </w:tcPr>
          <w:p>
            <w:pPr>
              <w:ind w:left="500"/>
              <w:spacing w:after="0"/>
              <w:rPr>
                <w:sz w:val="20"/>
                <w:szCs w:val="20"/>
                <w:color w:val="auto"/>
              </w:rPr>
            </w:pPr>
            <w:r>
              <w:rPr>
                <w:rFonts w:ascii="Arial" w:cs="Arial" w:eastAsia="Arial" w:hAnsi="Arial"/>
                <w:sz w:val="18"/>
                <w:szCs w:val="18"/>
                <w:color w:val="auto"/>
              </w:rPr>
              <w:t>activity</w:t>
            </w:r>
          </w:p>
        </w:tc>
        <w:tc>
          <w:tcPr>
            <w:tcW w:w="34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58</w:t>
            </w: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(150)</w:t>
            </w:r>
          </w:p>
        </w:tc>
        <w:tc>
          <w:tcPr>
            <w:tcW w:w="32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r>
      <w:tr>
        <w:trPr>
          <w:trHeight w:val="202"/>
        </w:trPr>
        <w:tc>
          <w:tcPr>
            <w:tcW w:w="3340" w:type="dxa"/>
            <w:vAlign w:val="bottom"/>
            <w:shd w:val="clear" w:color="auto" w:fill="F0FFFF"/>
          </w:tcPr>
          <w:p>
            <w:pPr>
              <w:ind w:left="500"/>
              <w:spacing w:after="0" w:line="201" w:lineRule="exact"/>
              <w:rPr>
                <w:sz w:val="20"/>
                <w:szCs w:val="20"/>
                <w:color w:val="auto"/>
              </w:rPr>
            </w:pPr>
            <w:r>
              <w:rPr>
                <w:rFonts w:ascii="Arial" w:cs="Arial" w:eastAsia="Arial" w:hAnsi="Arial"/>
                <w:sz w:val="18"/>
                <w:szCs w:val="18"/>
                <w:color w:val="auto"/>
              </w:rPr>
              <w:t>Total other comprehensive income</w:t>
            </w:r>
          </w:p>
        </w:tc>
        <w:tc>
          <w:tcPr>
            <w:tcW w:w="340" w:type="dxa"/>
            <w:vAlign w:val="bottom"/>
            <w:tcBorders>
              <w:top w:val="single" w:sz="8" w:color="auto"/>
            </w:tcBorders>
            <w:shd w:val="clear" w:color="auto" w:fill="F0FFFF"/>
          </w:tcPr>
          <w:p>
            <w:pPr>
              <w:spacing w:after="0"/>
              <w:rPr>
                <w:sz w:val="17"/>
                <w:szCs w:val="17"/>
                <w:color w:val="auto"/>
              </w:rPr>
            </w:pPr>
          </w:p>
        </w:tc>
        <w:tc>
          <w:tcPr>
            <w:tcW w:w="820" w:type="dxa"/>
            <w:vAlign w:val="bottom"/>
            <w:tcBorders>
              <w:top w:val="single" w:sz="8" w:color="auto"/>
            </w:tcBorders>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320" w:type="dxa"/>
            <w:vAlign w:val="bottom"/>
            <w:tcBorders>
              <w:top w:val="single" w:sz="8" w:color="auto"/>
            </w:tcBorders>
            <w:shd w:val="clear" w:color="auto" w:fill="F0FFFF"/>
          </w:tcPr>
          <w:p>
            <w:pPr>
              <w:spacing w:after="0"/>
              <w:rPr>
                <w:sz w:val="17"/>
                <w:szCs w:val="17"/>
                <w:color w:val="auto"/>
              </w:rPr>
            </w:pPr>
          </w:p>
        </w:tc>
        <w:tc>
          <w:tcPr>
            <w:tcW w:w="840" w:type="dxa"/>
            <w:vAlign w:val="bottom"/>
            <w:tcBorders>
              <w:top w:val="single" w:sz="8" w:color="auto"/>
            </w:tcBorders>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320" w:type="dxa"/>
            <w:vAlign w:val="bottom"/>
            <w:tcBorders>
              <w:top w:val="single" w:sz="8" w:color="auto"/>
            </w:tcBorders>
            <w:shd w:val="clear" w:color="auto" w:fill="F0FFFF"/>
          </w:tcPr>
          <w:p>
            <w:pPr>
              <w:spacing w:after="0"/>
              <w:rPr>
                <w:sz w:val="17"/>
                <w:szCs w:val="17"/>
                <w:color w:val="auto"/>
              </w:rPr>
            </w:pPr>
          </w:p>
        </w:tc>
        <w:tc>
          <w:tcPr>
            <w:tcW w:w="820" w:type="dxa"/>
            <w:vAlign w:val="bottom"/>
            <w:tcBorders>
              <w:top w:val="single" w:sz="8" w:color="auto"/>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340" w:type="dxa"/>
            <w:vAlign w:val="bottom"/>
            <w:tcBorders>
              <w:top w:val="single" w:sz="8" w:color="auto"/>
            </w:tcBorders>
            <w:shd w:val="clear" w:color="auto" w:fill="F0FFFF"/>
          </w:tcPr>
          <w:p>
            <w:pPr>
              <w:spacing w:after="0"/>
              <w:rPr>
                <w:sz w:val="17"/>
                <w:szCs w:val="17"/>
                <w:color w:val="auto"/>
              </w:rPr>
            </w:pPr>
          </w:p>
        </w:tc>
        <w:tc>
          <w:tcPr>
            <w:tcW w:w="800" w:type="dxa"/>
            <w:vAlign w:val="bottom"/>
            <w:tcBorders>
              <w:top w:val="single" w:sz="8" w:color="auto"/>
            </w:tcBorders>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320" w:type="dxa"/>
            <w:vAlign w:val="bottom"/>
            <w:tcBorders>
              <w:top w:val="single" w:sz="8" w:color="auto"/>
            </w:tcBorders>
            <w:shd w:val="clear" w:color="auto" w:fill="F0FFFF"/>
          </w:tcPr>
          <w:p>
            <w:pPr>
              <w:spacing w:after="0"/>
              <w:rPr>
                <w:sz w:val="17"/>
                <w:szCs w:val="17"/>
                <w:color w:val="auto"/>
              </w:rPr>
            </w:pPr>
          </w:p>
        </w:tc>
        <w:tc>
          <w:tcPr>
            <w:tcW w:w="820" w:type="dxa"/>
            <w:vAlign w:val="bottom"/>
            <w:tcBorders>
              <w:top w:val="single" w:sz="8" w:color="auto"/>
            </w:tcBorders>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320" w:type="dxa"/>
            <w:vAlign w:val="bottom"/>
            <w:tcBorders>
              <w:top w:val="single" w:sz="8" w:color="auto"/>
            </w:tcBorders>
            <w:shd w:val="clear" w:color="auto" w:fill="F0FFFF"/>
          </w:tcPr>
          <w:p>
            <w:pPr>
              <w:spacing w:after="0"/>
              <w:rPr>
                <w:sz w:val="17"/>
                <w:szCs w:val="17"/>
                <w:color w:val="auto"/>
              </w:rPr>
            </w:pPr>
          </w:p>
        </w:tc>
        <w:tc>
          <w:tcPr>
            <w:tcW w:w="820" w:type="dxa"/>
            <w:vAlign w:val="bottom"/>
            <w:tcBorders>
              <w:top w:val="single" w:sz="8" w:color="auto"/>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r>
      <w:tr>
        <w:trPr>
          <w:trHeight w:val="230"/>
        </w:trPr>
        <w:tc>
          <w:tcPr>
            <w:tcW w:w="3340" w:type="dxa"/>
            <w:vAlign w:val="bottom"/>
            <w:shd w:val="clear" w:color="auto" w:fill="F0FFFF"/>
          </w:tcPr>
          <w:p>
            <w:pPr>
              <w:ind w:left="660"/>
              <w:spacing w:after="0"/>
              <w:rPr>
                <w:sz w:val="20"/>
                <w:szCs w:val="20"/>
                <w:color w:val="auto"/>
              </w:rPr>
            </w:pPr>
            <w:r>
              <w:rPr>
                <w:rFonts w:ascii="Arial" w:cs="Arial" w:eastAsia="Arial" w:hAnsi="Arial"/>
                <w:sz w:val="18"/>
                <w:szCs w:val="18"/>
                <w:color w:val="auto"/>
              </w:rPr>
              <w:t>(loss)</w:t>
            </w:r>
          </w:p>
        </w:tc>
        <w:tc>
          <w:tcPr>
            <w:tcW w:w="340" w:type="dxa"/>
            <w:vAlign w:val="bottom"/>
            <w:shd w:val="clear" w:color="auto" w:fill="F0FFFF"/>
          </w:tcPr>
          <w:p>
            <w:pPr>
              <w:spacing w:after="0"/>
              <w:rPr>
                <w:sz w:val="20"/>
                <w:szCs w:val="20"/>
                <w:color w:val="auto"/>
              </w:rPr>
            </w:pPr>
          </w:p>
        </w:tc>
        <w:tc>
          <w:tcPr>
            <w:tcW w:w="9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(4,130)</w:t>
            </w:r>
          </w:p>
        </w:tc>
        <w:tc>
          <w:tcPr>
            <w:tcW w:w="100" w:type="dxa"/>
            <w:vAlign w:val="bottom"/>
            <w:shd w:val="clear" w:color="auto" w:fill="F0FFFF"/>
          </w:tcPr>
          <w:p>
            <w:pPr>
              <w:spacing w:after="0"/>
              <w:rPr>
                <w:sz w:val="20"/>
                <w:szCs w:val="20"/>
                <w:color w:val="auto"/>
              </w:rPr>
            </w:pPr>
          </w:p>
        </w:tc>
        <w:tc>
          <w:tcPr>
            <w:tcW w:w="320" w:type="dxa"/>
            <w:vAlign w:val="bottom"/>
            <w:shd w:val="clear" w:color="auto" w:fill="F0FFFF"/>
          </w:tcPr>
          <w:p>
            <w:pPr>
              <w:spacing w:after="0"/>
              <w:rPr>
                <w:sz w:val="20"/>
                <w:szCs w:val="20"/>
                <w:color w:val="auto"/>
              </w:rPr>
            </w:pPr>
          </w:p>
        </w:tc>
        <w:tc>
          <w:tcPr>
            <w:tcW w:w="10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13,167</w:t>
            </w:r>
          </w:p>
        </w:tc>
        <w:tc>
          <w:tcPr>
            <w:tcW w:w="320" w:type="dxa"/>
            <w:vAlign w:val="bottom"/>
            <w:shd w:val="clear" w:color="auto" w:fill="F0FFFF"/>
          </w:tcPr>
          <w:p>
            <w:pPr>
              <w:spacing w:after="0"/>
              <w:rPr>
                <w:sz w:val="20"/>
                <w:szCs w:val="20"/>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9,037</w:t>
            </w:r>
          </w:p>
        </w:tc>
        <w:tc>
          <w:tcPr>
            <w:tcW w:w="120" w:type="dxa"/>
            <w:vAlign w:val="bottom"/>
            <w:shd w:val="clear" w:color="auto" w:fill="F0FFFF"/>
          </w:tcPr>
          <w:p>
            <w:pPr>
              <w:spacing w:after="0"/>
              <w:rPr>
                <w:sz w:val="20"/>
                <w:szCs w:val="20"/>
                <w:color w:val="auto"/>
              </w:rPr>
            </w:pPr>
          </w:p>
        </w:tc>
        <w:tc>
          <w:tcPr>
            <w:tcW w:w="340" w:type="dxa"/>
            <w:vAlign w:val="bottom"/>
            <w:shd w:val="clear" w:color="auto" w:fill="F0FFFF"/>
          </w:tcPr>
          <w:p>
            <w:pPr>
              <w:spacing w:after="0"/>
              <w:rPr>
                <w:sz w:val="20"/>
                <w:szCs w:val="20"/>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(3,315)</w:t>
            </w:r>
          </w:p>
        </w:tc>
        <w:tc>
          <w:tcPr>
            <w:tcW w:w="320" w:type="dxa"/>
            <w:vAlign w:val="bottom"/>
            <w:shd w:val="clear" w:color="auto" w:fill="F0FFFF"/>
          </w:tcPr>
          <w:p>
            <w:pPr>
              <w:spacing w:after="0"/>
              <w:rPr>
                <w:sz w:val="20"/>
                <w:szCs w:val="20"/>
                <w:color w:val="auto"/>
              </w:rPr>
            </w:pPr>
          </w:p>
        </w:tc>
        <w:tc>
          <w:tcPr>
            <w:tcW w:w="9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13,169</w:t>
            </w:r>
          </w:p>
        </w:tc>
        <w:tc>
          <w:tcPr>
            <w:tcW w:w="80" w:type="dxa"/>
            <w:vAlign w:val="bottom"/>
            <w:shd w:val="clear" w:color="auto" w:fill="F0FFFF"/>
          </w:tcPr>
          <w:p>
            <w:pPr>
              <w:spacing w:after="0"/>
              <w:rPr>
                <w:sz w:val="20"/>
                <w:szCs w:val="20"/>
                <w:color w:val="auto"/>
              </w:rPr>
            </w:pPr>
          </w:p>
        </w:tc>
        <w:tc>
          <w:tcPr>
            <w:tcW w:w="320" w:type="dxa"/>
            <w:vAlign w:val="bottom"/>
            <w:shd w:val="clear" w:color="auto" w:fill="F0FFFF"/>
          </w:tcPr>
          <w:p>
            <w:pPr>
              <w:spacing w:after="0"/>
              <w:rPr>
                <w:sz w:val="20"/>
                <w:szCs w:val="20"/>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9,854</w:t>
            </w:r>
          </w:p>
        </w:tc>
      </w:tr>
      <w:tr>
        <w:trPr>
          <w:trHeight w:val="27"/>
        </w:trPr>
        <w:tc>
          <w:tcPr>
            <w:tcW w:w="3340" w:type="dxa"/>
            <w:vAlign w:val="bottom"/>
            <w:shd w:val="clear" w:color="auto" w:fill="F0FF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r>
      <w:tr>
        <w:trPr>
          <w:trHeight w:val="216"/>
        </w:trPr>
        <w:tc>
          <w:tcPr>
            <w:tcW w:w="3340" w:type="dxa"/>
            <w:vAlign w:val="bottom"/>
          </w:tcPr>
          <w:p>
            <w:pPr>
              <w:ind w:left="500"/>
              <w:spacing w:after="0"/>
              <w:rPr>
                <w:sz w:val="20"/>
                <w:szCs w:val="20"/>
                <w:color w:val="auto"/>
              </w:rPr>
            </w:pPr>
            <w:r>
              <w:rPr>
                <w:rFonts w:ascii="Arial" w:cs="Arial" w:eastAsia="Arial" w:hAnsi="Arial"/>
                <w:sz w:val="18"/>
                <w:szCs w:val="18"/>
                <w:color w:val="auto"/>
              </w:rPr>
              <w:t>Comprehensive income</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(30,947)</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269,948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239,001</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(17,782)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269,365</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251,583</w:t>
            </w:r>
          </w:p>
        </w:tc>
      </w:tr>
      <w:tr>
        <w:trPr>
          <w:trHeight w:val="21"/>
        </w:trPr>
        <w:tc>
          <w:tcPr>
            <w:tcW w:w="3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Balance Sheet </w:t>
      </w:r>
      <w:r>
        <w:rPr>
          <w:rFonts w:ascii="Arial" w:cs="Arial" w:eastAsia="Arial" w:hAnsi="Arial"/>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(in thousands, except share and per share data)</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7"/>
              </w:rPr>
              <w:t>June 30,</w:t>
            </w: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December 31,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7"/>
              </w:rPr>
              <w:t>June 30,</w:t>
            </w:r>
          </w:p>
        </w:tc>
        <w:tc>
          <w:tcPr>
            <w:tcW w:w="0" w:type="dxa"/>
            <w:vAlign w:val="bottom"/>
          </w:tcPr>
          <w:p>
            <w:pPr>
              <w:spacing w:after="0"/>
              <w:rPr>
                <w:sz w:val="1"/>
                <w:szCs w:val="1"/>
                <w:color w:val="auto"/>
              </w:rPr>
            </w:pPr>
          </w:p>
        </w:tc>
      </w:tr>
      <w:tr>
        <w:trPr>
          <w:trHeight w:val="250"/>
        </w:trPr>
        <w:tc>
          <w:tcPr>
            <w:tcW w:w="732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Cash and due from banks</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91,791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71,230</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62,564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Interest-bearing deposits in banks</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100,270</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119,669</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141,016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47,999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37,999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57,000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F0FFFF"/>
          </w:tcPr>
          <w:p>
            <w:pPr>
              <w:ind w:left="3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240,060</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228,898</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260,580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Securities available for sale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1,741,268</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1,832,217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1,937,264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Securities held to maturity (fair value $458,864, $485,585 and $226,695)</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448,752</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479,742</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214,947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Mortgage loans held for sale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14,918</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10,319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Loans, net of unearned income</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4,410,285</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4,329,266</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4,189,368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20"/>
              <w:spacing w:after="0"/>
              <w:rPr>
                <w:sz w:val="20"/>
                <w:szCs w:val="20"/>
                <w:color w:val="auto"/>
              </w:rPr>
            </w:pPr>
            <w:r>
              <w:rPr>
                <w:rFonts w:ascii="Arial" w:cs="Arial" w:eastAsia="Arial" w:hAnsi="Arial"/>
                <w:sz w:val="18"/>
                <w:szCs w:val="18"/>
                <w:color w:val="auto"/>
              </w:rPr>
              <w:t>Less allowance for loan losses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(73,248)</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(76,762)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(81,845)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F0FFFF"/>
          </w:tcPr>
          <w:p>
            <w:pPr>
              <w:ind w:left="480"/>
              <w:spacing w:after="0"/>
              <w:rPr>
                <w:sz w:val="20"/>
                <w:szCs w:val="20"/>
                <w:color w:val="auto"/>
              </w:rPr>
            </w:pPr>
            <w:r>
              <w:rPr>
                <w:rFonts w:ascii="Arial" w:cs="Arial" w:eastAsia="Arial" w:hAnsi="Arial"/>
                <w:sz w:val="18"/>
                <w:szCs w:val="18"/>
                <w:color w:val="auto"/>
              </w:rPr>
              <w:t>Loans, net</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4,337,037</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4,252,504</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4,107,523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Assets covered by loss sharing agreements with the FDIC</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3,595</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22,882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Premises and equipment, net</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161,614</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163,589</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167,197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Bank owned life insurance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80,922</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80,670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82,276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Accrued interest receivable</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19,141</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19,598</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19,279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Intangible assets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2,731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3,480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Foreclosed property</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2,969</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4,221</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Net deferred tax asset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233,149</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258,518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272,287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22,024</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23,833</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43,886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44,948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29,189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7300" w:type="dxa"/>
            <w:vAlign w:val="bottom"/>
            <w:shd w:val="clear" w:color="auto" w:fill="F0FFFF"/>
          </w:tcPr>
          <w:p>
            <w:pPr>
              <w:ind w:left="32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7,352,066</w:t>
            </w: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7,425,419</w:t>
            </w:r>
          </w:p>
        </w:tc>
        <w:tc>
          <w:tcPr>
            <w:tcW w:w="2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7,162,635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F0FFFF"/>
            </w:tcBorders>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Borders>
              <w:top w:val="single" w:sz="8" w:color="F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F0FFFF"/>
          </w:tcPr>
          <w:p>
            <w:pPr>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Deposits: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F0FFFF"/>
          </w:tcPr>
          <w:p>
            <w:pPr>
              <w:ind w:left="320"/>
              <w:spacing w:after="0"/>
              <w:rPr>
                <w:sz w:val="20"/>
                <w:szCs w:val="20"/>
                <w:color w:val="auto"/>
              </w:rPr>
            </w:pPr>
            <w:r>
              <w:rPr>
                <w:rFonts w:ascii="Arial" w:cs="Arial" w:eastAsia="Arial" w:hAnsi="Arial"/>
                <w:sz w:val="18"/>
                <w:szCs w:val="18"/>
                <w:color w:val="auto"/>
              </w:rPr>
              <w:t>Demand</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1,519,635</w:t>
            </w: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1,388,512</w:t>
            </w:r>
          </w:p>
        </w:tc>
        <w:tc>
          <w:tcPr>
            <w:tcW w:w="2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1,349,804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20"/>
              <w:spacing w:after="0"/>
              <w:rPr>
                <w:sz w:val="20"/>
                <w:szCs w:val="20"/>
                <w:color w:val="auto"/>
              </w:rPr>
            </w:pPr>
            <w:r>
              <w:rPr>
                <w:rFonts w:ascii="Arial" w:cs="Arial" w:eastAsia="Arial" w:hAnsi="Arial"/>
                <w:sz w:val="18"/>
                <w:szCs w:val="18"/>
                <w:color w:val="auto"/>
              </w:rPr>
              <w:t>NOW</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1,334,883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1,427,939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1,225,664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F0FFFF"/>
          </w:tcPr>
          <w:p>
            <w:pPr>
              <w:ind w:left="320"/>
              <w:spacing w:after="0"/>
              <w:rPr>
                <w:sz w:val="20"/>
                <w:szCs w:val="20"/>
                <w:color w:val="auto"/>
              </w:rPr>
            </w:pPr>
            <w:r>
              <w:rPr>
                <w:rFonts w:ascii="Arial" w:cs="Arial" w:eastAsia="Arial" w:hAnsi="Arial"/>
                <w:sz w:val="18"/>
                <w:szCs w:val="18"/>
                <w:color w:val="auto"/>
              </w:rPr>
              <w:t>Money market</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1,245,912</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1,227,575</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1,167,889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20"/>
              <w:spacing w:after="0"/>
              <w:rPr>
                <w:sz w:val="20"/>
                <w:szCs w:val="20"/>
                <w:color w:val="auto"/>
              </w:rPr>
            </w:pPr>
            <w:r>
              <w:rPr>
                <w:rFonts w:ascii="Arial" w:cs="Arial" w:eastAsia="Arial" w:hAnsi="Arial"/>
                <w:sz w:val="18"/>
                <w:szCs w:val="18"/>
                <w:color w:val="auto"/>
              </w:rPr>
              <w:t>Savings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279,203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251,125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247,821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F0FFFF"/>
          </w:tcPr>
          <w:p>
            <w:pPr>
              <w:ind w:left="320"/>
              <w:spacing w:after="0"/>
              <w:rPr>
                <w:sz w:val="20"/>
                <w:szCs w:val="20"/>
                <w:color w:val="auto"/>
              </w:rPr>
            </w:pPr>
            <w:r>
              <w:rPr>
                <w:rFonts w:ascii="Arial" w:cs="Arial" w:eastAsia="Arial" w:hAnsi="Arial"/>
                <w:sz w:val="18"/>
                <w:szCs w:val="18"/>
                <w:color w:val="auto"/>
              </w:rPr>
              <w:t>Time:</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80"/>
              <w:spacing w:after="0"/>
              <w:rPr>
                <w:sz w:val="20"/>
                <w:szCs w:val="20"/>
                <w:color w:val="auto"/>
              </w:rPr>
            </w:pPr>
            <w:r>
              <w:rPr>
                <w:rFonts w:ascii="Arial" w:cs="Arial" w:eastAsia="Arial" w:hAnsi="Arial"/>
                <w:sz w:val="18"/>
                <w:szCs w:val="18"/>
                <w:color w:val="auto"/>
              </w:rPr>
              <w:t>Less than $100,000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805,289</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892,961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982,009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F0FFFF"/>
          </w:tcPr>
          <w:p>
            <w:pPr>
              <w:ind w:left="480"/>
              <w:spacing w:after="0"/>
              <w:rPr>
                <w:sz w:val="20"/>
                <w:szCs w:val="20"/>
                <w:color w:val="auto"/>
              </w:rPr>
            </w:pPr>
            <w:r>
              <w:rPr>
                <w:rFonts w:ascii="Arial" w:cs="Arial" w:eastAsia="Arial" w:hAnsi="Arial"/>
                <w:sz w:val="18"/>
                <w:szCs w:val="18"/>
                <w:color w:val="auto"/>
              </w:rPr>
              <w:t>Greater than $100,000</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554,310</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588,689</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664,112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20"/>
              <w:spacing w:after="0"/>
              <w:rPr>
                <w:sz w:val="20"/>
                <w:szCs w:val="20"/>
                <w:color w:val="auto"/>
              </w:rPr>
            </w:pPr>
            <w:r>
              <w:rPr>
                <w:rFonts w:ascii="Arial" w:cs="Arial" w:eastAsia="Arial" w:hAnsi="Arial"/>
                <w:sz w:val="18"/>
                <w:szCs w:val="18"/>
                <w:color w:val="auto"/>
              </w:rPr>
              <w:t>Brokered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424,313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424,704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374,530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F0FFFF"/>
          </w:tcPr>
          <w:p>
            <w:pPr>
              <w:ind w:left="640"/>
              <w:spacing w:after="0"/>
              <w:rPr>
                <w:sz w:val="20"/>
                <w:szCs w:val="20"/>
                <w:color w:val="auto"/>
              </w:rPr>
            </w:pPr>
            <w:r>
              <w:rPr>
                <w:rFonts w:ascii="Arial" w:cs="Arial" w:eastAsia="Arial" w:hAnsi="Arial"/>
                <w:sz w:val="18"/>
                <w:szCs w:val="18"/>
                <w:color w:val="auto"/>
              </w:rPr>
              <w:t>Total deposits</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6,163,545</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6,201,505</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6,011,829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Short-term borrowings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76,256</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53,241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54,163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Federal Home Loan Bank advances</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175,125</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120,125</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70,125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129,865</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129,865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124,845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36,545</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46,232</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29,330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Unsettled securities purchases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7,264</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29,562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41,497</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49,174</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41,458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32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6,630,097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6,629,704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6,333,332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F0FFFF"/>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Preferred stock, $1 par value; 10,000,000 shares authorized;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F0FFFF"/>
          </w:tcPr>
          <w:p>
            <w:pPr>
              <w:ind w:left="320"/>
              <w:spacing w:after="0"/>
              <w:rPr>
                <w:sz w:val="20"/>
                <w:szCs w:val="20"/>
                <w:color w:val="auto"/>
              </w:rPr>
            </w:pPr>
            <w:r>
              <w:rPr>
                <w:rFonts w:ascii="Arial" w:cs="Arial" w:eastAsia="Arial" w:hAnsi="Arial"/>
                <w:sz w:val="18"/>
                <w:szCs w:val="18"/>
                <w:color w:val="auto"/>
              </w:rPr>
              <w:t>Series A; $10 stated value; 0, 0 and 21,700 shares issued and outstanding</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20"/>
              <w:spacing w:after="0"/>
              <w:rPr>
                <w:sz w:val="20"/>
                <w:szCs w:val="20"/>
                <w:color w:val="auto"/>
              </w:rPr>
            </w:pPr>
            <w:r>
              <w:rPr>
                <w:rFonts w:ascii="Arial" w:cs="Arial" w:eastAsia="Arial" w:hAnsi="Arial"/>
                <w:sz w:val="18"/>
                <w:szCs w:val="18"/>
                <w:color w:val="auto"/>
              </w:rPr>
              <w:t>Series B; $1,000 stated value; 0, 105,000 and 180,000 shares issued and outstanding</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105,000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179,323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F0FFFF"/>
          </w:tcPr>
          <w:p>
            <w:pPr>
              <w:ind w:left="320"/>
              <w:spacing w:after="0"/>
              <w:rPr>
                <w:sz w:val="20"/>
                <w:szCs w:val="20"/>
                <w:color w:val="auto"/>
              </w:rPr>
            </w:pPr>
            <w:r>
              <w:rPr>
                <w:rFonts w:ascii="Arial" w:cs="Arial" w:eastAsia="Arial" w:hAnsi="Arial"/>
                <w:sz w:val="18"/>
                <w:szCs w:val="18"/>
                <w:color w:val="auto"/>
              </w:rPr>
              <w:t>Series D; $1,000 stated value; 0, 16,613 and 16,613 shares issued and outstanding</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16,613</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16,613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tcPr>
          <w:p>
            <w:pPr>
              <w:ind w:left="160"/>
              <w:spacing w:after="0" w:line="201" w:lineRule="exact"/>
              <w:rPr>
                <w:sz w:val="20"/>
                <w:szCs w:val="20"/>
                <w:color w:val="auto"/>
              </w:rPr>
            </w:pPr>
            <w:r>
              <w:rPr>
                <w:rFonts w:ascii="Arial" w:cs="Arial" w:eastAsia="Arial" w:hAnsi="Arial"/>
                <w:sz w:val="18"/>
                <w:szCs w:val="18"/>
                <w:color w:val="auto"/>
                <w:w w:val="98"/>
              </w:rPr>
              <w:t>Common stock, $1 par value; 100,000,000 shares authorized; 50,058,295, 46,243,345 and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tcPr>
          <w:p>
            <w:pPr>
              <w:ind w:left="320"/>
              <w:spacing w:after="0"/>
              <w:rPr>
                <w:sz w:val="20"/>
                <w:szCs w:val="20"/>
                <w:color w:val="auto"/>
              </w:rPr>
            </w:pPr>
            <w:r>
              <w:rPr>
                <w:rFonts w:ascii="Arial" w:cs="Arial" w:eastAsia="Arial" w:hAnsi="Arial"/>
                <w:sz w:val="18"/>
                <w:szCs w:val="18"/>
                <w:color w:val="auto"/>
              </w:rPr>
              <w:t>43,356,492 shares issued and outstanding</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50,058</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46,243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43,356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shd w:val="clear" w:color="auto" w:fill="F0FFFF"/>
          </w:tcPr>
          <w:p>
            <w:pPr>
              <w:ind w:left="160"/>
              <w:spacing w:after="0" w:line="201" w:lineRule="exact"/>
              <w:rPr>
                <w:sz w:val="20"/>
                <w:szCs w:val="20"/>
                <w:color w:val="auto"/>
              </w:rPr>
            </w:pPr>
            <w:r>
              <w:rPr>
                <w:rFonts w:ascii="Arial" w:cs="Arial" w:eastAsia="Arial" w:hAnsi="Arial"/>
                <w:sz w:val="18"/>
                <w:szCs w:val="18"/>
                <w:color w:val="auto"/>
                <w:w w:val="92"/>
              </w:rPr>
              <w:t>Common stock, non-voting, $1 par value; 26,000,000 shares authorized; 10,080,787, 13,188,206</w:t>
            </w:r>
          </w:p>
        </w:tc>
        <w:tc>
          <w:tcPr>
            <w:tcW w:w="1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shd w:val="clear" w:color="auto" w:fill="F0FFFF"/>
          </w:tcPr>
          <w:p>
            <w:pPr>
              <w:ind w:left="320"/>
              <w:spacing w:after="0"/>
              <w:rPr>
                <w:sz w:val="20"/>
                <w:szCs w:val="20"/>
                <w:color w:val="auto"/>
              </w:rPr>
            </w:pPr>
            <w:r>
              <w:rPr>
                <w:rFonts w:ascii="Arial" w:cs="Arial" w:eastAsia="Arial" w:hAnsi="Arial"/>
                <w:sz w:val="18"/>
                <w:szCs w:val="18"/>
                <w:color w:val="auto"/>
              </w:rPr>
              <w:t>and 14,474,810 shares issued and outstanding</w:t>
            </w:r>
          </w:p>
        </w:tc>
        <w:tc>
          <w:tcPr>
            <w:tcW w:w="12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12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10,081</w:t>
            </w:r>
          </w:p>
        </w:tc>
        <w:tc>
          <w:tcPr>
            <w:tcW w:w="240" w:type="dxa"/>
            <w:vAlign w:val="bottom"/>
            <w:shd w:val="clear" w:color="auto" w:fill="F0FFFF"/>
          </w:tcPr>
          <w:p>
            <w:pPr>
              <w:spacing w:after="0"/>
              <w:rPr>
                <w:sz w:val="20"/>
                <w:szCs w:val="20"/>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13,188</w:t>
            </w:r>
          </w:p>
        </w:tc>
        <w:tc>
          <w:tcPr>
            <w:tcW w:w="8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14,475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Common stock issuable; 314,039, 241,832 and 271,215 shares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4,649</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3,930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Capital surplus</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1,091,780</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1,078,676</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1,057,931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(418,583)</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(448,091)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(473,531)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(16,016)</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(19,844)</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(13,786)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320"/>
              <w:spacing w:after="0"/>
              <w:rPr>
                <w:sz w:val="20"/>
                <w:szCs w:val="20"/>
                <w:color w:val="auto"/>
              </w:rPr>
            </w:pPr>
            <w:r>
              <w:rPr>
                <w:rFonts w:ascii="Arial" w:cs="Arial" w:eastAsia="Arial" w:hAnsi="Arial"/>
                <w:sz w:val="18"/>
                <w:szCs w:val="18"/>
                <w:b w:val="1"/>
                <w:bCs w:val="1"/>
                <w:color w:val="auto"/>
              </w:rPr>
              <w:t>Total shareholders’ equity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721,969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795,715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829,303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300" w:type="dxa"/>
            <w:vAlign w:val="bottom"/>
            <w:shd w:val="clear" w:color="auto" w:fill="F0FFFF"/>
          </w:tcPr>
          <w:p>
            <w:pPr>
              <w:ind w:left="320"/>
              <w:spacing w:after="0"/>
              <w:rPr>
                <w:sz w:val="20"/>
                <w:szCs w:val="20"/>
                <w:color w:val="auto"/>
              </w:rPr>
            </w:pPr>
            <w:r>
              <w:rPr>
                <w:rFonts w:ascii="Arial" w:cs="Arial" w:eastAsia="Arial" w:hAnsi="Arial"/>
                <w:sz w:val="18"/>
                <w:szCs w:val="18"/>
                <w:b w:val="1"/>
                <w:bCs w:val="1"/>
                <w:color w:val="auto"/>
              </w:rPr>
              <w:t>Total liabilities and shareholders’ equity</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7,352,066</w:t>
            </w: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7,425,419</w:t>
            </w:r>
          </w:p>
        </w:tc>
        <w:tc>
          <w:tcPr>
            <w:tcW w:w="2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7,162,635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34" w:right="239" w:bottom="667" w:gutter="0" w:footer="0" w:header="0"/>
        </w:sectPr>
      </w:pPr>
    </w:p>
    <w:bookmarkStart w:id="6" w:name="page7"/>
    <w:bookmarkEnd w:id="6"/>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Changes in Shareholders’ Equity </w:t>
      </w:r>
      <w:r>
        <w:rPr>
          <w:rFonts w:ascii="Arial" w:cs="Arial" w:eastAsia="Arial" w:hAnsi="Arial"/>
          <w:sz w:val="18"/>
          <w:szCs w:val="18"/>
          <w:i w:val="1"/>
          <w:i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80" w:type="dxa"/>
            <w:vAlign w:val="bottom"/>
            <w:gridSpan w:val="7"/>
            <w:vMerge w:val="restart"/>
          </w:tcPr>
          <w:p>
            <w:pPr>
              <w:jc w:val="right"/>
              <w:ind w:right="540"/>
              <w:spacing w:after="0"/>
              <w:rPr>
                <w:sz w:val="20"/>
                <w:szCs w:val="20"/>
                <w:color w:val="auto"/>
              </w:rPr>
            </w:pPr>
            <w:r>
              <w:rPr>
                <w:rFonts w:ascii="Arial" w:cs="Arial" w:eastAsia="Arial" w:hAnsi="Arial"/>
                <w:sz w:val="18"/>
                <w:szCs w:val="18"/>
                <w:b w:val="1"/>
                <w:bCs w:val="1"/>
                <w:color w:val="auto"/>
                <w:w w:val="90"/>
              </w:rPr>
              <w:t>Preferred Stock</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gridSpan w:val="7"/>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Non-Voting</w:t>
            </w:r>
          </w:p>
        </w:tc>
        <w:tc>
          <w:tcPr>
            <w:tcW w:w="860" w:type="dxa"/>
            <w:vAlign w:val="bottom"/>
            <w:gridSpan w:val="4"/>
          </w:tcPr>
          <w:p>
            <w:pPr>
              <w:ind w:left="40"/>
              <w:spacing w:after="0"/>
              <w:rPr>
                <w:sz w:val="20"/>
                <w:szCs w:val="20"/>
                <w:color w:val="auto"/>
              </w:rPr>
            </w:pPr>
            <w:r>
              <w:rPr>
                <w:rFonts w:ascii="Arial" w:cs="Arial" w:eastAsia="Arial" w:hAnsi="Arial"/>
                <w:sz w:val="18"/>
                <w:szCs w:val="18"/>
                <w:b w:val="1"/>
                <w:bCs w:val="1"/>
                <w:color w:val="auto"/>
              </w:rPr>
              <w:t>Common</w:t>
            </w:r>
          </w:p>
        </w:tc>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40" w:type="dxa"/>
            <w:vAlign w:val="bottom"/>
            <w:gridSpan w:val="3"/>
          </w:tcPr>
          <w:p>
            <w:pPr>
              <w:spacing w:after="0" w:line="201" w:lineRule="exact"/>
              <w:rPr>
                <w:sz w:val="20"/>
                <w:szCs w:val="20"/>
                <w:color w:val="auto"/>
              </w:rPr>
            </w:pPr>
            <w:r>
              <w:rPr>
                <w:rFonts w:ascii="Arial" w:cs="Arial" w:eastAsia="Arial" w:hAnsi="Arial"/>
                <w:sz w:val="18"/>
                <w:szCs w:val="18"/>
                <w:i w:val="1"/>
                <w:iCs w:val="1"/>
                <w:color w:val="auto"/>
                <w:w w:val="91"/>
              </w:rPr>
              <w:t>(in thousands, except share</w:t>
            </w:r>
          </w:p>
        </w:tc>
        <w:tc>
          <w:tcPr>
            <w:tcW w:w="500" w:type="dxa"/>
            <w:vAlign w:val="bottom"/>
            <w:tcBorders>
              <w:top w:val="single" w:sz="8" w:color="auto"/>
            </w:tcBorders>
            <w:gridSpan w:val="3"/>
          </w:tcPr>
          <w:p>
            <w:pPr>
              <w:spacing w:after="0" w:line="201" w:lineRule="exact"/>
              <w:rPr>
                <w:sz w:val="20"/>
                <w:szCs w:val="20"/>
                <w:color w:val="auto"/>
              </w:rPr>
            </w:pPr>
            <w:r>
              <w:rPr>
                <w:rFonts w:ascii="Arial" w:cs="Arial" w:eastAsia="Arial" w:hAnsi="Arial"/>
                <w:sz w:val="18"/>
                <w:szCs w:val="18"/>
                <w:b w:val="1"/>
                <w:bCs w:val="1"/>
                <w:color w:val="auto"/>
                <w:w w:val="88"/>
              </w:rPr>
              <w:t>Series</w:t>
            </w: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2"/>
          </w:tcPr>
          <w:p>
            <w:pPr>
              <w:jc w:val="right"/>
              <w:ind w:right="260"/>
              <w:spacing w:after="0" w:line="201" w:lineRule="exact"/>
              <w:rPr>
                <w:sz w:val="20"/>
                <w:szCs w:val="20"/>
                <w:color w:val="auto"/>
              </w:rPr>
            </w:pPr>
            <w:r>
              <w:rPr>
                <w:rFonts w:ascii="Arial" w:cs="Arial" w:eastAsia="Arial" w:hAnsi="Arial"/>
                <w:sz w:val="18"/>
                <w:szCs w:val="18"/>
                <w:b w:val="1"/>
                <w:bCs w:val="1"/>
                <w:color w:val="auto"/>
              </w:rPr>
              <w:t>Series</w:t>
            </w: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b w:val="1"/>
                <w:bCs w:val="1"/>
                <w:color w:val="auto"/>
                <w:w w:val="85"/>
              </w:rPr>
              <w:t>Series</w:t>
            </w:r>
          </w:p>
        </w:tc>
        <w:tc>
          <w:tcPr>
            <w:tcW w:w="100" w:type="dxa"/>
            <w:vAlign w:val="bottom"/>
          </w:tcPr>
          <w:p>
            <w:pPr>
              <w:spacing w:after="0"/>
              <w:rPr>
                <w:sz w:val="17"/>
                <w:szCs w:val="17"/>
                <w:color w:val="auto"/>
              </w:rPr>
            </w:pPr>
          </w:p>
        </w:tc>
        <w:tc>
          <w:tcPr>
            <w:tcW w:w="880" w:type="dxa"/>
            <w:vAlign w:val="bottom"/>
            <w:gridSpan w:val="4"/>
          </w:tcPr>
          <w:p>
            <w:pPr>
              <w:ind w:left="60"/>
              <w:spacing w:after="0" w:line="201" w:lineRule="exact"/>
              <w:rPr>
                <w:sz w:val="20"/>
                <w:szCs w:val="20"/>
                <w:color w:val="auto"/>
              </w:rPr>
            </w:pPr>
            <w:r>
              <w:rPr>
                <w:rFonts w:ascii="Arial" w:cs="Arial" w:eastAsia="Arial" w:hAnsi="Arial"/>
                <w:sz w:val="18"/>
                <w:szCs w:val="18"/>
                <w:b w:val="1"/>
                <w:bCs w:val="1"/>
                <w:color w:val="auto"/>
              </w:rPr>
              <w:t>Common</w:t>
            </w:r>
          </w:p>
        </w:tc>
        <w:tc>
          <w:tcPr>
            <w:tcW w:w="100" w:type="dxa"/>
            <w:vAlign w:val="bottom"/>
          </w:tcPr>
          <w:p>
            <w:pPr>
              <w:spacing w:after="0"/>
              <w:rPr>
                <w:sz w:val="17"/>
                <w:szCs w:val="17"/>
                <w:color w:val="auto"/>
              </w:rPr>
            </w:pPr>
          </w:p>
        </w:tc>
        <w:tc>
          <w:tcPr>
            <w:tcW w:w="900" w:type="dxa"/>
            <w:vAlign w:val="bottom"/>
            <w:gridSpan w:val="2"/>
          </w:tcPr>
          <w:p>
            <w:pPr>
              <w:jc w:val="right"/>
              <w:ind w:right="200"/>
              <w:spacing w:after="0" w:line="201" w:lineRule="exact"/>
              <w:rPr>
                <w:sz w:val="20"/>
                <w:szCs w:val="20"/>
                <w:color w:val="auto"/>
              </w:rPr>
            </w:pPr>
            <w:r>
              <w:rPr>
                <w:rFonts w:ascii="Arial" w:cs="Arial" w:eastAsia="Arial" w:hAnsi="Arial"/>
                <w:sz w:val="18"/>
                <w:szCs w:val="18"/>
                <w:b w:val="1"/>
                <w:bCs w:val="1"/>
                <w:color w:val="auto"/>
                <w:w w:val="87"/>
              </w:rPr>
              <w:t>Common</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240"/>
              <w:spacing w:after="0" w:line="201" w:lineRule="exact"/>
              <w:rPr>
                <w:sz w:val="20"/>
                <w:szCs w:val="20"/>
                <w:color w:val="auto"/>
              </w:rPr>
            </w:pPr>
            <w:r>
              <w:rPr>
                <w:rFonts w:ascii="Arial" w:cs="Arial" w:eastAsia="Arial" w:hAnsi="Arial"/>
                <w:sz w:val="18"/>
                <w:szCs w:val="18"/>
                <w:b w:val="1"/>
                <w:bCs w:val="1"/>
                <w:color w:val="auto"/>
                <w:w w:val="89"/>
              </w:rPr>
              <w:t>Stock</w:t>
            </w:r>
          </w:p>
        </w:tc>
        <w:tc>
          <w:tcPr>
            <w:tcW w:w="40" w:type="dxa"/>
            <w:vAlign w:val="bottom"/>
          </w:tcPr>
          <w:p>
            <w:pPr>
              <w:spacing w:after="0"/>
              <w:rPr>
                <w:sz w:val="17"/>
                <w:szCs w:val="17"/>
                <w:color w:val="auto"/>
              </w:rPr>
            </w:pPr>
          </w:p>
        </w:tc>
        <w:tc>
          <w:tcPr>
            <w:tcW w:w="980" w:type="dxa"/>
            <w:vAlign w:val="bottom"/>
            <w:gridSpan w:val="2"/>
          </w:tcPr>
          <w:p>
            <w:pPr>
              <w:jc w:val="right"/>
              <w:ind w:right="280"/>
              <w:spacing w:after="0" w:line="201" w:lineRule="exact"/>
              <w:rPr>
                <w:sz w:val="20"/>
                <w:szCs w:val="20"/>
                <w:color w:val="auto"/>
              </w:rPr>
            </w:pPr>
            <w:r>
              <w:rPr>
                <w:rFonts w:ascii="Arial" w:cs="Arial" w:eastAsia="Arial" w:hAnsi="Arial"/>
                <w:sz w:val="18"/>
                <w:szCs w:val="18"/>
                <w:b w:val="1"/>
                <w:bCs w:val="1"/>
                <w:color w:val="auto"/>
              </w:rPr>
              <w:t>Capital</w:t>
            </w:r>
          </w:p>
        </w:tc>
        <w:tc>
          <w:tcPr>
            <w:tcW w:w="1120" w:type="dxa"/>
            <w:vAlign w:val="bottom"/>
            <w:gridSpan w:val="3"/>
          </w:tcPr>
          <w:p>
            <w:pPr>
              <w:spacing w:after="0" w:line="201" w:lineRule="exact"/>
              <w:rPr>
                <w:sz w:val="20"/>
                <w:szCs w:val="20"/>
                <w:color w:val="auto"/>
              </w:rPr>
            </w:pPr>
            <w:r>
              <w:rPr>
                <w:rFonts w:ascii="Arial" w:cs="Arial" w:eastAsia="Arial" w:hAnsi="Arial"/>
                <w:sz w:val="18"/>
                <w:szCs w:val="18"/>
                <w:b w:val="1"/>
                <w:bCs w:val="1"/>
                <w:color w:val="auto"/>
                <w:w w:val="97"/>
              </w:rPr>
              <w:t>Accumulated</w:t>
            </w:r>
          </w:p>
        </w:tc>
        <w:tc>
          <w:tcPr>
            <w:tcW w:w="1340" w:type="dxa"/>
            <w:vAlign w:val="bottom"/>
            <w:gridSpan w:val="4"/>
          </w:tcPr>
          <w:p>
            <w:pPr>
              <w:ind w:left="40"/>
              <w:spacing w:after="0" w:line="201" w:lineRule="exact"/>
              <w:rPr>
                <w:sz w:val="20"/>
                <w:szCs w:val="20"/>
                <w:color w:val="auto"/>
              </w:rPr>
            </w:pPr>
            <w:r>
              <w:rPr>
                <w:rFonts w:ascii="Arial" w:cs="Arial" w:eastAsia="Arial" w:hAnsi="Arial"/>
                <w:sz w:val="18"/>
                <w:szCs w:val="18"/>
                <w:b w:val="1"/>
                <w:bCs w:val="1"/>
                <w:color w:val="auto"/>
                <w:w w:val="94"/>
              </w:rPr>
              <w:t>Comprehensive</w:t>
            </w: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980" w:type="dxa"/>
            <w:vAlign w:val="bottom"/>
            <w:gridSpan w:val="2"/>
          </w:tcPr>
          <w:p>
            <w:pPr>
              <w:spacing w:after="0"/>
              <w:rPr>
                <w:sz w:val="20"/>
                <w:szCs w:val="20"/>
                <w:color w:val="auto"/>
              </w:rPr>
            </w:pPr>
            <w:r>
              <w:rPr>
                <w:rFonts w:ascii="Arial" w:cs="Arial" w:eastAsia="Arial" w:hAnsi="Arial"/>
                <w:sz w:val="18"/>
                <w:szCs w:val="18"/>
                <w:i w:val="1"/>
                <w:iCs w:val="1"/>
                <w:color w:val="auto"/>
              </w:rPr>
              <w:t>and per share data)</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A</w:t>
            </w:r>
          </w:p>
        </w:tc>
        <w:tc>
          <w:tcPr>
            <w:tcW w:w="100" w:type="dxa"/>
            <w:vAlign w:val="bottom"/>
          </w:tcPr>
          <w:p>
            <w:pPr>
              <w:spacing w:after="0"/>
              <w:rPr>
                <w:sz w:val="22"/>
                <w:szCs w:val="22"/>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B</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D</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2"/>
          </w:tcPr>
          <w:p>
            <w:pPr>
              <w:ind w:left="20"/>
              <w:spacing w:after="0"/>
              <w:rPr>
                <w:sz w:val="20"/>
                <w:szCs w:val="20"/>
                <w:color w:val="auto"/>
              </w:rPr>
            </w:pPr>
            <w:r>
              <w:rPr>
                <w:rFonts w:ascii="Arial" w:cs="Arial" w:eastAsia="Arial" w:hAnsi="Arial"/>
                <w:sz w:val="18"/>
                <w:szCs w:val="18"/>
                <w:b w:val="1"/>
                <w:bCs w:val="1"/>
                <w:color w:val="auto"/>
              </w:rPr>
              <w:t>Stock</w:t>
            </w:r>
          </w:p>
        </w:tc>
        <w:tc>
          <w:tcPr>
            <w:tcW w:w="100" w:type="dxa"/>
            <w:vAlign w:val="bottom"/>
          </w:tcPr>
          <w:p>
            <w:pPr>
              <w:spacing w:after="0"/>
              <w:rPr>
                <w:sz w:val="22"/>
                <w:szCs w:val="22"/>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Stock</w:t>
            </w:r>
          </w:p>
        </w:tc>
        <w:tc>
          <w:tcPr>
            <w:tcW w:w="40" w:type="dxa"/>
            <w:vAlign w:val="bottom"/>
          </w:tcPr>
          <w:p>
            <w:pPr>
              <w:spacing w:after="0"/>
              <w:rPr>
                <w:sz w:val="22"/>
                <w:szCs w:val="22"/>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1"/>
              </w:rPr>
              <w:t>Issuable</w:t>
            </w:r>
          </w:p>
        </w:tc>
        <w:tc>
          <w:tcPr>
            <w:tcW w:w="40" w:type="dxa"/>
            <w:vAlign w:val="bottom"/>
          </w:tcPr>
          <w:p>
            <w:pPr>
              <w:spacing w:after="0"/>
              <w:rPr>
                <w:sz w:val="22"/>
                <w:szCs w:val="22"/>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Surplus</w:t>
            </w:r>
          </w:p>
        </w:tc>
        <w:tc>
          <w:tcPr>
            <w:tcW w:w="180" w:type="dxa"/>
            <w:vAlign w:val="bottom"/>
          </w:tcPr>
          <w:p>
            <w:pPr>
              <w:spacing w:after="0"/>
              <w:rPr>
                <w:sz w:val="22"/>
                <w:szCs w:val="22"/>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Deficit</w:t>
            </w:r>
          </w:p>
        </w:tc>
        <w:tc>
          <w:tcPr>
            <w:tcW w:w="40" w:type="dxa"/>
            <w:vAlign w:val="bottom"/>
          </w:tcPr>
          <w:p>
            <w:pPr>
              <w:spacing w:after="0"/>
              <w:rPr>
                <w:sz w:val="22"/>
                <w:szCs w:val="22"/>
                <w:color w:val="auto"/>
              </w:rPr>
            </w:pPr>
          </w:p>
        </w:tc>
        <w:tc>
          <w:tcPr>
            <w:tcW w:w="13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Income (Loss)</w:t>
            </w:r>
          </w:p>
        </w:tc>
        <w:tc>
          <w:tcPr>
            <w:tcW w:w="40" w:type="dxa"/>
            <w:vAlign w:val="bottom"/>
          </w:tcPr>
          <w:p>
            <w:pPr>
              <w:spacing w:after="0"/>
              <w:rPr>
                <w:sz w:val="22"/>
                <w:szCs w:val="22"/>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60" w:type="dxa"/>
            <w:vAlign w:val="bottom"/>
            <w:tcBorders>
              <w:top w:val="single" w:sz="8" w:color="auto"/>
            </w:tcBorders>
            <w:shd w:val="clear" w:color="auto" w:fill="F0FFFF"/>
          </w:tcPr>
          <w:p>
            <w:pPr>
              <w:spacing w:after="0" w:line="198" w:lineRule="exact"/>
              <w:rPr>
                <w:sz w:val="20"/>
                <w:szCs w:val="20"/>
                <w:color w:val="auto"/>
              </w:rPr>
            </w:pPr>
            <w:r>
              <w:rPr>
                <w:rFonts w:ascii="Arial" w:cs="Arial" w:eastAsia="Arial" w:hAnsi="Arial"/>
                <w:sz w:val="18"/>
                <w:szCs w:val="18"/>
                <w:b w:val="1"/>
                <w:bCs w:val="1"/>
                <w:color w:val="auto"/>
                <w:w w:val="98"/>
              </w:rPr>
              <w:t>Balance, December 31,</w:t>
            </w:r>
          </w:p>
        </w:tc>
        <w:tc>
          <w:tcPr>
            <w:tcW w:w="60" w:type="dxa"/>
            <w:vAlign w:val="bottom"/>
            <w:shd w:val="clear" w:color="auto" w:fill="F0FFFF"/>
          </w:tcPr>
          <w:p>
            <w:pPr>
              <w:spacing w:after="0"/>
              <w:rPr>
                <w:sz w:val="17"/>
                <w:szCs w:val="17"/>
                <w:color w:val="auto"/>
              </w:rPr>
            </w:pPr>
          </w:p>
        </w:tc>
        <w:tc>
          <w:tcPr>
            <w:tcW w:w="140" w:type="dxa"/>
            <w:vAlign w:val="bottom"/>
            <w:tcBorders>
              <w:top w:val="single" w:sz="8" w:color="auto"/>
            </w:tcBorders>
            <w:shd w:val="clear" w:color="auto" w:fill="F0FFFF"/>
          </w:tcPr>
          <w:p>
            <w:pPr>
              <w:spacing w:after="0"/>
              <w:rPr>
                <w:sz w:val="17"/>
                <w:szCs w:val="17"/>
                <w:color w:val="auto"/>
              </w:rPr>
            </w:pPr>
          </w:p>
        </w:tc>
        <w:tc>
          <w:tcPr>
            <w:tcW w:w="340" w:type="dxa"/>
            <w:vAlign w:val="bottom"/>
            <w:tcBorders>
              <w:top w:val="single" w:sz="8" w:color="auto"/>
            </w:tcBorders>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60" w:type="dxa"/>
            <w:vAlign w:val="bottom"/>
            <w:tcBorders>
              <w:top w:val="single" w:sz="8" w:color="auto"/>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spacing w:after="0"/>
              <w:rPr>
                <w:sz w:val="17"/>
                <w:szCs w:val="17"/>
                <w:color w:val="auto"/>
              </w:rPr>
            </w:pPr>
          </w:p>
        </w:tc>
        <w:tc>
          <w:tcPr>
            <w:tcW w:w="580" w:type="dxa"/>
            <w:vAlign w:val="bottom"/>
            <w:tcBorders>
              <w:top w:val="single" w:sz="8" w:color="auto"/>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spacing w:after="0"/>
              <w:rPr>
                <w:sz w:val="17"/>
                <w:szCs w:val="17"/>
                <w:color w:val="auto"/>
              </w:rPr>
            </w:pPr>
          </w:p>
        </w:tc>
        <w:tc>
          <w:tcPr>
            <w:tcW w:w="600" w:type="dxa"/>
            <w:vAlign w:val="bottom"/>
            <w:tcBorders>
              <w:top w:val="single" w:sz="8" w:color="auto"/>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tcBorders>
              <w:top w:val="single" w:sz="8" w:color="auto"/>
            </w:tcBorders>
            <w:shd w:val="clear" w:color="auto" w:fill="F0FFFF"/>
          </w:tcPr>
          <w:p>
            <w:pPr>
              <w:spacing w:after="0"/>
              <w:rPr>
                <w:sz w:val="17"/>
                <w:szCs w:val="17"/>
                <w:color w:val="auto"/>
              </w:rPr>
            </w:pPr>
          </w:p>
        </w:tc>
        <w:tc>
          <w:tcPr>
            <w:tcW w:w="800" w:type="dxa"/>
            <w:vAlign w:val="bottom"/>
            <w:tcBorders>
              <w:top w:val="single" w:sz="8" w:color="auto"/>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120" w:type="dxa"/>
            <w:vAlign w:val="bottom"/>
            <w:tcBorders>
              <w:top w:val="single" w:sz="8" w:color="auto"/>
            </w:tcBorders>
            <w:shd w:val="clear" w:color="auto" w:fill="F0FFFF"/>
          </w:tcPr>
          <w:p>
            <w:pPr>
              <w:spacing w:after="0"/>
              <w:rPr>
                <w:sz w:val="17"/>
                <w:szCs w:val="17"/>
                <w:color w:val="auto"/>
              </w:rPr>
            </w:pPr>
          </w:p>
        </w:tc>
        <w:tc>
          <w:tcPr>
            <w:tcW w:w="580" w:type="dxa"/>
            <w:vAlign w:val="bottom"/>
            <w:tcBorders>
              <w:top w:val="single" w:sz="8" w:color="auto"/>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840" w:type="dxa"/>
            <w:vAlign w:val="bottom"/>
            <w:tcBorders>
              <w:top w:val="single" w:sz="8" w:color="auto"/>
            </w:tcBorders>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80" w:type="dxa"/>
            <w:vAlign w:val="bottom"/>
            <w:tcBorders>
              <w:top w:val="single" w:sz="8" w:color="auto"/>
            </w:tcBorders>
            <w:shd w:val="clear" w:color="auto" w:fill="F0FFFF"/>
          </w:tcPr>
          <w:p>
            <w:pPr>
              <w:spacing w:after="0"/>
              <w:rPr>
                <w:sz w:val="17"/>
                <w:szCs w:val="17"/>
                <w:color w:val="auto"/>
              </w:rPr>
            </w:pPr>
          </w:p>
        </w:tc>
        <w:tc>
          <w:tcPr>
            <w:tcW w:w="840" w:type="dxa"/>
            <w:vAlign w:val="bottom"/>
            <w:tcBorders>
              <w:top w:val="single" w:sz="8" w:color="auto"/>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240" w:type="dxa"/>
            <w:vAlign w:val="bottom"/>
            <w:tcBorders>
              <w:top w:val="single" w:sz="8" w:color="auto"/>
            </w:tcBorders>
            <w:shd w:val="clear" w:color="auto" w:fill="F0FFFF"/>
          </w:tcPr>
          <w:p>
            <w:pPr>
              <w:spacing w:after="0"/>
              <w:rPr>
                <w:sz w:val="17"/>
                <w:szCs w:val="17"/>
                <w:color w:val="auto"/>
              </w:rPr>
            </w:pPr>
          </w:p>
        </w:tc>
        <w:tc>
          <w:tcPr>
            <w:tcW w:w="960" w:type="dxa"/>
            <w:vAlign w:val="bottom"/>
            <w:tcBorders>
              <w:top w:val="single" w:sz="8" w:color="auto"/>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760" w:type="dxa"/>
            <w:vAlign w:val="bottom"/>
            <w:tcBorders>
              <w:top w:val="single" w:sz="8" w:color="auto"/>
            </w:tcBorders>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6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2012</w:t>
            </w:r>
          </w:p>
        </w:tc>
        <w:tc>
          <w:tcPr>
            <w:tcW w:w="200" w:type="dxa"/>
            <w:vAlign w:val="bottom"/>
            <w:gridSpan w:val="2"/>
            <w:shd w:val="clear" w:color="auto" w:fill="F0FFFF"/>
          </w:tcPr>
          <w:p>
            <w:pPr>
              <w:ind w:left="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217</w:t>
            </w:r>
          </w:p>
        </w:tc>
        <w:tc>
          <w:tcPr>
            <w:tcW w:w="960" w:type="dxa"/>
            <w:vAlign w:val="bottom"/>
            <w:gridSpan w:val="3"/>
            <w:shd w:val="clear" w:color="auto" w:fill="F0FFFF"/>
          </w:tcPr>
          <w:p>
            <w:pPr>
              <w:jc w:val="right"/>
              <w:ind w:right="100"/>
              <w:spacing w:after="0"/>
              <w:rPr>
                <w:sz w:val="20"/>
                <w:szCs w:val="20"/>
                <w:color w:val="auto"/>
              </w:rPr>
            </w:pPr>
            <w:r>
              <w:rPr>
                <w:rFonts w:ascii="Arial" w:cs="Arial" w:eastAsia="Arial" w:hAnsi="Arial"/>
                <w:sz w:val="18"/>
                <w:szCs w:val="18"/>
                <w:color w:val="auto"/>
              </w:rPr>
              <w:t>$ 178,557</w:t>
            </w:r>
          </w:p>
        </w:tc>
        <w:tc>
          <w:tcPr>
            <w:tcW w:w="1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16,613</w:t>
            </w:r>
          </w:p>
        </w:tc>
        <w:tc>
          <w:tcPr>
            <w:tcW w:w="160" w:type="dxa"/>
            <w:vAlign w:val="bottom"/>
            <w:gridSpan w:val="2"/>
            <w:shd w:val="clear" w:color="auto" w:fill="F0FFFF"/>
          </w:tcPr>
          <w:p>
            <w:pPr>
              <w:ind w:left="6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42,424</w:t>
            </w:r>
          </w:p>
        </w:tc>
        <w:tc>
          <w:tcPr>
            <w:tcW w:w="100" w:type="dxa"/>
            <w:vAlign w:val="bottom"/>
            <w:shd w:val="clear" w:color="auto" w:fill="F0FF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15,317</w:t>
            </w:r>
          </w:p>
        </w:tc>
        <w:tc>
          <w:tcPr>
            <w:tcW w:w="160" w:type="dxa"/>
            <w:vAlign w:val="bottom"/>
            <w:gridSpan w:val="2"/>
            <w:shd w:val="clear" w:color="auto" w:fill="F0FFFF"/>
          </w:tcPr>
          <w:p>
            <w:pPr>
              <w:ind w:left="4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3,119</w:t>
            </w:r>
          </w:p>
        </w:tc>
        <w:tc>
          <w:tcPr>
            <w:tcW w:w="8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w w:val="90"/>
              </w:rPr>
              <w:t>$ 1,057,951</w:t>
            </w:r>
          </w:p>
        </w:tc>
        <w:tc>
          <w:tcPr>
            <w:tcW w:w="14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(709,153)</w:t>
            </w:r>
          </w:p>
        </w:tc>
        <w:tc>
          <w:tcPr>
            <w:tcW w:w="280" w:type="dxa"/>
            <w:vAlign w:val="bottom"/>
            <w:gridSpan w:val="2"/>
            <w:shd w:val="clear" w:color="auto" w:fill="F0FFFF"/>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(23,640)</w:t>
            </w:r>
          </w:p>
        </w:tc>
        <w:tc>
          <w:tcPr>
            <w:tcW w:w="880" w:type="dxa"/>
            <w:vAlign w:val="bottom"/>
            <w:gridSpan w:val="3"/>
            <w:shd w:val="clear" w:color="auto" w:fill="F0FFFF"/>
          </w:tcPr>
          <w:p>
            <w:pPr>
              <w:jc w:val="right"/>
              <w:ind w:right="80"/>
              <w:spacing w:after="0"/>
              <w:rPr>
                <w:sz w:val="20"/>
                <w:szCs w:val="20"/>
                <w:color w:val="auto"/>
              </w:rPr>
            </w:pPr>
            <w:r>
              <w:rPr>
                <w:rFonts w:ascii="Arial" w:cs="Arial" w:eastAsia="Arial" w:hAnsi="Arial"/>
                <w:sz w:val="18"/>
                <w:szCs w:val="18"/>
                <w:color w:val="auto"/>
                <w:w w:val="97"/>
              </w:rPr>
              <w:t>$ 581,405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Net income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241,729</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241,729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Other comprehensive</w:t>
            </w:r>
          </w:p>
        </w:tc>
        <w:tc>
          <w:tcPr>
            <w:tcW w:w="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34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5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6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5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60" w:type="dxa"/>
            <w:vAlign w:val="bottom"/>
            <w:shd w:val="clear" w:color="auto" w:fill="F0FFFF"/>
          </w:tcPr>
          <w:p>
            <w:pPr>
              <w:spacing w:after="0"/>
              <w:rPr>
                <w:sz w:val="20"/>
                <w:szCs w:val="20"/>
                <w:color w:val="auto"/>
              </w:rPr>
            </w:pPr>
            <w:r>
              <w:rPr>
                <w:rFonts w:ascii="Arial" w:cs="Arial" w:eastAsia="Arial" w:hAnsi="Arial"/>
                <w:sz w:val="18"/>
                <w:szCs w:val="18"/>
                <w:color w:val="auto"/>
              </w:rPr>
              <w:t>income</w:t>
            </w:r>
          </w:p>
        </w:tc>
        <w:tc>
          <w:tcPr>
            <w:tcW w:w="6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340" w:type="dxa"/>
            <w:vAlign w:val="bottom"/>
            <w:shd w:val="clear" w:color="auto" w:fill="F0FFFF"/>
          </w:tcPr>
          <w:p>
            <w:pPr>
              <w:spacing w:after="0"/>
              <w:rPr>
                <w:sz w:val="20"/>
                <w:szCs w:val="20"/>
                <w:color w:val="auto"/>
              </w:rPr>
            </w:pPr>
          </w:p>
        </w:tc>
        <w:tc>
          <w:tcPr>
            <w:tcW w:w="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76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4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58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6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60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80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4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5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40" w:type="dxa"/>
            <w:vAlign w:val="bottom"/>
            <w:shd w:val="clear" w:color="auto" w:fill="F0FFFF"/>
          </w:tcPr>
          <w:p>
            <w:pPr>
              <w:spacing w:after="0"/>
              <w:rPr>
                <w:sz w:val="20"/>
                <w:szCs w:val="20"/>
                <w:color w:val="auto"/>
              </w:rPr>
            </w:pPr>
          </w:p>
        </w:tc>
        <w:tc>
          <w:tcPr>
            <w:tcW w:w="84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84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4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9,854</w:t>
            </w:r>
          </w:p>
        </w:tc>
        <w:tc>
          <w:tcPr>
            <w:tcW w:w="880" w:type="dxa"/>
            <w:vAlign w:val="bottom"/>
            <w:gridSpan w:val="3"/>
            <w:shd w:val="clear" w:color="auto" w:fill="F0FFFF"/>
          </w:tcPr>
          <w:p>
            <w:pPr>
              <w:jc w:val="right"/>
              <w:ind w:right="80"/>
              <w:spacing w:after="0"/>
              <w:rPr>
                <w:sz w:val="20"/>
                <w:szCs w:val="20"/>
                <w:color w:val="auto"/>
              </w:rPr>
            </w:pPr>
            <w:r>
              <w:rPr>
                <w:rFonts w:ascii="Arial" w:cs="Arial" w:eastAsia="Arial" w:hAnsi="Arial"/>
                <w:sz w:val="18"/>
                <w:szCs w:val="18"/>
                <w:color w:val="auto"/>
              </w:rPr>
              <w:t>9,854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tcPr>
          <w:p>
            <w:pPr>
              <w:spacing w:after="0" w:line="201" w:lineRule="exact"/>
              <w:rPr>
                <w:sz w:val="20"/>
                <w:szCs w:val="20"/>
                <w:color w:val="auto"/>
              </w:rPr>
            </w:pPr>
            <w:r>
              <w:rPr>
                <w:rFonts w:ascii="Arial" w:cs="Arial" w:eastAsia="Arial" w:hAnsi="Arial"/>
                <w:sz w:val="18"/>
                <w:szCs w:val="18"/>
                <w:color w:val="auto"/>
                <w:w w:val="98"/>
              </w:rPr>
              <w:t>Common stock issued to</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rPr>
              <w:t>dividend reinvestment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rPr>
              <w:t>plan and employee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rPr>
              <w:t>benefit plans (35,667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rPr>
              <w:t>shares)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348</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6"/>
              </w:rPr>
              <w:t>Conversion of non-voting</w:t>
            </w:r>
          </w:p>
        </w:tc>
        <w:tc>
          <w:tcPr>
            <w:tcW w:w="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34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5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6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5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F0FFFF"/>
          </w:tcPr>
          <w:p>
            <w:pPr>
              <w:ind w:left="160"/>
              <w:spacing w:after="0"/>
              <w:rPr>
                <w:sz w:val="20"/>
                <w:szCs w:val="20"/>
                <w:color w:val="auto"/>
              </w:rPr>
            </w:pPr>
            <w:r>
              <w:rPr>
                <w:rFonts w:ascii="Arial" w:cs="Arial" w:eastAsia="Arial" w:hAnsi="Arial"/>
                <w:sz w:val="18"/>
                <w:szCs w:val="18"/>
                <w:color w:val="auto"/>
                <w:w w:val="94"/>
              </w:rPr>
              <w:t>common stock to voting</w:t>
            </w: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(841,984 shares)</w:t>
            </w:r>
          </w:p>
        </w:tc>
        <w:tc>
          <w:tcPr>
            <w:tcW w:w="6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340" w:type="dxa"/>
            <w:vAlign w:val="bottom"/>
            <w:shd w:val="clear" w:color="auto" w:fill="F0FFFF"/>
          </w:tcPr>
          <w:p>
            <w:pPr>
              <w:spacing w:after="0"/>
              <w:rPr>
                <w:sz w:val="20"/>
                <w:szCs w:val="20"/>
                <w:color w:val="auto"/>
              </w:rPr>
            </w:pPr>
          </w:p>
        </w:tc>
        <w:tc>
          <w:tcPr>
            <w:tcW w:w="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76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4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58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6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7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842</w:t>
            </w:r>
          </w:p>
        </w:tc>
        <w:tc>
          <w:tcPr>
            <w:tcW w:w="100" w:type="dxa"/>
            <w:vAlign w:val="bottom"/>
            <w:shd w:val="clear" w:color="auto" w:fill="F0FFFF"/>
          </w:tcPr>
          <w:p>
            <w:pPr>
              <w:spacing w:after="0"/>
              <w:rPr>
                <w:sz w:val="20"/>
                <w:szCs w:val="20"/>
                <w:color w:val="auto"/>
              </w:rPr>
            </w:pPr>
          </w:p>
        </w:tc>
        <w:tc>
          <w:tcPr>
            <w:tcW w:w="9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(842)</w:t>
            </w:r>
          </w:p>
        </w:tc>
        <w:tc>
          <w:tcPr>
            <w:tcW w:w="4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5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40" w:type="dxa"/>
            <w:vAlign w:val="bottom"/>
            <w:shd w:val="clear" w:color="auto" w:fill="F0FFFF"/>
          </w:tcPr>
          <w:p>
            <w:pPr>
              <w:spacing w:after="0"/>
              <w:rPr>
                <w:sz w:val="20"/>
                <w:szCs w:val="20"/>
                <w:color w:val="auto"/>
              </w:rPr>
            </w:pPr>
          </w:p>
        </w:tc>
        <w:tc>
          <w:tcPr>
            <w:tcW w:w="84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84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4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96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40" w:type="dxa"/>
            <w:vAlign w:val="bottom"/>
            <w:shd w:val="clear" w:color="auto" w:fill="F0FFFF"/>
          </w:tcPr>
          <w:p>
            <w:pPr>
              <w:spacing w:after="0"/>
              <w:rPr>
                <w:sz w:val="20"/>
                <w:szCs w:val="20"/>
                <w:color w:val="auto"/>
              </w:rPr>
            </w:pPr>
          </w:p>
        </w:tc>
        <w:tc>
          <w:tcPr>
            <w:tcW w:w="8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tcPr>
          <w:p>
            <w:pPr>
              <w:spacing w:after="0" w:line="201" w:lineRule="exact"/>
              <w:rPr>
                <w:sz w:val="20"/>
                <w:szCs w:val="20"/>
                <w:color w:val="auto"/>
              </w:rPr>
            </w:pPr>
            <w:r>
              <w:rPr>
                <w:rFonts w:ascii="Arial" w:cs="Arial" w:eastAsia="Arial" w:hAnsi="Arial"/>
                <w:sz w:val="18"/>
                <w:szCs w:val="18"/>
                <w:color w:val="auto"/>
              </w:rPr>
              <w:t>Amortization of stock</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rPr>
              <w:t>options and restricted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rPr>
              <w:t>stock awards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1,359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w w:val="95"/>
              </w:rPr>
              <w:t>Vesting of restricted stock</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w w:val="97"/>
              </w:rPr>
              <w:t>(50,450 shares issued,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w w:val="88"/>
              </w:rPr>
              <w:t>133,914 shares deferred)</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1,934</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(2,161)</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Deferred compensation</w:t>
            </w:r>
          </w:p>
        </w:tc>
        <w:tc>
          <w:tcPr>
            <w:tcW w:w="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34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5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6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5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plan, net, including</w:t>
            </w: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dividend equivalents</w:t>
            </w:r>
          </w:p>
        </w:tc>
        <w:tc>
          <w:tcPr>
            <w:tcW w:w="6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340" w:type="dxa"/>
            <w:vAlign w:val="bottom"/>
            <w:shd w:val="clear" w:color="auto" w:fill="F0FFFF"/>
          </w:tcPr>
          <w:p>
            <w:pPr>
              <w:spacing w:after="0"/>
              <w:rPr>
                <w:sz w:val="20"/>
                <w:szCs w:val="20"/>
                <w:color w:val="auto"/>
              </w:rPr>
            </w:pPr>
          </w:p>
        </w:tc>
        <w:tc>
          <w:tcPr>
            <w:tcW w:w="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76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4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58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6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60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80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4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7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91</w:t>
            </w:r>
          </w:p>
        </w:tc>
        <w:tc>
          <w:tcPr>
            <w:tcW w:w="40" w:type="dxa"/>
            <w:vAlign w:val="bottom"/>
            <w:shd w:val="clear" w:color="auto" w:fill="F0FFFF"/>
          </w:tcPr>
          <w:p>
            <w:pPr>
              <w:spacing w:after="0"/>
              <w:rPr>
                <w:sz w:val="20"/>
                <w:szCs w:val="20"/>
                <w:color w:val="auto"/>
              </w:rPr>
            </w:pPr>
          </w:p>
        </w:tc>
        <w:tc>
          <w:tcPr>
            <w:tcW w:w="84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84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4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96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880" w:type="dxa"/>
            <w:vAlign w:val="bottom"/>
            <w:gridSpan w:val="3"/>
            <w:shd w:val="clear" w:color="auto" w:fill="F0FFFF"/>
          </w:tcPr>
          <w:p>
            <w:pPr>
              <w:jc w:val="right"/>
              <w:ind w:right="8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tcPr>
          <w:p>
            <w:pPr>
              <w:spacing w:after="0" w:line="201" w:lineRule="exact"/>
              <w:rPr>
                <w:sz w:val="20"/>
                <w:szCs w:val="20"/>
                <w:color w:val="auto"/>
              </w:rPr>
            </w:pPr>
            <w:r>
              <w:rPr>
                <w:rFonts w:ascii="Arial" w:cs="Arial" w:eastAsia="Arial" w:hAnsi="Arial"/>
                <w:sz w:val="18"/>
                <w:szCs w:val="18"/>
                <w:color w:val="auto"/>
              </w:rPr>
              <w:t>Shares issued from</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w w:val="96"/>
              </w:rPr>
              <w:t>deferred compensation</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rPr>
              <w:t>plan (4,521 shares)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(439)</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434</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F0FFFF"/>
          </w:tcPr>
          <w:p>
            <w:pPr>
              <w:spacing w:after="0"/>
              <w:rPr>
                <w:sz w:val="20"/>
                <w:szCs w:val="20"/>
                <w:color w:val="auto"/>
              </w:rPr>
            </w:pPr>
            <w:r>
              <w:rPr>
                <w:rFonts w:ascii="Arial" w:cs="Arial" w:eastAsia="Arial" w:hAnsi="Arial"/>
                <w:sz w:val="18"/>
                <w:szCs w:val="18"/>
                <w:color w:val="auto"/>
                <w:w w:val="93"/>
              </w:rPr>
              <w:t>Preferred stock dividends:</w:t>
            </w: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rPr>
              <w:t>Series A</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Series B</w:t>
            </w: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960" w:type="dxa"/>
            <w:vAlign w:val="bottom"/>
            <w:gridSpan w:val="3"/>
            <w:shd w:val="clear" w:color="auto" w:fill="F0FFFF"/>
          </w:tcPr>
          <w:p>
            <w:pPr>
              <w:jc w:val="right"/>
              <w:ind w:right="100"/>
              <w:spacing w:after="0"/>
              <w:rPr>
                <w:sz w:val="20"/>
                <w:szCs w:val="20"/>
                <w:color w:val="auto"/>
              </w:rPr>
            </w:pPr>
            <w:r>
              <w:rPr>
                <w:rFonts w:ascii="Arial" w:cs="Arial" w:eastAsia="Arial" w:hAnsi="Arial"/>
                <w:sz w:val="18"/>
                <w:szCs w:val="18"/>
                <w:color w:val="auto"/>
              </w:rPr>
              <w:t>766</w:t>
            </w:r>
          </w:p>
        </w:tc>
        <w:tc>
          <w:tcPr>
            <w:tcW w:w="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(5,266)</w:t>
            </w:r>
          </w:p>
        </w:tc>
        <w:tc>
          <w:tcPr>
            <w:tcW w:w="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80" w:type="dxa"/>
            <w:vAlign w:val="bottom"/>
            <w:gridSpan w:val="3"/>
            <w:shd w:val="clear" w:color="auto" w:fill="F0FFFF"/>
          </w:tcPr>
          <w:p>
            <w:pPr>
              <w:jc w:val="right"/>
              <w:ind w:right="20"/>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rPr>
              <w:t>Series 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(835)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1960" w:type="dxa"/>
            <w:vAlign w:val="bottom"/>
            <w:shd w:val="clear" w:color="auto" w:fill="F0FFFF"/>
          </w:tcPr>
          <w:p>
            <w:pPr>
              <w:spacing w:after="0"/>
              <w:rPr>
                <w:sz w:val="20"/>
                <w:szCs w:val="20"/>
                <w:color w:val="auto"/>
              </w:rPr>
            </w:pPr>
            <w:r>
              <w:rPr>
                <w:rFonts w:ascii="Arial" w:cs="Arial" w:eastAsia="Arial" w:hAnsi="Arial"/>
                <w:sz w:val="18"/>
                <w:szCs w:val="18"/>
                <w:b w:val="1"/>
                <w:bCs w:val="1"/>
                <w:color w:val="auto"/>
                <w:w w:val="98"/>
              </w:rPr>
              <w:t>Balance, June 30, 2013</w:t>
            </w:r>
          </w:p>
        </w:tc>
        <w:tc>
          <w:tcPr>
            <w:tcW w:w="200" w:type="dxa"/>
            <w:vAlign w:val="bottom"/>
            <w:gridSpan w:val="2"/>
            <w:shd w:val="clear" w:color="auto" w:fill="F0FFFF"/>
          </w:tcPr>
          <w:p>
            <w:pPr>
              <w:ind w:left="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217</w:t>
            </w:r>
          </w:p>
        </w:tc>
        <w:tc>
          <w:tcPr>
            <w:tcW w:w="960" w:type="dxa"/>
            <w:vAlign w:val="bottom"/>
            <w:gridSpan w:val="3"/>
            <w:shd w:val="clear" w:color="auto" w:fill="F0FFFF"/>
          </w:tcPr>
          <w:p>
            <w:pPr>
              <w:jc w:val="right"/>
              <w:ind w:right="100"/>
              <w:spacing w:after="0"/>
              <w:rPr>
                <w:sz w:val="20"/>
                <w:szCs w:val="20"/>
                <w:color w:val="auto"/>
              </w:rPr>
            </w:pPr>
            <w:r>
              <w:rPr>
                <w:rFonts w:ascii="Arial" w:cs="Arial" w:eastAsia="Arial" w:hAnsi="Arial"/>
                <w:sz w:val="18"/>
                <w:szCs w:val="18"/>
                <w:color w:val="auto"/>
              </w:rPr>
              <w:t>$ 179,323</w:t>
            </w:r>
          </w:p>
        </w:tc>
        <w:tc>
          <w:tcPr>
            <w:tcW w:w="1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16,613</w:t>
            </w:r>
          </w:p>
        </w:tc>
        <w:tc>
          <w:tcPr>
            <w:tcW w:w="160" w:type="dxa"/>
            <w:vAlign w:val="bottom"/>
            <w:gridSpan w:val="2"/>
            <w:shd w:val="clear" w:color="auto" w:fill="F0FFFF"/>
          </w:tcPr>
          <w:p>
            <w:pPr>
              <w:ind w:left="6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43,356</w:t>
            </w:r>
          </w:p>
        </w:tc>
        <w:tc>
          <w:tcPr>
            <w:tcW w:w="100" w:type="dxa"/>
            <w:vAlign w:val="bottom"/>
            <w:shd w:val="clear" w:color="auto" w:fill="F0FF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14,475</w:t>
            </w:r>
          </w:p>
        </w:tc>
        <w:tc>
          <w:tcPr>
            <w:tcW w:w="160" w:type="dxa"/>
            <w:vAlign w:val="bottom"/>
            <w:gridSpan w:val="2"/>
            <w:shd w:val="clear" w:color="auto" w:fill="F0FFFF"/>
          </w:tcPr>
          <w:p>
            <w:pPr>
              <w:ind w:left="4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4,705</w:t>
            </w:r>
          </w:p>
        </w:tc>
        <w:tc>
          <w:tcPr>
            <w:tcW w:w="8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w w:val="90"/>
              </w:rPr>
              <w:t>$ 1,057,931</w:t>
            </w:r>
          </w:p>
        </w:tc>
        <w:tc>
          <w:tcPr>
            <w:tcW w:w="140" w:type="dxa"/>
            <w:vAlign w:val="bottom"/>
            <w:shd w:val="clear" w:color="auto" w:fill="F0FFFF"/>
          </w:tcPr>
          <w:p>
            <w:pPr>
              <w:spacing w:after="0"/>
              <w:rPr>
                <w:sz w:val="22"/>
                <w:szCs w:val="22"/>
                <w:color w:val="auto"/>
              </w:rPr>
            </w:pPr>
          </w:p>
        </w:tc>
        <w:tc>
          <w:tcPr>
            <w:tcW w:w="18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(473,531)</w:t>
            </w:r>
          </w:p>
        </w:tc>
        <w:tc>
          <w:tcPr>
            <w:tcW w:w="280" w:type="dxa"/>
            <w:vAlign w:val="bottom"/>
            <w:gridSpan w:val="2"/>
            <w:shd w:val="clear" w:color="auto" w:fill="F0FFFF"/>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(13,786)</w:t>
            </w:r>
          </w:p>
        </w:tc>
        <w:tc>
          <w:tcPr>
            <w:tcW w:w="880" w:type="dxa"/>
            <w:vAlign w:val="bottom"/>
            <w:gridSpan w:val="3"/>
            <w:shd w:val="clear" w:color="auto" w:fill="F0FFFF"/>
          </w:tcPr>
          <w:p>
            <w:pPr>
              <w:jc w:val="right"/>
              <w:ind w:right="80"/>
              <w:spacing w:after="0"/>
              <w:rPr>
                <w:sz w:val="20"/>
                <w:szCs w:val="20"/>
                <w:color w:val="auto"/>
              </w:rPr>
            </w:pPr>
            <w:r>
              <w:rPr>
                <w:rFonts w:ascii="Arial" w:cs="Arial" w:eastAsia="Arial" w:hAnsi="Arial"/>
                <w:sz w:val="18"/>
                <w:szCs w:val="18"/>
                <w:color w:val="auto"/>
                <w:w w:val="97"/>
              </w:rPr>
              <w:t>$ 829,303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960" w:type="dxa"/>
            <w:vAlign w:val="bottom"/>
            <w:tcBorders>
              <w:top w:val="single" w:sz="8" w:color="F0FFFF"/>
            </w:tcBorders>
          </w:tcPr>
          <w:p>
            <w:pPr>
              <w:spacing w:after="0" w:line="191" w:lineRule="exact"/>
              <w:rPr>
                <w:sz w:val="20"/>
                <w:szCs w:val="20"/>
                <w:color w:val="auto"/>
              </w:rPr>
            </w:pPr>
            <w:r>
              <w:rPr>
                <w:rFonts w:ascii="Arial" w:cs="Arial" w:eastAsia="Arial" w:hAnsi="Arial"/>
                <w:sz w:val="18"/>
                <w:szCs w:val="18"/>
                <w:b w:val="1"/>
                <w:bCs w:val="1"/>
                <w:color w:val="auto"/>
                <w:w w:val="98"/>
              </w:rPr>
              <w:t>Balance, December 31,</w:t>
            </w:r>
          </w:p>
        </w:tc>
        <w:tc>
          <w:tcPr>
            <w:tcW w:w="60" w:type="dxa"/>
            <w:vAlign w:val="bottom"/>
            <w:tcBorders>
              <w:top w:val="single" w:sz="8" w:color="F0FF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0" w:type="dxa"/>
            <w:vAlign w:val="bottom"/>
            <w:tcBorders>
              <w:top w:val="single" w:sz="8" w:color="F0FFFF"/>
            </w:tcBorders>
          </w:tcPr>
          <w:p>
            <w:pPr>
              <w:spacing w:after="0"/>
              <w:rPr>
                <w:sz w:val="16"/>
                <w:szCs w:val="16"/>
                <w:color w:val="auto"/>
              </w:rPr>
            </w:pPr>
          </w:p>
        </w:tc>
        <w:tc>
          <w:tcPr>
            <w:tcW w:w="100" w:type="dxa"/>
            <w:vAlign w:val="bottom"/>
            <w:tcBorders>
              <w:top w:val="single" w:sz="8" w:color="F0FFFF"/>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Borders>
              <w:top w:val="single" w:sz="8" w:color="F0FFFF"/>
            </w:tcBorders>
          </w:tcPr>
          <w:p>
            <w:pPr>
              <w:spacing w:after="0"/>
              <w:rPr>
                <w:sz w:val="16"/>
                <w:szCs w:val="16"/>
                <w:color w:val="auto"/>
              </w:rPr>
            </w:pPr>
          </w:p>
        </w:tc>
        <w:tc>
          <w:tcPr>
            <w:tcW w:w="40" w:type="dxa"/>
            <w:vAlign w:val="bottom"/>
            <w:tcBorders>
              <w:top w:val="single" w:sz="8" w:color="F0FF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Borders>
              <w:top w:val="single" w:sz="8" w:color="F0FFFF"/>
            </w:tcBorders>
          </w:tcPr>
          <w:p>
            <w:pPr>
              <w:spacing w:after="0"/>
              <w:rPr>
                <w:sz w:val="16"/>
                <w:szCs w:val="16"/>
                <w:color w:val="auto"/>
              </w:rPr>
            </w:pPr>
          </w:p>
        </w:tc>
        <w:tc>
          <w:tcPr>
            <w:tcW w:w="60" w:type="dxa"/>
            <w:vAlign w:val="bottom"/>
            <w:tcBorders>
              <w:top w:val="single" w:sz="8" w:color="F0FF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20" w:type="dxa"/>
            <w:vAlign w:val="bottom"/>
            <w:tcBorders>
              <w:top w:val="single" w:sz="8" w:color="F0FF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Borders>
              <w:top w:val="single" w:sz="8" w:color="F0FFFF"/>
            </w:tcBorders>
          </w:tcPr>
          <w:p>
            <w:pPr>
              <w:spacing w:after="0"/>
              <w:rPr>
                <w:sz w:val="16"/>
                <w:szCs w:val="16"/>
                <w:color w:val="auto"/>
              </w:rPr>
            </w:pPr>
          </w:p>
        </w:tc>
        <w:tc>
          <w:tcPr>
            <w:tcW w:w="40" w:type="dxa"/>
            <w:vAlign w:val="bottom"/>
            <w:tcBorders>
              <w:top w:val="single" w:sz="8" w:color="F0FF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20" w:type="dxa"/>
            <w:vAlign w:val="bottom"/>
            <w:tcBorders>
              <w:top w:val="single" w:sz="8" w:color="F0FFFF"/>
            </w:tcBorders>
          </w:tcPr>
          <w:p>
            <w:pPr>
              <w:spacing w:after="0"/>
              <w:rPr>
                <w:sz w:val="16"/>
                <w:szCs w:val="16"/>
                <w:color w:val="auto"/>
              </w:rPr>
            </w:pPr>
          </w:p>
        </w:tc>
        <w:tc>
          <w:tcPr>
            <w:tcW w:w="40" w:type="dxa"/>
            <w:vAlign w:val="bottom"/>
            <w:tcBorders>
              <w:top w:val="single" w:sz="8" w:color="F0FFFF"/>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40" w:type="dxa"/>
            <w:vAlign w:val="bottom"/>
            <w:tcBorders>
              <w:top w:val="single" w:sz="8" w:color="F0FF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Borders>
              <w:top w:val="single" w:sz="8" w:color="F0FFFF"/>
            </w:tcBorders>
          </w:tcPr>
          <w:p>
            <w:pPr>
              <w:spacing w:after="0"/>
              <w:rPr>
                <w:sz w:val="16"/>
                <w:szCs w:val="16"/>
                <w:color w:val="auto"/>
              </w:rPr>
            </w:pPr>
          </w:p>
        </w:tc>
        <w:tc>
          <w:tcPr>
            <w:tcW w:w="40" w:type="dxa"/>
            <w:vAlign w:val="bottom"/>
            <w:tcBorders>
              <w:top w:val="single" w:sz="8" w:color="F0FF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F0FFFF"/>
            </w:tcBorders>
          </w:tcPr>
          <w:p>
            <w:pPr>
              <w:spacing w:after="0"/>
              <w:rPr>
                <w:sz w:val="16"/>
                <w:szCs w:val="16"/>
                <w:color w:val="auto"/>
              </w:rPr>
            </w:pPr>
          </w:p>
        </w:tc>
        <w:tc>
          <w:tcPr>
            <w:tcW w:w="40" w:type="dxa"/>
            <w:vAlign w:val="bottom"/>
            <w:tcBorders>
              <w:top w:val="single" w:sz="8" w:color="F0FFFF"/>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80" w:type="dxa"/>
            <w:vAlign w:val="bottom"/>
            <w:tcBorders>
              <w:top w:val="single" w:sz="8" w:color="F0FFFF"/>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980" w:type="dxa"/>
            <w:vAlign w:val="bottom"/>
            <w:gridSpan w:val="2"/>
          </w:tcPr>
          <w:p>
            <w:pPr>
              <w:spacing w:after="0"/>
              <w:rPr>
                <w:sz w:val="20"/>
                <w:szCs w:val="20"/>
                <w:color w:val="auto"/>
              </w:rPr>
            </w:pPr>
            <w:r>
              <w:rPr>
                <w:rFonts w:ascii="Arial" w:cs="Arial" w:eastAsia="Arial" w:hAnsi="Arial"/>
                <w:sz w:val="18"/>
                <w:szCs w:val="18"/>
                <w:b w:val="1"/>
                <w:bCs w:val="1"/>
                <w:color w:val="auto"/>
              </w:rPr>
              <w:t>2013</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$ 105,000</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16,613</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46,243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13,188</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3,930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0"/>
              </w:rPr>
              <w:t>$ 1,078,676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(448,091)</w:t>
            </w:r>
          </w:p>
        </w:tc>
        <w:tc>
          <w:tcPr>
            <w:tcW w:w="2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(19,844)</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w w:val="97"/>
              </w:rPr>
              <w:t>$ 795,715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F0FFFF"/>
          </w:tcPr>
          <w:p>
            <w:pPr>
              <w:spacing w:after="0"/>
              <w:rPr>
                <w:sz w:val="20"/>
                <w:szCs w:val="20"/>
                <w:color w:val="auto"/>
              </w:rPr>
            </w:pPr>
            <w:r>
              <w:rPr>
                <w:rFonts w:ascii="Arial" w:cs="Arial" w:eastAsia="Arial" w:hAnsi="Arial"/>
                <w:sz w:val="18"/>
                <w:szCs w:val="18"/>
                <w:color w:val="auto"/>
              </w:rPr>
              <w:t>Net income</w:t>
            </w: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31,757</w:t>
            </w:r>
          </w:p>
        </w:tc>
        <w:tc>
          <w:tcPr>
            <w:tcW w:w="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80" w:type="dxa"/>
            <w:vAlign w:val="bottom"/>
            <w:gridSpan w:val="3"/>
            <w:shd w:val="clear" w:color="auto" w:fill="F0FFFF"/>
          </w:tcPr>
          <w:p>
            <w:pPr>
              <w:jc w:val="right"/>
              <w:ind w:right="80"/>
              <w:spacing w:after="0"/>
              <w:rPr>
                <w:sz w:val="20"/>
                <w:szCs w:val="20"/>
                <w:color w:val="auto"/>
              </w:rPr>
            </w:pPr>
            <w:r>
              <w:rPr>
                <w:rFonts w:ascii="Arial" w:cs="Arial" w:eastAsia="Arial" w:hAnsi="Arial"/>
                <w:sz w:val="18"/>
                <w:szCs w:val="18"/>
                <w:color w:val="auto"/>
              </w:rPr>
              <w:t>31,757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tcPr>
          <w:p>
            <w:pPr>
              <w:spacing w:after="0" w:line="201" w:lineRule="exact"/>
              <w:rPr>
                <w:sz w:val="20"/>
                <w:szCs w:val="20"/>
                <w:color w:val="auto"/>
              </w:rPr>
            </w:pPr>
            <w:r>
              <w:rPr>
                <w:rFonts w:ascii="Arial" w:cs="Arial" w:eastAsia="Arial" w:hAnsi="Arial"/>
                <w:sz w:val="18"/>
                <w:szCs w:val="18"/>
                <w:color w:val="auto"/>
              </w:rPr>
              <w:t>Other comprehensive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80" w:type="dxa"/>
            <w:vAlign w:val="bottom"/>
            <w:gridSpan w:val="2"/>
          </w:tcPr>
          <w:p>
            <w:pPr>
              <w:spacing w:after="0"/>
              <w:rPr>
                <w:sz w:val="20"/>
                <w:szCs w:val="20"/>
                <w:color w:val="auto"/>
              </w:rPr>
            </w:pPr>
            <w:r>
              <w:rPr>
                <w:rFonts w:ascii="Arial" w:cs="Arial" w:eastAsia="Arial" w:hAnsi="Arial"/>
                <w:sz w:val="18"/>
                <w:szCs w:val="18"/>
                <w:color w:val="auto"/>
              </w:rPr>
              <w:t>income</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3,828</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3,828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Redemption of Series B</w:t>
            </w:r>
          </w:p>
        </w:tc>
        <w:tc>
          <w:tcPr>
            <w:tcW w:w="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34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5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6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5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F0FFFF"/>
          </w:tcPr>
          <w:p>
            <w:pPr>
              <w:ind w:left="160"/>
              <w:spacing w:after="0"/>
              <w:rPr>
                <w:sz w:val="20"/>
                <w:szCs w:val="20"/>
                <w:color w:val="auto"/>
              </w:rPr>
            </w:pPr>
            <w:r>
              <w:rPr>
                <w:rFonts w:ascii="Arial" w:cs="Arial" w:eastAsia="Arial" w:hAnsi="Arial"/>
                <w:sz w:val="18"/>
                <w:szCs w:val="18"/>
                <w:color w:val="auto"/>
                <w:w w:val="90"/>
              </w:rPr>
              <w:t>preferred stock (105,000</w:t>
            </w: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shares)</w:t>
            </w:r>
          </w:p>
        </w:tc>
        <w:tc>
          <w:tcPr>
            <w:tcW w:w="6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340" w:type="dxa"/>
            <w:vAlign w:val="bottom"/>
            <w:shd w:val="clear" w:color="auto" w:fill="F0FFFF"/>
          </w:tcPr>
          <w:p>
            <w:pPr>
              <w:spacing w:after="0"/>
              <w:rPr>
                <w:sz w:val="20"/>
                <w:szCs w:val="20"/>
                <w:color w:val="auto"/>
              </w:rPr>
            </w:pPr>
          </w:p>
        </w:tc>
        <w:tc>
          <w:tcPr>
            <w:tcW w:w="20" w:type="dxa"/>
            <w:vAlign w:val="bottom"/>
            <w:shd w:val="clear" w:color="auto" w:fill="F0FFFF"/>
          </w:tcPr>
          <w:p>
            <w:pPr>
              <w:spacing w:after="0"/>
              <w:rPr>
                <w:sz w:val="20"/>
                <w:szCs w:val="20"/>
                <w:color w:val="auto"/>
              </w:rPr>
            </w:pPr>
          </w:p>
        </w:tc>
        <w:tc>
          <w:tcPr>
            <w:tcW w:w="960" w:type="dxa"/>
            <w:vAlign w:val="bottom"/>
            <w:gridSpan w:val="3"/>
            <w:shd w:val="clear" w:color="auto" w:fill="F0FFFF"/>
          </w:tcPr>
          <w:p>
            <w:pPr>
              <w:jc w:val="right"/>
              <w:ind w:right="40"/>
              <w:spacing w:after="0"/>
              <w:rPr>
                <w:sz w:val="20"/>
                <w:szCs w:val="20"/>
                <w:color w:val="auto"/>
              </w:rPr>
            </w:pPr>
            <w:r>
              <w:rPr>
                <w:rFonts w:ascii="Arial" w:cs="Arial" w:eastAsia="Arial" w:hAnsi="Arial"/>
                <w:sz w:val="18"/>
                <w:szCs w:val="18"/>
                <w:color w:val="auto"/>
              </w:rPr>
              <w:t>(105,000)</w:t>
            </w:r>
          </w:p>
        </w:tc>
        <w:tc>
          <w:tcPr>
            <w:tcW w:w="4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58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6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60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80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4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5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40" w:type="dxa"/>
            <w:vAlign w:val="bottom"/>
            <w:shd w:val="clear" w:color="auto" w:fill="F0FFFF"/>
          </w:tcPr>
          <w:p>
            <w:pPr>
              <w:spacing w:after="0"/>
              <w:rPr>
                <w:sz w:val="20"/>
                <w:szCs w:val="20"/>
                <w:color w:val="auto"/>
              </w:rPr>
            </w:pPr>
          </w:p>
        </w:tc>
        <w:tc>
          <w:tcPr>
            <w:tcW w:w="84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84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4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96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880" w:type="dxa"/>
            <w:vAlign w:val="bottom"/>
            <w:gridSpan w:val="3"/>
            <w:shd w:val="clear" w:color="auto" w:fill="F0FFFF"/>
          </w:tcPr>
          <w:p>
            <w:pPr>
              <w:jc w:val="right"/>
              <w:ind w:right="20"/>
              <w:spacing w:after="0"/>
              <w:rPr>
                <w:sz w:val="20"/>
                <w:szCs w:val="20"/>
                <w:color w:val="auto"/>
              </w:rPr>
            </w:pPr>
            <w:r>
              <w:rPr>
                <w:rFonts w:ascii="Arial" w:cs="Arial" w:eastAsia="Arial" w:hAnsi="Arial"/>
                <w:sz w:val="18"/>
                <w:szCs w:val="18"/>
                <w:color w:val="auto"/>
              </w:rPr>
              <w:t>(105,000)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tcPr>
          <w:p>
            <w:pPr>
              <w:spacing w:after="0" w:line="201" w:lineRule="exact"/>
              <w:rPr>
                <w:sz w:val="20"/>
                <w:szCs w:val="20"/>
                <w:color w:val="auto"/>
              </w:rPr>
            </w:pPr>
            <w:r>
              <w:rPr>
                <w:rFonts w:ascii="Arial" w:cs="Arial" w:eastAsia="Arial" w:hAnsi="Arial"/>
                <w:sz w:val="18"/>
                <w:szCs w:val="18"/>
                <w:color w:val="auto"/>
              </w:rPr>
              <w:t>Redemption of Series 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w w:val="95"/>
              </w:rPr>
              <w:t>preferred stock (16,613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rPr>
              <w:t>shares)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(16,613)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(16,613)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8"/>
              </w:rPr>
              <w:t>Cash dividends declared</w:t>
            </w:r>
          </w:p>
        </w:tc>
        <w:tc>
          <w:tcPr>
            <w:tcW w:w="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34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5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6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5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F0FFFF"/>
          </w:tcPr>
          <w:p>
            <w:pPr>
              <w:ind w:left="160"/>
              <w:spacing w:after="0"/>
              <w:rPr>
                <w:sz w:val="20"/>
                <w:szCs w:val="20"/>
                <w:color w:val="auto"/>
              </w:rPr>
            </w:pPr>
            <w:r>
              <w:rPr>
                <w:rFonts w:ascii="Arial" w:cs="Arial" w:eastAsia="Arial" w:hAnsi="Arial"/>
                <w:sz w:val="18"/>
                <w:szCs w:val="18"/>
                <w:color w:val="auto"/>
                <w:w w:val="95"/>
              </w:rPr>
              <w:t>on common stock ($.03</w:t>
            </w: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per share)</w:t>
            </w:r>
          </w:p>
        </w:tc>
        <w:tc>
          <w:tcPr>
            <w:tcW w:w="6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340" w:type="dxa"/>
            <w:vAlign w:val="bottom"/>
            <w:shd w:val="clear" w:color="auto" w:fill="F0FFFF"/>
          </w:tcPr>
          <w:p>
            <w:pPr>
              <w:spacing w:after="0"/>
              <w:rPr>
                <w:sz w:val="20"/>
                <w:szCs w:val="20"/>
                <w:color w:val="auto"/>
              </w:rPr>
            </w:pPr>
          </w:p>
        </w:tc>
        <w:tc>
          <w:tcPr>
            <w:tcW w:w="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76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4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58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6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60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80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4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5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40" w:type="dxa"/>
            <w:vAlign w:val="bottom"/>
            <w:shd w:val="clear" w:color="auto" w:fill="F0FFFF"/>
          </w:tcPr>
          <w:p>
            <w:pPr>
              <w:spacing w:after="0"/>
              <w:rPr>
                <w:sz w:val="20"/>
                <w:szCs w:val="20"/>
                <w:color w:val="auto"/>
              </w:rPr>
            </w:pPr>
          </w:p>
        </w:tc>
        <w:tc>
          <w:tcPr>
            <w:tcW w:w="84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9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(1,810)</w:t>
            </w:r>
          </w:p>
        </w:tc>
        <w:tc>
          <w:tcPr>
            <w:tcW w:w="4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96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880" w:type="dxa"/>
            <w:vAlign w:val="bottom"/>
            <w:gridSpan w:val="3"/>
            <w:shd w:val="clear" w:color="auto" w:fill="F0FFFF"/>
          </w:tcPr>
          <w:p>
            <w:pPr>
              <w:jc w:val="right"/>
              <w:ind w:right="20"/>
              <w:spacing w:after="0"/>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tcPr>
          <w:p>
            <w:pPr>
              <w:spacing w:after="0" w:line="201" w:lineRule="exact"/>
              <w:rPr>
                <w:sz w:val="20"/>
                <w:szCs w:val="20"/>
                <w:color w:val="auto"/>
              </w:rPr>
            </w:pPr>
            <w:r>
              <w:rPr>
                <w:rFonts w:ascii="Arial" w:cs="Arial" w:eastAsia="Arial" w:hAnsi="Arial"/>
                <w:sz w:val="18"/>
                <w:szCs w:val="18"/>
                <w:color w:val="auto"/>
                <w:w w:val="98"/>
              </w:rPr>
              <w:t>Common stock issued at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w w:val="90"/>
              </w:rPr>
              <w:t>market (640,000 shares)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11,566</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12,206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8"/>
              </w:rPr>
              <w:t>Common stock issued to</w:t>
            </w:r>
          </w:p>
        </w:tc>
        <w:tc>
          <w:tcPr>
            <w:tcW w:w="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34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5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6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5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dividend reinvestment</w:t>
            </w: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plan and to employee</w:t>
            </w: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benefit plans (19,299</w:t>
            </w: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shares)</w:t>
            </w:r>
          </w:p>
        </w:tc>
        <w:tc>
          <w:tcPr>
            <w:tcW w:w="6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340" w:type="dxa"/>
            <w:vAlign w:val="bottom"/>
            <w:shd w:val="clear" w:color="auto" w:fill="F0FFFF"/>
          </w:tcPr>
          <w:p>
            <w:pPr>
              <w:spacing w:after="0"/>
              <w:rPr>
                <w:sz w:val="20"/>
                <w:szCs w:val="20"/>
                <w:color w:val="auto"/>
              </w:rPr>
            </w:pPr>
          </w:p>
        </w:tc>
        <w:tc>
          <w:tcPr>
            <w:tcW w:w="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76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4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58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6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7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F0FFFF"/>
          </w:tcPr>
          <w:p>
            <w:pPr>
              <w:spacing w:after="0"/>
              <w:rPr>
                <w:sz w:val="20"/>
                <w:szCs w:val="20"/>
                <w:color w:val="auto"/>
              </w:rPr>
            </w:pPr>
          </w:p>
        </w:tc>
        <w:tc>
          <w:tcPr>
            <w:tcW w:w="80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4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5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020" w:type="dxa"/>
            <w:vAlign w:val="bottom"/>
            <w:gridSpan w:val="3"/>
            <w:shd w:val="clear" w:color="auto" w:fill="F0FFFF"/>
          </w:tcPr>
          <w:p>
            <w:pPr>
              <w:jc w:val="right"/>
              <w:ind w:right="140"/>
              <w:spacing w:after="0"/>
              <w:rPr>
                <w:sz w:val="20"/>
                <w:szCs w:val="20"/>
                <w:color w:val="auto"/>
              </w:rPr>
            </w:pPr>
            <w:r>
              <w:rPr>
                <w:rFonts w:ascii="Arial" w:cs="Arial" w:eastAsia="Arial" w:hAnsi="Arial"/>
                <w:sz w:val="18"/>
                <w:szCs w:val="18"/>
                <w:color w:val="auto"/>
              </w:rPr>
              <w:t>309</w:t>
            </w:r>
          </w:p>
        </w:tc>
        <w:tc>
          <w:tcPr>
            <w:tcW w:w="180" w:type="dxa"/>
            <w:vAlign w:val="bottom"/>
            <w:shd w:val="clear" w:color="auto" w:fill="F0FFFF"/>
          </w:tcPr>
          <w:p>
            <w:pPr>
              <w:spacing w:after="0"/>
              <w:rPr>
                <w:sz w:val="20"/>
                <w:szCs w:val="20"/>
                <w:color w:val="auto"/>
              </w:rPr>
            </w:pPr>
          </w:p>
        </w:tc>
        <w:tc>
          <w:tcPr>
            <w:tcW w:w="84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4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96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880" w:type="dxa"/>
            <w:vAlign w:val="bottom"/>
            <w:gridSpan w:val="3"/>
            <w:shd w:val="clear" w:color="auto" w:fill="F0FFFF"/>
          </w:tcPr>
          <w:p>
            <w:pPr>
              <w:jc w:val="right"/>
              <w:ind w:right="8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tcPr>
          <w:p>
            <w:pPr>
              <w:spacing w:after="0" w:line="201" w:lineRule="exact"/>
              <w:rPr>
                <w:sz w:val="20"/>
                <w:szCs w:val="20"/>
                <w:color w:val="auto"/>
              </w:rPr>
            </w:pPr>
            <w:r>
              <w:rPr>
                <w:rFonts w:ascii="Arial" w:cs="Arial" w:eastAsia="Arial" w:hAnsi="Arial"/>
                <w:sz w:val="18"/>
                <w:szCs w:val="18"/>
                <w:color w:val="auto"/>
                <w:w w:val="96"/>
              </w:rPr>
              <w:t>Conversion of non-voting</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w w:val="94"/>
              </w:rPr>
              <w:t>common stock to voting</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rPr>
              <w:t>(3,107,419 shares)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3,107</w:t>
            </w: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(3,107)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Amortization of stock</w:t>
            </w:r>
          </w:p>
        </w:tc>
        <w:tc>
          <w:tcPr>
            <w:tcW w:w="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34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5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6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5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options and restricted</w:t>
            </w:r>
          </w:p>
        </w:tc>
        <w:tc>
          <w:tcPr>
            <w:tcW w:w="6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6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4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stock awards</w:t>
            </w:r>
          </w:p>
        </w:tc>
        <w:tc>
          <w:tcPr>
            <w:tcW w:w="6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340" w:type="dxa"/>
            <w:vAlign w:val="bottom"/>
            <w:shd w:val="clear" w:color="auto" w:fill="F0FFFF"/>
          </w:tcPr>
          <w:p>
            <w:pPr>
              <w:spacing w:after="0"/>
              <w:rPr>
                <w:sz w:val="20"/>
                <w:szCs w:val="20"/>
                <w:color w:val="auto"/>
              </w:rPr>
            </w:pPr>
          </w:p>
        </w:tc>
        <w:tc>
          <w:tcPr>
            <w:tcW w:w="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76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4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58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6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60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80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4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5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8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2,228</w:t>
            </w:r>
          </w:p>
        </w:tc>
        <w:tc>
          <w:tcPr>
            <w:tcW w:w="14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84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4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96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880" w:type="dxa"/>
            <w:vAlign w:val="bottom"/>
            <w:gridSpan w:val="3"/>
            <w:shd w:val="clear" w:color="auto" w:fill="F0FFFF"/>
          </w:tcPr>
          <w:p>
            <w:pPr>
              <w:jc w:val="right"/>
              <w:ind w:right="80"/>
              <w:spacing w:after="0"/>
              <w:rPr>
                <w:sz w:val="20"/>
                <w:szCs w:val="20"/>
                <w:color w:val="auto"/>
              </w:rPr>
            </w:pPr>
            <w:r>
              <w:rPr>
                <w:rFonts w:ascii="Arial" w:cs="Arial" w:eastAsia="Arial" w:hAnsi="Arial"/>
                <w:sz w:val="18"/>
                <w:szCs w:val="18"/>
                <w:color w:val="auto"/>
              </w:rPr>
              <w:t>2,228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tcPr>
          <w:p>
            <w:pPr>
              <w:spacing w:after="0" w:line="201" w:lineRule="exact"/>
              <w:rPr>
                <w:sz w:val="20"/>
                <w:szCs w:val="20"/>
                <w:color w:val="auto"/>
              </w:rPr>
            </w:pPr>
            <w:r>
              <w:rPr>
                <w:rFonts w:ascii="Arial" w:cs="Arial" w:eastAsia="Arial" w:hAnsi="Arial"/>
                <w:sz w:val="18"/>
                <w:szCs w:val="18"/>
                <w:color w:val="auto"/>
                <w:w w:val="91"/>
              </w:rPr>
              <w:t>Vesting of restricted stock,</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w w:val="86"/>
              </w:rPr>
              <w:t>net of shares surrendered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rPr>
              <w:t>to cover payroll taxes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w w:val="97"/>
              </w:rPr>
              <w:t>(40,751 shares issued,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w w:val="92"/>
              </w:rPr>
              <w:t>72,797 shares deferred)</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749</w:t>
            </w: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(1,140)</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6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Deferred compensation</w:t>
            </w:r>
          </w:p>
        </w:tc>
        <w:tc>
          <w:tcPr>
            <w:tcW w:w="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340" w:type="dxa"/>
            <w:vAlign w:val="bottom"/>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5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6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00" w:type="dxa"/>
            <w:vAlign w:val="bottom"/>
            <w:gridSpan w:val="2"/>
            <w:shd w:val="clear" w:color="auto" w:fill="F0FFFF"/>
          </w:tcPr>
          <w:p>
            <w:pPr>
              <w:jc w:val="right"/>
              <w:ind w:right="100"/>
              <w:spacing w:after="0" w:line="201" w:lineRule="exact"/>
              <w:rPr>
                <w:sz w:val="20"/>
                <w:szCs w:val="20"/>
                <w:color w:val="auto"/>
              </w:rPr>
            </w:pPr>
            <w:r>
              <w:rPr>
                <w:rFonts w:ascii="Arial" w:cs="Arial" w:eastAsia="Arial" w:hAnsi="Arial"/>
                <w:sz w:val="18"/>
                <w:szCs w:val="18"/>
                <w:color w:val="auto"/>
              </w:rPr>
              <w:t>119</w:t>
            </w:r>
          </w:p>
        </w:tc>
        <w:tc>
          <w:tcPr>
            <w:tcW w:w="4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8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4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80" w:type="dxa"/>
            <w:vAlign w:val="bottom"/>
            <w:gridSpan w:val="3"/>
            <w:shd w:val="clear" w:color="auto" w:fill="F0FFFF"/>
          </w:tcPr>
          <w:p>
            <w:pPr>
              <w:jc w:val="right"/>
              <w:ind w:right="80"/>
              <w:spacing w:after="0" w:line="201" w:lineRule="exact"/>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9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plan, net, including</w:t>
            </w:r>
          </w:p>
        </w:tc>
        <w:tc>
          <w:tcPr>
            <w:tcW w:w="6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340" w:type="dxa"/>
            <w:vAlign w:val="bottom"/>
            <w:shd w:val="clear" w:color="auto" w:fill="F0FFFF"/>
          </w:tcPr>
          <w:p>
            <w:pPr>
              <w:spacing w:after="0"/>
              <w:rPr>
                <w:sz w:val="21"/>
                <w:szCs w:val="21"/>
                <w:color w:val="auto"/>
              </w:rPr>
            </w:pPr>
          </w:p>
        </w:tc>
        <w:tc>
          <w:tcPr>
            <w:tcW w:w="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76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4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58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6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6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80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4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58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40" w:type="dxa"/>
            <w:vAlign w:val="bottom"/>
            <w:shd w:val="clear" w:color="auto" w:fill="F0FFFF"/>
          </w:tcPr>
          <w:p>
            <w:pPr>
              <w:spacing w:after="0"/>
              <w:rPr>
                <w:sz w:val="21"/>
                <w:szCs w:val="21"/>
                <w:color w:val="auto"/>
              </w:rPr>
            </w:pPr>
          </w:p>
        </w:tc>
        <w:tc>
          <w:tcPr>
            <w:tcW w:w="840" w:type="dxa"/>
            <w:vAlign w:val="bottom"/>
            <w:shd w:val="clear" w:color="auto" w:fill="F0FFFF"/>
          </w:tcPr>
          <w:p>
            <w:pPr>
              <w:spacing w:after="0"/>
              <w:rPr>
                <w:sz w:val="21"/>
                <w:szCs w:val="21"/>
                <w:color w:val="auto"/>
              </w:rPr>
            </w:pPr>
          </w:p>
        </w:tc>
        <w:tc>
          <w:tcPr>
            <w:tcW w:w="14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84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40" w:type="dxa"/>
            <w:vAlign w:val="bottom"/>
            <w:shd w:val="clear" w:color="auto" w:fill="F0FFFF"/>
          </w:tcPr>
          <w:p>
            <w:pPr>
              <w:spacing w:after="0"/>
              <w:rPr>
                <w:sz w:val="21"/>
                <w:szCs w:val="21"/>
                <w:color w:val="auto"/>
              </w:rPr>
            </w:pPr>
          </w:p>
        </w:tc>
        <w:tc>
          <w:tcPr>
            <w:tcW w:w="240" w:type="dxa"/>
            <w:vAlign w:val="bottom"/>
            <w:shd w:val="clear" w:color="auto" w:fill="F0FFFF"/>
          </w:tcPr>
          <w:p>
            <w:pPr>
              <w:spacing w:after="0"/>
              <w:rPr>
                <w:sz w:val="21"/>
                <w:szCs w:val="21"/>
                <w:color w:val="auto"/>
              </w:rPr>
            </w:pPr>
          </w:p>
        </w:tc>
        <w:tc>
          <w:tcPr>
            <w:tcW w:w="96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40" w:type="dxa"/>
            <w:vAlign w:val="bottom"/>
            <w:shd w:val="clear" w:color="auto" w:fill="F0FFFF"/>
          </w:tcPr>
          <w:p>
            <w:pPr>
              <w:spacing w:after="0"/>
              <w:rPr>
                <w:sz w:val="21"/>
                <w:szCs w:val="21"/>
                <w:color w:val="auto"/>
              </w:rPr>
            </w:pPr>
          </w:p>
        </w:tc>
        <w:tc>
          <w:tcPr>
            <w:tcW w:w="760" w:type="dxa"/>
            <w:vAlign w:val="bottom"/>
            <w:shd w:val="clear" w:color="auto" w:fill="F0FFFF"/>
          </w:tcPr>
          <w:p>
            <w:pPr>
              <w:spacing w:after="0"/>
              <w:rPr>
                <w:sz w:val="21"/>
                <w:szCs w:val="21"/>
                <w:color w:val="auto"/>
              </w:rPr>
            </w:pPr>
          </w:p>
        </w:tc>
        <w:tc>
          <w:tcPr>
            <w:tcW w:w="80" w:type="dxa"/>
            <w:vAlign w:val="bottom"/>
            <w:shd w:val="clear" w:color="auto" w:fill="F0FFFF"/>
          </w:tcPr>
          <w:p>
            <w:pPr>
              <w:spacing w:after="0"/>
              <w:rPr>
                <w:sz w:val="21"/>
                <w:szCs w:val="21"/>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918"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0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dividend equivalents</w:t>
            </w:r>
          </w:p>
        </w:tc>
        <w:tc>
          <w:tcPr>
            <w:tcW w:w="4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140" w:type="dxa"/>
            <w:vAlign w:val="bottom"/>
            <w:tcBorders>
              <w:right w:val="single" w:sz="8" w:color="F0FFFF"/>
            </w:tcBorders>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60" w:type="dxa"/>
            <w:vAlign w:val="bottom"/>
            <w:tcBorders>
              <w:right w:val="single" w:sz="8" w:color="F0FFFF"/>
            </w:tcBorders>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40" w:type="dxa"/>
            <w:vAlign w:val="bottom"/>
            <w:tcBorders>
              <w:right w:val="single" w:sz="8" w:color="F0FFFF"/>
            </w:tcBorders>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20" w:type="dxa"/>
            <w:vAlign w:val="bottom"/>
          </w:tcPr>
          <w:p>
            <w:pPr>
              <w:spacing w:after="0" w:line="201" w:lineRule="exact"/>
              <w:rPr>
                <w:sz w:val="20"/>
                <w:szCs w:val="20"/>
                <w:color w:val="auto"/>
              </w:rPr>
            </w:pPr>
            <w:r>
              <w:rPr>
                <w:rFonts w:ascii="Arial" w:cs="Arial" w:eastAsia="Arial" w:hAnsi="Arial"/>
                <w:sz w:val="18"/>
                <w:szCs w:val="18"/>
                <w:color w:val="auto"/>
              </w:rPr>
              <w:t>Shares issued from</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ind w:left="160"/>
              <w:spacing w:after="0"/>
              <w:rPr>
                <w:sz w:val="20"/>
                <w:szCs w:val="20"/>
                <w:color w:val="auto"/>
              </w:rPr>
            </w:pPr>
            <w:r>
              <w:rPr>
                <w:rFonts w:ascii="Arial" w:cs="Arial" w:eastAsia="Arial" w:hAnsi="Arial"/>
                <w:sz w:val="18"/>
                <w:szCs w:val="18"/>
                <w:color w:val="auto"/>
                <w:w w:val="99"/>
              </w:rPr>
              <w:t>deferred compensation</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tcPr>
          <w:p>
            <w:pPr>
              <w:ind w:left="160"/>
              <w:spacing w:after="0"/>
              <w:rPr>
                <w:sz w:val="20"/>
                <w:szCs w:val="20"/>
                <w:color w:val="auto"/>
              </w:rPr>
            </w:pPr>
            <w:r>
              <w:rPr>
                <w:rFonts w:ascii="Arial" w:cs="Arial" w:eastAsia="Arial" w:hAnsi="Arial"/>
                <w:sz w:val="18"/>
                <w:szCs w:val="18"/>
                <w:color w:val="auto"/>
              </w:rPr>
              <w:t>plan (7,481 shares)</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60" w:type="dxa"/>
            <w:vAlign w:val="bottom"/>
            <w:gridSpan w:val="4"/>
          </w:tcPr>
          <w:p>
            <w:pPr>
              <w:jc w:val="right"/>
              <w:ind w:right="12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141</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F0FFFF"/>
          </w:tcPr>
          <w:p>
            <w:pPr>
              <w:spacing w:after="0"/>
              <w:rPr>
                <w:sz w:val="20"/>
                <w:szCs w:val="20"/>
                <w:color w:val="auto"/>
              </w:rPr>
            </w:pPr>
            <w:r>
              <w:rPr>
                <w:rFonts w:ascii="Arial" w:cs="Arial" w:eastAsia="Arial" w:hAnsi="Arial"/>
                <w:sz w:val="18"/>
                <w:szCs w:val="18"/>
                <w:color w:val="auto"/>
                <w:w w:val="96"/>
              </w:rPr>
              <w:t>Preferred stock dividends:</w:t>
            </w:r>
          </w:p>
        </w:tc>
        <w:tc>
          <w:tcPr>
            <w:tcW w:w="4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140" w:type="dxa"/>
            <w:vAlign w:val="bottom"/>
            <w:tcBorders>
              <w:right w:val="single" w:sz="8" w:color="F0FFFF"/>
            </w:tcBorders>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60" w:type="dxa"/>
            <w:vAlign w:val="bottom"/>
            <w:tcBorders>
              <w:right w:val="single" w:sz="8" w:color="F0FFFF"/>
            </w:tcBorders>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40" w:type="dxa"/>
            <w:vAlign w:val="bottom"/>
            <w:tcBorders>
              <w:right w:val="single" w:sz="8" w:color="F0FFFF"/>
            </w:tcBorders>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ind w:left="160"/>
              <w:spacing w:after="0"/>
              <w:rPr>
                <w:sz w:val="20"/>
                <w:szCs w:val="20"/>
                <w:color w:val="auto"/>
              </w:rPr>
            </w:pPr>
            <w:r>
              <w:rPr>
                <w:rFonts w:ascii="Arial" w:cs="Arial" w:eastAsia="Arial" w:hAnsi="Arial"/>
                <w:sz w:val="18"/>
                <w:szCs w:val="18"/>
                <w:color w:val="auto"/>
              </w:rPr>
              <w:t>Series B</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(159)</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Series D</w:t>
            </w:r>
          </w:p>
        </w:tc>
        <w:tc>
          <w:tcPr>
            <w:tcW w:w="4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40" w:type="dxa"/>
            <w:vAlign w:val="bottom"/>
            <w:shd w:val="clear" w:color="auto" w:fill="F0FFFF"/>
          </w:tcPr>
          <w:p>
            <w:pPr>
              <w:spacing w:after="0"/>
              <w:rPr>
                <w:sz w:val="18"/>
                <w:szCs w:val="18"/>
                <w:color w:val="auto"/>
              </w:rPr>
            </w:pPr>
          </w:p>
        </w:tc>
        <w:tc>
          <w:tcPr>
            <w:tcW w:w="4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640" w:type="dxa"/>
            <w:vAlign w:val="bottom"/>
            <w:shd w:val="clear" w:color="auto" w:fill="F0FFFF"/>
          </w:tcPr>
          <w:p>
            <w:pPr>
              <w:spacing w:after="0"/>
              <w:rPr>
                <w:sz w:val="18"/>
                <w:szCs w:val="18"/>
                <w:color w:val="auto"/>
              </w:rPr>
            </w:pPr>
          </w:p>
        </w:tc>
        <w:tc>
          <w:tcPr>
            <w:tcW w:w="140" w:type="dxa"/>
            <w:vAlign w:val="bottom"/>
            <w:tcBorders>
              <w:right w:val="single" w:sz="8" w:color="F0FFFF"/>
            </w:tcBorders>
            <w:shd w:val="clear" w:color="auto" w:fill="F0FFFF"/>
          </w:tcPr>
          <w:p>
            <w:pPr>
              <w:spacing w:after="0"/>
              <w:rPr>
                <w:sz w:val="18"/>
                <w:szCs w:val="18"/>
                <w:color w:val="auto"/>
              </w:rPr>
            </w:pPr>
          </w:p>
        </w:tc>
        <w:tc>
          <w:tcPr>
            <w:tcW w:w="700" w:type="dxa"/>
            <w:vAlign w:val="bottom"/>
            <w:shd w:val="clear" w:color="auto" w:fill="F0FFFF"/>
          </w:tcPr>
          <w:p>
            <w:pPr>
              <w:spacing w:after="0"/>
              <w:rPr>
                <w:sz w:val="18"/>
                <w:szCs w:val="18"/>
                <w:color w:val="auto"/>
              </w:rPr>
            </w:pPr>
          </w:p>
        </w:tc>
        <w:tc>
          <w:tcPr>
            <w:tcW w:w="160" w:type="dxa"/>
            <w:vAlign w:val="bottom"/>
            <w:tcBorders>
              <w:right w:val="single" w:sz="8" w:color="F0FFFF"/>
            </w:tcBorders>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(280)</w:t>
            </w:r>
          </w:p>
        </w:tc>
        <w:tc>
          <w:tcPr>
            <w:tcW w:w="36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40" w:type="dxa"/>
            <w:vAlign w:val="bottom"/>
            <w:tcBorders>
              <w:right w:val="single" w:sz="8" w:color="F0FFFF"/>
            </w:tcBorders>
            <w:shd w:val="clear" w:color="auto" w:fill="F0FFFF"/>
          </w:tcPr>
          <w:p>
            <w:pPr>
              <w:spacing w:after="0"/>
              <w:rPr>
                <w:sz w:val="18"/>
                <w:szCs w:val="18"/>
                <w:color w:val="auto"/>
              </w:rPr>
            </w:pPr>
          </w:p>
        </w:tc>
        <w:tc>
          <w:tcPr>
            <w:tcW w:w="84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20" w:type="dxa"/>
            <w:vAlign w:val="bottom"/>
            <w:shd w:val="clear" w:color="auto" w:fill="F0FF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Borders>
              <w:right w:val="single" w:sz="8" w:color="F0FFFF"/>
            </w:tcBorders>
            <w:shd w:val="clear" w:color="auto" w:fill="F0FF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Borders>
              <w:right w:val="single" w:sz="8" w:color="F0FFFF"/>
            </w:tcBorders>
            <w:shd w:val="clear" w:color="auto" w:fill="F0FF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Borders>
              <w:right w:val="single" w:sz="8" w:color="F0FFFF"/>
            </w:tcBorders>
            <w:shd w:val="clear" w:color="auto" w:fill="F0FF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b w:val="1"/>
                <w:bCs w:val="1"/>
                <w:color w:val="auto"/>
              </w:rPr>
              <w:t>Balance, June 30, 2014</w:t>
            </w:r>
          </w:p>
        </w:tc>
        <w:tc>
          <w:tcPr>
            <w:tcW w:w="940" w:type="dxa"/>
            <w:vAlign w:val="bottom"/>
            <w:gridSpan w:val="3"/>
          </w:tcPr>
          <w:p>
            <w:pPr>
              <w:spacing w:after="0"/>
              <w:rPr>
                <w:sz w:val="20"/>
                <w:szCs w:val="20"/>
                <w:color w:val="auto"/>
              </w:rPr>
            </w:pPr>
            <w:r>
              <w:rPr>
                <w:rFonts w:ascii="Arial" w:cs="Arial" w:eastAsia="Arial" w:hAnsi="Arial"/>
                <w:sz w:val="18"/>
                <w:szCs w:val="18"/>
                <w:color w:val="auto"/>
              </w:rPr>
              <w:t>$   —  $</w:t>
            </w:r>
          </w:p>
        </w:tc>
        <w:tc>
          <w:tcPr>
            <w:tcW w:w="860" w:type="dxa"/>
            <w:vAlign w:val="bottom"/>
            <w:gridSpan w:val="3"/>
          </w:tcPr>
          <w:p>
            <w:pPr>
              <w:ind w:left="240"/>
              <w:spacing w:after="0"/>
              <w:rPr>
                <w:sz w:val="20"/>
                <w:szCs w:val="20"/>
                <w:color w:val="auto"/>
              </w:rPr>
            </w:pPr>
            <w:r>
              <w:rPr>
                <w:rFonts w:ascii="Arial" w:cs="Arial" w:eastAsia="Arial" w:hAnsi="Arial"/>
                <w:sz w:val="18"/>
                <w:szCs w:val="18"/>
                <w:color w:val="auto"/>
              </w:rPr>
              <w:t>—  $</w:t>
            </w:r>
          </w:p>
        </w:tc>
        <w:tc>
          <w:tcPr>
            <w:tcW w:w="1360" w:type="dxa"/>
            <w:vAlign w:val="bottom"/>
            <w:gridSpan w:val="4"/>
          </w:tcPr>
          <w:p>
            <w:pPr>
              <w:jc w:val="right"/>
              <w:ind w:right="120"/>
              <w:spacing w:after="0"/>
              <w:rPr>
                <w:sz w:val="20"/>
                <w:szCs w:val="20"/>
                <w:color w:val="auto"/>
              </w:rPr>
            </w:pPr>
            <w:r>
              <w:rPr>
                <w:rFonts w:ascii="Arial" w:cs="Arial" w:eastAsia="Arial" w:hAnsi="Arial"/>
                <w:sz w:val="18"/>
                <w:szCs w:val="18"/>
                <w:color w:val="auto"/>
              </w:rPr>
              <w:t>—  $ 50,058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10,081</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  4,649</w:t>
            </w:r>
          </w:p>
        </w:tc>
        <w:tc>
          <w:tcPr>
            <w:tcW w:w="840" w:type="dxa"/>
            <w:vAlign w:val="bottom"/>
          </w:tcPr>
          <w:p>
            <w:pPr>
              <w:jc w:val="right"/>
              <w:spacing w:after="0"/>
              <w:rPr>
                <w:sz w:val="20"/>
                <w:szCs w:val="20"/>
                <w:color w:val="auto"/>
              </w:rPr>
            </w:pPr>
            <w:r>
              <w:rPr>
                <w:rFonts w:ascii="Arial" w:cs="Arial" w:eastAsia="Arial" w:hAnsi="Arial"/>
                <w:sz w:val="18"/>
                <w:szCs w:val="18"/>
                <w:color w:val="auto"/>
                <w:w w:val="86"/>
              </w:rPr>
              <w:t>$ 1,091,780</w:t>
            </w:r>
          </w:p>
        </w:tc>
        <w:tc>
          <w:tcPr>
            <w:tcW w:w="1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gridSpan w:val="3"/>
          </w:tcPr>
          <w:p>
            <w:pPr>
              <w:jc w:val="right"/>
              <w:ind w:right="260"/>
              <w:spacing w:after="0"/>
              <w:rPr>
                <w:sz w:val="20"/>
                <w:szCs w:val="20"/>
                <w:color w:val="auto"/>
              </w:rPr>
            </w:pPr>
            <w:r>
              <w:rPr>
                <w:rFonts w:ascii="Arial" w:cs="Arial" w:eastAsia="Arial" w:hAnsi="Arial"/>
                <w:sz w:val="18"/>
                <w:szCs w:val="18"/>
                <w:color w:val="auto"/>
              </w:rPr>
              <w:t>(418,583) $</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(16,016)</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$ 721,969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Cash Flows </w:t>
      </w:r>
      <w:r>
        <w:rPr>
          <w:rFonts w:ascii="Arial" w:cs="Arial" w:eastAsia="Arial" w:hAnsi="Arial"/>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7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b w:val="1"/>
                <w:bCs w:val="1"/>
                <w:color w:val="auto"/>
              </w:rPr>
              <w:t>Operating activities:</w:t>
            </w:r>
          </w:p>
        </w:tc>
        <w:tc>
          <w:tcPr>
            <w:tcW w:w="12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84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31,757</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241,729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Depreciation, amortization and accretion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9,966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320"/>
              <w:spacing w:after="0"/>
              <w:rPr>
                <w:sz w:val="20"/>
                <w:szCs w:val="20"/>
                <w:color w:val="auto"/>
              </w:rPr>
            </w:pPr>
            <w:r>
              <w:rPr>
                <w:rFonts w:ascii="Arial" w:cs="Arial" w:eastAsia="Arial" w:hAnsi="Arial"/>
                <w:sz w:val="18"/>
                <w:szCs w:val="18"/>
                <w:color w:val="auto"/>
              </w:rPr>
              <w:t>Provision for credit losses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4,700</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59,500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Stock based compensation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2,228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320"/>
              <w:spacing w:after="0"/>
              <w:rPr>
                <w:sz w:val="20"/>
                <w:szCs w:val="20"/>
                <w:color w:val="auto"/>
              </w:rPr>
            </w:pPr>
            <w:r>
              <w:rPr>
                <w:rFonts w:ascii="Arial" w:cs="Arial" w:eastAsia="Arial" w:hAnsi="Arial"/>
                <w:sz w:val="18"/>
                <w:szCs w:val="18"/>
                <w:color w:val="auto"/>
              </w:rPr>
              <w:t>Deferred income tax expense (benefit)</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18,716</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(258,987)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Securities gains, net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(4,652)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320"/>
              <w:spacing w:after="0"/>
              <w:rPr>
                <w:sz w:val="20"/>
                <w:szCs w:val="20"/>
                <w:color w:val="auto"/>
              </w:rPr>
            </w:pPr>
            <w:r>
              <w:rPr>
                <w:rFonts w:ascii="Arial" w:cs="Arial" w:eastAsia="Arial" w:hAnsi="Arial"/>
                <w:sz w:val="18"/>
                <w:szCs w:val="18"/>
                <w:color w:val="auto"/>
              </w:rPr>
              <w:t>Loss on prepayment of borrowings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4,446</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Net (gains) losses on sales of foreclosed property</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(362)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320"/>
              <w:spacing w:after="0"/>
              <w:rPr>
                <w:sz w:val="20"/>
                <w:szCs w:val="20"/>
                <w:color w:val="auto"/>
              </w:rPr>
            </w:pPr>
            <w:r>
              <w:rPr>
                <w:rFonts w:ascii="Arial" w:cs="Arial" w:eastAsia="Arial" w:hAnsi="Arial"/>
                <w:sz w:val="18"/>
                <w:szCs w:val="18"/>
                <w:color w:val="auto"/>
              </w:rPr>
              <w:t>Changes in assets and liabilities: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80"/>
              <w:spacing w:after="0"/>
              <w:rPr>
                <w:sz w:val="20"/>
                <w:szCs w:val="20"/>
                <w:color w:val="auto"/>
              </w:rPr>
            </w:pPr>
            <w:r>
              <w:rPr>
                <w:rFonts w:ascii="Arial" w:cs="Arial" w:eastAsia="Arial" w:hAnsi="Arial"/>
                <w:sz w:val="18"/>
                <w:szCs w:val="18"/>
                <w:color w:val="auto"/>
              </w:rPr>
              <w:t>Other assets and accrued interest receivable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(2,567)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480"/>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(19,691)</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19,487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80"/>
              <w:spacing w:after="0"/>
              <w:rPr>
                <w:sz w:val="20"/>
                <w:szCs w:val="20"/>
                <w:color w:val="auto"/>
              </w:rPr>
            </w:pPr>
            <w:r>
              <w:rPr>
                <w:rFonts w:ascii="Arial" w:cs="Arial" w:eastAsia="Arial" w:hAnsi="Arial"/>
                <w:sz w:val="18"/>
                <w:szCs w:val="18"/>
                <w:color w:val="auto"/>
              </w:rPr>
              <w:t>Mortgage loans held for sale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(4,599)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9,671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68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2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39,942</w:t>
            </w:r>
          </w:p>
        </w:tc>
        <w:tc>
          <w:tcPr>
            <w:tcW w:w="8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105,549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top w:val="single" w:sz="8" w:color="F0FFFF"/>
            </w:tcBorders>
          </w:tcPr>
          <w:p>
            <w:pPr>
              <w:spacing w:after="0"/>
              <w:rPr>
                <w:sz w:val="20"/>
                <w:szCs w:val="20"/>
                <w:color w:val="auto"/>
              </w:rPr>
            </w:pPr>
            <w:r>
              <w:rPr>
                <w:rFonts w:ascii="Arial" w:cs="Arial" w:eastAsia="Arial" w:hAnsi="Arial"/>
                <w:sz w:val="18"/>
                <w:szCs w:val="18"/>
                <w:b w:val="1"/>
                <w:bCs w:val="1"/>
                <w:color w:val="auto"/>
              </w:rPr>
              <w:t>Investing activities:</w:t>
            </w:r>
          </w:p>
        </w:tc>
        <w:tc>
          <w:tcPr>
            <w:tcW w:w="12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Investment securities held-to-maturity:</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Proceeds from maturities and calls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31,159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33,141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320"/>
              <w:spacing w:after="0"/>
              <w:rPr>
                <w:sz w:val="20"/>
                <w:szCs w:val="20"/>
                <w:color w:val="auto"/>
              </w:rPr>
            </w:pPr>
            <w:r>
              <w:rPr>
                <w:rFonts w:ascii="Arial" w:cs="Arial" w:eastAsia="Arial" w:hAnsi="Arial"/>
                <w:sz w:val="18"/>
                <w:szCs w:val="18"/>
                <w:color w:val="auto"/>
              </w:rPr>
              <w:t>Purchases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(173)</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(4,993)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Investment securities available-for-sale: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320"/>
              <w:spacing w:after="0"/>
              <w:rPr>
                <w:sz w:val="20"/>
                <w:szCs w:val="20"/>
                <w:color w:val="auto"/>
              </w:rPr>
            </w:pPr>
            <w:r>
              <w:rPr>
                <w:rFonts w:ascii="Arial" w:cs="Arial" w:eastAsia="Arial" w:hAnsi="Arial"/>
                <w:sz w:val="18"/>
                <w:szCs w:val="18"/>
                <w:color w:val="auto"/>
              </w:rPr>
              <w:t>Proceeds from sales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390,227</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15,751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Proceeds from maturities and calls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111,378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260,967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320"/>
              <w:spacing w:after="0"/>
              <w:rPr>
                <w:sz w:val="20"/>
                <w:szCs w:val="20"/>
                <w:color w:val="auto"/>
              </w:rPr>
            </w:pPr>
            <w:r>
              <w:rPr>
                <w:rFonts w:ascii="Arial" w:cs="Arial" w:eastAsia="Arial" w:hAnsi="Arial"/>
                <w:sz w:val="18"/>
                <w:szCs w:val="18"/>
                <w:color w:val="auto"/>
              </w:rPr>
              <w:t>Purchases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(411,443)</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(397,907)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Net increase in loans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(55,199)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(203,903)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Proceeds from note sales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4,561</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91,913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Cash paid for acquisition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(31,243)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Funds collected from FDIC under loss sharing agreements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2,112</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Proceeds from sales of premises and equipment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2,392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Purchases of premises and equipment</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(1,934)</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(4,488)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Proceeds from sale of other real estate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5,877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21,815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68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2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47,714</w:t>
            </w:r>
          </w:p>
        </w:tc>
        <w:tc>
          <w:tcPr>
            <w:tcW w:w="8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9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(182,443)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Borders>
              <w:top w:val="single" w:sz="8" w:color="F0FFFF"/>
            </w:tcBorders>
          </w:tcPr>
          <w:p>
            <w:pPr>
              <w:spacing w:after="0"/>
              <w:rPr>
                <w:sz w:val="20"/>
                <w:szCs w:val="20"/>
                <w:color w:val="auto"/>
              </w:rPr>
            </w:pPr>
            <w:r>
              <w:rPr>
                <w:rFonts w:ascii="Arial" w:cs="Arial" w:eastAsia="Arial" w:hAnsi="Arial"/>
                <w:sz w:val="18"/>
                <w:szCs w:val="18"/>
                <w:b w:val="1"/>
                <w:bCs w:val="1"/>
                <w:color w:val="auto"/>
              </w:rPr>
              <w:t>Financing activities:</w:t>
            </w:r>
          </w:p>
        </w:tc>
        <w:tc>
          <w:tcPr>
            <w:tcW w:w="12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Net change in deposits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(37,960)</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59,689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Net change in short-term borrowings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18,569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Proceeds from Federal Home Loan Bank advances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560,000</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485,000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Repayment of Federal Home Loan Bank advances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(505,000)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(455,000)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Proceeds from issuance of common stock for dividend reinvestment and employee benefit plans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328</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Retirement of preferred stock</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(121,613)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Issuance of common stock</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12,206</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Cash dividends on common stock</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(1,810)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Cash dividends on preferred stock</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(1,214)</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(5,336)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(76,494)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86,325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11,162</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228,898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251,149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868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3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240,060</w:t>
            </w:r>
          </w:p>
        </w:tc>
        <w:tc>
          <w:tcPr>
            <w:tcW w:w="3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260,580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Borders>
              <w:top w:val="single" w:sz="8" w:color="F0FFFF"/>
            </w:tcBorders>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2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Cash paid during the period for:</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Interest</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13,558</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320"/>
              <w:spacing w:after="0"/>
              <w:rPr>
                <w:sz w:val="20"/>
                <w:szCs w:val="20"/>
                <w:color w:val="auto"/>
              </w:rPr>
            </w:pPr>
            <w:r>
              <w:rPr>
                <w:rFonts w:ascii="Arial" w:cs="Arial" w:eastAsia="Arial" w:hAnsi="Arial"/>
                <w:sz w:val="18"/>
                <w:szCs w:val="18"/>
                <w:color w:val="auto"/>
              </w:rPr>
              <w:t>Income taxes</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2,044</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Unsettled securities purchases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7,264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Transfers of loans to foreclosed property</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6,054</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15,721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Accounting Policies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accounting and financial reporting policies of United Community Banks, Inc. (“United”) and its subsidiaries conform to accounting principles generally accepted in the United States of America (“GAAP”) and general banking industry practices. The accompanying interim consolidated financial statements have not been audited. All material intercompany balances and transactions have been eliminated. A more detailed description of United’s accounting policies is included in its Annual Report on Form 10-K for the year ended December 31, 2013.</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management’s opinion, all accounting adjustments necessary to accurately reflect the financial position and results of operations on the accompanying financial statements have been made. These adjustments are normal and recurring accruals considered necessary for a fair and accurate presentation. The results for interim periods are not necessarily indicative of results for the full year or any other interim periods.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Reclassifications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Certain 2013 amounts have been reclassified to conform to the 2014 presentation. During the fourth quarter of 2013, United reclassified hedge ineffectiveness gains and losses from other fee revenue to net interest revenue. The impact of the reclassification has been reflected in all periods and was not material to any period.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–Accounting Standards Updates and Recently Adopted Standards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No.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This ASU provides guidance on the recognition of revenue from contracts with customers. The core principle of the guidance is that an entity</w:t>
      </w:r>
      <w:r>
        <w:rPr>
          <w:rFonts w:ascii="Arial" w:cs="Arial" w:eastAsia="Arial" w:hAnsi="Arial"/>
          <w:sz w:val="18"/>
          <w:szCs w:val="18"/>
          <w:i w:val="1"/>
          <w:iCs w:val="1"/>
          <w:color w:val="auto"/>
        </w:rPr>
        <w:t xml:space="preserve"> </w:t>
      </w:r>
      <w:r>
        <w:rPr>
          <w:rFonts w:ascii="Arial" w:cs="Arial" w:eastAsia="Arial" w:hAnsi="Arial"/>
          <w:sz w:val="18"/>
          <w:szCs w:val="18"/>
          <w:color w:val="auto"/>
        </w:rPr>
        <w:t>should recognize revenue to depict the transfer of promised goods or services to customers in an amount that reflects the consideration to which the entity expects to be entitled in exchange for those goods or services. This guidance is effective for public entities for annual reporting periods beginning after December 15, 2016, including interim periods within that reporting period, and will be applied retrospectively either to each prior reporting period or with a cumulative effect recognized at the date of initial application. United is in the process of evaluating this guidance, but its effect on United’s financial condition or results of operations is not expected to be material.</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June 2014, FASB issued ASU No. 2014-11, </w:t>
      </w:r>
      <w:r>
        <w:rPr>
          <w:rFonts w:ascii="Arial" w:cs="Arial" w:eastAsia="Arial" w:hAnsi="Arial"/>
          <w:sz w:val="18"/>
          <w:szCs w:val="18"/>
          <w:i w:val="1"/>
          <w:iCs w:val="1"/>
          <w:color w:val="auto"/>
        </w:rPr>
        <w:t>Repurchase-to-Maturity Transactions, Repurchase Financings and Disclosures.</w:t>
      </w:r>
      <w:r>
        <w:rPr>
          <w:rFonts w:ascii="Arial" w:cs="Arial" w:eastAsia="Arial" w:hAnsi="Arial"/>
          <w:sz w:val="18"/>
          <w:szCs w:val="18"/>
          <w:color w:val="auto"/>
        </w:rPr>
        <w:t xml:space="preserve"> This ASU changes the accounting for repurchase-to-maturity transactions to secured borrowing accounting. For repurchase financing arrangements, the amendments require separate accounting for a transfer of a financial asset executed contemporaneously with a repurchase agreement with the same counterparty, which will result in secured borrowing accounting. The ASU also requires new disclosures for repurchase agreements, securities lending transactions and repurchase-to-maturity transactions. The Update is effective for the first interim or annual period beginning after December 15, 2014. United is currently evaluating the guidance’s impact on its financial position, results of operation and disclosures.</w:t>
      </w:r>
    </w:p>
    <w:p>
      <w:pPr>
        <w:spacing w:after="0" w:line="220" w:lineRule="exact"/>
        <w:rPr>
          <w:sz w:val="20"/>
          <w:szCs w:val="20"/>
          <w:color w:val="auto"/>
        </w:rPr>
      </w:pPr>
    </w:p>
    <w:p>
      <w:pPr>
        <w:jc w:val="both"/>
        <w:ind w:firstLine="65"/>
        <w:spacing w:after="0" w:line="276" w:lineRule="auto"/>
        <w:rPr>
          <w:sz w:val="20"/>
          <w:szCs w:val="20"/>
          <w:color w:val="auto"/>
        </w:rPr>
      </w:pPr>
      <w:r>
        <w:rPr>
          <w:rFonts w:ascii="Arial" w:cs="Arial" w:eastAsia="Arial" w:hAnsi="Arial"/>
          <w:sz w:val="17"/>
          <w:szCs w:val="17"/>
          <w:color w:val="auto"/>
        </w:rPr>
        <w:t xml:space="preserve">In June 2014, FASB issued ASU No. 2014-12, </w:t>
      </w:r>
      <w:r>
        <w:rPr>
          <w:rFonts w:ascii="Arial" w:cs="Arial" w:eastAsia="Arial" w:hAnsi="Arial"/>
          <w:sz w:val="17"/>
          <w:szCs w:val="17"/>
          <w:i w:val="1"/>
          <w:iCs w:val="1"/>
          <w:color w:val="auto"/>
        </w:rPr>
        <w:t>Accounting for Share-Based Payments When the Terms of an Award Provide That a Performance Target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Could Be Achieved after the Requisite Service Period. </w:t>
      </w:r>
      <w:r>
        <w:rPr>
          <w:rFonts w:ascii="Arial" w:cs="Arial" w:eastAsia="Arial" w:hAnsi="Arial"/>
          <w:sz w:val="17"/>
          <w:szCs w:val="17"/>
          <w:color w:val="auto"/>
        </w:rPr>
        <w:t>This ASU requires that a performance target that affects vesting and that could be achieved after the</w:t>
      </w:r>
      <w:r>
        <w:rPr>
          <w:rFonts w:ascii="Arial" w:cs="Arial" w:eastAsia="Arial" w:hAnsi="Arial"/>
          <w:sz w:val="17"/>
          <w:szCs w:val="17"/>
          <w:i w:val="1"/>
          <w:iCs w:val="1"/>
          <w:color w:val="auto"/>
        </w:rPr>
        <w:t xml:space="preserve"> </w:t>
      </w:r>
      <w:r>
        <w:rPr>
          <w:rFonts w:ascii="Arial" w:cs="Arial" w:eastAsia="Arial" w:hAnsi="Arial"/>
          <w:sz w:val="17"/>
          <w:szCs w:val="17"/>
          <w:color w:val="auto"/>
        </w:rPr>
        <w:t>requisite service period be treated as a performance condition and should not be reflected in estimating the grant-date fair value of the award. The standard is effective for annual periods and interim periods within those annual periods beginning after December 15, 2015. This guidance is not expected to have a material impact on United’s financial position, results of operations or disclosures.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26, 2014, United completed the acquisition of substantially all of the assets of Business Carolina, Inc., a specialty SBA/USDA lender headquartered in Columbia, South Carolina. United is still in the process of determining the values of the assets acquired. On the closing date, United paid $31.2 million in cash for loans of $26.2 million, accrued interest of $83,000, servicing rights of $2.13 million and premises and equipment of $2.84 million. Final settlement, which is not expected to be materially different from the initial settlement, is scheduled to occur within 60 days of closing. United has not identified any material separately identifiable intangible assets resulting from the acquisition.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Balance Sheet Offsetting</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United enters into reverse repurchase agreements in order to invest short-term funds. In addition, United enters into repurchase agreements and reverse repurchase agreements with the same counterparty in transactions commonly referred to as collateral swaps that are subject to master netting agreements under which the balances are netted in the balance sheet in accordance with ASC 210-20, </w:t>
      </w:r>
      <w:r>
        <w:rPr>
          <w:rFonts w:ascii="Arial" w:cs="Arial" w:eastAsia="Arial" w:hAnsi="Arial"/>
          <w:sz w:val="18"/>
          <w:szCs w:val="18"/>
          <w:i w:val="1"/>
          <w:iCs w:val="1"/>
          <w:color w:val="auto"/>
        </w:rPr>
        <w:t>Offsetting.</w:t>
      </w:r>
    </w:p>
    <w:p>
      <w:pPr>
        <w:spacing w:after="0" w:line="20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 xml:space="preserve">The following table presents a summary of amounts outstanding under reverse repurchase agreements and derivative financial instruments including those entered into in connection with the same counterparty under master netting agreements as of June 30, 2014, December 31, 2013 and June 30, 2013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Amounts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8"/>
              </w:rPr>
              <w:t>Gross Amounts not Offset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9"/>
              </w:rPr>
              <w:t>Amounts of</w:t>
            </w:r>
          </w:p>
        </w:tc>
        <w:tc>
          <w:tcPr>
            <w:tcW w:w="100" w:type="dxa"/>
            <w:vAlign w:val="bottom"/>
          </w:tcPr>
          <w:p>
            <w:pPr>
              <w:spacing w:after="0"/>
              <w:rPr>
                <w:sz w:val="20"/>
                <w:szCs w:val="20"/>
                <w:color w:val="auto"/>
              </w:rPr>
            </w:pP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Offset on the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8"/>
              </w:rPr>
              <w:t>in the Balance Sheet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June 30, 2014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7"/>
              </w:rPr>
              <w:t>Recognized</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Balance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Net Asset</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92"/>
              </w:rPr>
              <w:t>Financial</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5"/>
              </w:rPr>
              <w:t>Collateral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1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1"/>
              </w:rPr>
              <w:t>Assets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Sheet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Balance</w:t>
            </w:r>
          </w:p>
        </w:tc>
        <w:tc>
          <w:tcPr>
            <w:tcW w:w="120" w:type="dxa"/>
            <w:vAlign w:val="bottom"/>
          </w:tcPr>
          <w:p>
            <w:pPr>
              <w:spacing w:after="0"/>
              <w:rPr>
                <w:sz w:val="20"/>
                <w:szCs w:val="20"/>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Instruments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Received</w:t>
            </w:r>
          </w:p>
        </w:tc>
        <w:tc>
          <w:tcPr>
            <w:tcW w:w="120" w:type="dxa"/>
            <w:vAlign w:val="bottom"/>
          </w:tcPr>
          <w:p>
            <w:pPr>
              <w:spacing w:after="0"/>
              <w:rPr>
                <w:sz w:val="20"/>
                <w:szCs w:val="20"/>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4"/>
              </w:rPr>
              <w:t>Net Amount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8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Repurchase agreements / reverse</w:t>
            </w: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36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repurchase agreements</w:t>
            </w:r>
          </w:p>
        </w:tc>
        <w:tc>
          <w:tcPr>
            <w:tcW w:w="36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420,000</w:t>
            </w:r>
          </w:p>
        </w:tc>
        <w:tc>
          <w:tcPr>
            <w:tcW w:w="240" w:type="dxa"/>
            <w:vAlign w:val="bottom"/>
            <w:gridSpan w:val="2"/>
            <w:shd w:val="clear" w:color="auto" w:fill="F0FFFF"/>
          </w:tcPr>
          <w:p>
            <w:pPr>
              <w:ind w:lef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(375,000)</w:t>
            </w:r>
          </w:p>
        </w:tc>
        <w:tc>
          <w:tcPr>
            <w:tcW w:w="2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45,000</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(48,933)</w:t>
            </w:r>
          </w:p>
        </w:tc>
        <w:tc>
          <w:tcPr>
            <w:tcW w:w="480" w:type="dxa"/>
            <w:vAlign w:val="bottom"/>
            <w:gridSpan w:val="2"/>
            <w:shd w:val="clear" w:color="auto" w:fill="F0FF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Derivatives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22,024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(1,962)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19,900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0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Total</w:t>
            </w:r>
          </w:p>
        </w:tc>
        <w:tc>
          <w:tcPr>
            <w:tcW w:w="240" w:type="dxa"/>
            <w:vAlign w:val="bottom"/>
            <w:gridSpan w:val="2"/>
            <w:shd w:val="clear" w:color="auto" w:fill="F0FFFF"/>
          </w:tcPr>
          <w:p>
            <w:pPr>
              <w:spacing w:after="0"/>
              <w:rPr>
                <w:sz w:val="22"/>
                <w:szCs w:val="22"/>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442,024</w:t>
            </w:r>
          </w:p>
        </w:tc>
        <w:tc>
          <w:tcPr>
            <w:tcW w:w="240" w:type="dxa"/>
            <w:vAlign w:val="bottom"/>
            <w:gridSpan w:val="2"/>
            <w:shd w:val="clear" w:color="auto" w:fill="F0FFFF"/>
          </w:tcPr>
          <w:p>
            <w:pPr>
              <w:ind w:lef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(375,000)</w:t>
            </w:r>
          </w:p>
        </w:tc>
        <w:tc>
          <w:tcPr>
            <w:tcW w:w="2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67,024</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(1,962)</w:t>
            </w:r>
          </w:p>
        </w:tc>
        <w:tc>
          <w:tcPr>
            <w:tcW w:w="2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(49,095)</w:t>
            </w:r>
          </w:p>
        </w:tc>
        <w:tc>
          <w:tcPr>
            <w:tcW w:w="480" w:type="dxa"/>
            <w:vAlign w:val="bottom"/>
            <w:gridSpan w:val="2"/>
            <w:shd w:val="clear" w:color="auto" w:fill="F0FF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19,900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80" w:type="dxa"/>
            <w:vAlign w:val="bottom"/>
            <w:tcBorders>
              <w:top w:val="single" w:sz="8" w:color="F0FFFF"/>
            </w:tcBorders>
          </w:tcPr>
          <w:p>
            <w:pPr>
              <w:spacing w:after="0" w:line="195" w:lineRule="exact"/>
              <w:rPr>
                <w:sz w:val="20"/>
                <w:szCs w:val="20"/>
                <w:color w:val="auto"/>
              </w:rPr>
            </w:pPr>
            <w:r>
              <w:rPr>
                <w:rFonts w:ascii="Arial" w:cs="Arial" w:eastAsia="Arial" w:hAnsi="Arial"/>
                <w:sz w:val="18"/>
                <w:szCs w:val="18"/>
                <w:color w:val="auto"/>
                <w:w w:val="92"/>
              </w:rPr>
              <w:t>Weighted average interest rate of reverse</w:t>
            </w:r>
          </w:p>
        </w:tc>
        <w:tc>
          <w:tcPr>
            <w:tcW w:w="120" w:type="dxa"/>
            <w:vAlign w:val="bottom"/>
            <w:tcBorders>
              <w:top w:val="single" w:sz="8" w:color="F0FFFF"/>
            </w:tcBorders>
          </w:tcPr>
          <w:p>
            <w:pPr>
              <w:spacing w:after="0"/>
              <w:rPr>
                <w:sz w:val="16"/>
                <w:szCs w:val="16"/>
                <w:color w:val="auto"/>
              </w:rPr>
            </w:pPr>
          </w:p>
        </w:tc>
        <w:tc>
          <w:tcPr>
            <w:tcW w:w="120" w:type="dxa"/>
            <w:vAlign w:val="bottom"/>
            <w:tcBorders>
              <w:top w:val="single" w:sz="8" w:color="F0FF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Borders>
              <w:top w:val="single" w:sz="8" w:color="F0FFFF"/>
            </w:tcBorders>
          </w:tcPr>
          <w:p>
            <w:pPr>
              <w:spacing w:after="0"/>
              <w:rPr>
                <w:sz w:val="16"/>
                <w:szCs w:val="16"/>
                <w:color w:val="auto"/>
              </w:rPr>
            </w:pPr>
          </w:p>
        </w:tc>
        <w:tc>
          <w:tcPr>
            <w:tcW w:w="100" w:type="dxa"/>
            <w:vAlign w:val="bottom"/>
            <w:tcBorders>
              <w:top w:val="single" w:sz="8" w:color="F0FF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F0FFFF"/>
            </w:tcBorders>
          </w:tcPr>
          <w:p>
            <w:pPr>
              <w:spacing w:after="0"/>
              <w:rPr>
                <w:sz w:val="16"/>
                <w:szCs w:val="16"/>
                <w:color w:val="auto"/>
              </w:rPr>
            </w:pPr>
          </w:p>
        </w:tc>
        <w:tc>
          <w:tcPr>
            <w:tcW w:w="100" w:type="dxa"/>
            <w:vAlign w:val="bottom"/>
            <w:tcBorders>
              <w:top w:val="single" w:sz="8" w:color="F0FF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F0FFFF"/>
            </w:tcBorders>
          </w:tcPr>
          <w:p>
            <w:pPr>
              <w:spacing w:after="0"/>
              <w:rPr>
                <w:sz w:val="16"/>
                <w:szCs w:val="16"/>
                <w:color w:val="auto"/>
              </w:rPr>
            </w:pPr>
          </w:p>
        </w:tc>
        <w:tc>
          <w:tcPr>
            <w:tcW w:w="120" w:type="dxa"/>
            <w:vAlign w:val="bottom"/>
            <w:tcBorders>
              <w:top w:val="single" w:sz="8" w:color="F0FF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F0FFFF"/>
            </w:tcBorders>
          </w:tcPr>
          <w:p>
            <w:pPr>
              <w:spacing w:after="0"/>
              <w:rPr>
                <w:sz w:val="16"/>
                <w:szCs w:val="16"/>
                <w:color w:val="auto"/>
              </w:rPr>
            </w:pPr>
          </w:p>
        </w:tc>
        <w:tc>
          <w:tcPr>
            <w:tcW w:w="100" w:type="dxa"/>
            <w:vAlign w:val="bottom"/>
            <w:tcBorders>
              <w:top w:val="single" w:sz="8" w:color="F0FF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F0FFFF"/>
            </w:tcBorders>
          </w:tcPr>
          <w:p>
            <w:pPr>
              <w:spacing w:after="0"/>
              <w:rPr>
                <w:sz w:val="16"/>
                <w:szCs w:val="16"/>
                <w:color w:val="auto"/>
              </w:rPr>
            </w:pPr>
          </w:p>
        </w:tc>
        <w:tc>
          <w:tcPr>
            <w:tcW w:w="120" w:type="dxa"/>
            <w:vAlign w:val="bottom"/>
            <w:tcBorders>
              <w:top w:val="single" w:sz="8" w:color="F0FF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60" w:type="dxa"/>
            <w:vAlign w:val="bottom"/>
            <w:tcBorders>
              <w:top w:val="single" w:sz="8" w:color="F0FF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repurchase agreements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Amounts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8"/>
              </w:rPr>
              <w:t>Gross Amounts not Offset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9"/>
              </w:rPr>
              <w:t>Amounts of</w:t>
            </w:r>
          </w:p>
        </w:tc>
        <w:tc>
          <w:tcPr>
            <w:tcW w:w="100" w:type="dxa"/>
            <w:vAlign w:val="bottom"/>
          </w:tcPr>
          <w:p>
            <w:pPr>
              <w:spacing w:after="0"/>
              <w:rPr>
                <w:sz w:val="20"/>
                <w:szCs w:val="20"/>
                <w:color w:val="auto"/>
              </w:rPr>
            </w:pP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Offset on the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Net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8"/>
              </w:rPr>
              <w:t>in the Balance Sheet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jc w:val="center"/>
              <w:ind w:right="340"/>
              <w:spacing w:after="0" w:line="198" w:lineRule="exact"/>
              <w:rPr>
                <w:sz w:val="20"/>
                <w:szCs w:val="20"/>
                <w:color w:val="auto"/>
              </w:rPr>
            </w:pPr>
            <w:r>
              <w:rPr>
                <w:rFonts w:ascii="Arial" w:cs="Arial" w:eastAsia="Arial" w:hAnsi="Arial"/>
                <w:sz w:val="18"/>
                <w:szCs w:val="18"/>
                <w:b w:val="1"/>
                <w:bCs w:val="1"/>
                <w:color w:val="auto"/>
                <w:w w:val="87"/>
              </w:rPr>
              <w:t>Recognized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86"/>
              </w:rPr>
              <w:t>Balance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6"/>
              </w:rPr>
              <w:t>Liability</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92"/>
              </w:rPr>
              <w:t>Financial</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150"/>
              <w:spacing w:after="0" w:line="198" w:lineRule="exact"/>
              <w:rPr>
                <w:sz w:val="20"/>
                <w:szCs w:val="20"/>
                <w:color w:val="auto"/>
              </w:rPr>
            </w:pPr>
            <w:r>
              <w:rPr>
                <w:rFonts w:ascii="Arial" w:cs="Arial" w:eastAsia="Arial" w:hAnsi="Arial"/>
                <w:sz w:val="18"/>
                <w:szCs w:val="18"/>
                <w:b w:val="1"/>
                <w:bCs w:val="1"/>
                <w:color w:val="auto"/>
                <w:w w:val="95"/>
              </w:rPr>
              <w:t>Collateral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Liabilities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Sheet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Balance</w:t>
            </w:r>
          </w:p>
        </w:tc>
        <w:tc>
          <w:tcPr>
            <w:tcW w:w="120" w:type="dxa"/>
            <w:vAlign w:val="bottom"/>
          </w:tcPr>
          <w:p>
            <w:pPr>
              <w:spacing w:after="0"/>
              <w:rPr>
                <w:sz w:val="20"/>
                <w:szCs w:val="20"/>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Instruments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Pledged</w:t>
            </w:r>
          </w:p>
        </w:tc>
        <w:tc>
          <w:tcPr>
            <w:tcW w:w="120" w:type="dxa"/>
            <w:vAlign w:val="bottom"/>
          </w:tcPr>
          <w:p>
            <w:pPr>
              <w:spacing w:after="0"/>
              <w:rPr>
                <w:sz w:val="20"/>
                <w:szCs w:val="20"/>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4"/>
              </w:rPr>
              <w:t>Net Amount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8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Repurchase agreements / reverse</w:t>
            </w: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36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repurchase agreements</w:t>
            </w:r>
          </w:p>
        </w:tc>
        <w:tc>
          <w:tcPr>
            <w:tcW w:w="36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375,000</w:t>
            </w:r>
          </w:p>
        </w:tc>
        <w:tc>
          <w:tcPr>
            <w:tcW w:w="240" w:type="dxa"/>
            <w:vAlign w:val="bottom"/>
            <w:gridSpan w:val="2"/>
            <w:shd w:val="clear" w:color="auto" w:fill="F0FFFF"/>
          </w:tcPr>
          <w:p>
            <w:pPr>
              <w:ind w:lef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(375,000)</w:t>
            </w:r>
          </w:p>
        </w:tc>
        <w:tc>
          <w:tcPr>
            <w:tcW w:w="2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F0FF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Derivatives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36,545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36,545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(1,962)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(35,245)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0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Total</w:t>
            </w:r>
          </w:p>
        </w:tc>
        <w:tc>
          <w:tcPr>
            <w:tcW w:w="240" w:type="dxa"/>
            <w:vAlign w:val="bottom"/>
            <w:gridSpan w:val="2"/>
            <w:shd w:val="clear" w:color="auto" w:fill="F0FFFF"/>
          </w:tcPr>
          <w:p>
            <w:pPr>
              <w:spacing w:after="0"/>
              <w:rPr>
                <w:sz w:val="22"/>
                <w:szCs w:val="22"/>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411,545</w:t>
            </w:r>
          </w:p>
        </w:tc>
        <w:tc>
          <w:tcPr>
            <w:tcW w:w="240" w:type="dxa"/>
            <w:vAlign w:val="bottom"/>
            <w:gridSpan w:val="2"/>
            <w:shd w:val="clear" w:color="auto" w:fill="F0FFFF"/>
          </w:tcPr>
          <w:p>
            <w:pPr>
              <w:ind w:lef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(375,000)</w:t>
            </w:r>
          </w:p>
        </w:tc>
        <w:tc>
          <w:tcPr>
            <w:tcW w:w="2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36,545</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(1,962)</w:t>
            </w:r>
          </w:p>
        </w:tc>
        <w:tc>
          <w:tcPr>
            <w:tcW w:w="2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(35,245)</w:t>
            </w:r>
          </w:p>
        </w:tc>
        <w:tc>
          <w:tcPr>
            <w:tcW w:w="480" w:type="dxa"/>
            <w:vAlign w:val="bottom"/>
            <w:gridSpan w:val="2"/>
            <w:shd w:val="clear" w:color="auto" w:fill="F0FF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80" w:type="dxa"/>
            <w:vAlign w:val="bottom"/>
            <w:tcBorders>
              <w:top w:val="single" w:sz="8" w:color="F0FFFF"/>
            </w:tcBorders>
          </w:tcPr>
          <w:p>
            <w:pPr>
              <w:spacing w:after="0" w:line="195" w:lineRule="exact"/>
              <w:rPr>
                <w:sz w:val="20"/>
                <w:szCs w:val="20"/>
                <w:color w:val="auto"/>
              </w:rPr>
            </w:pPr>
            <w:r>
              <w:rPr>
                <w:rFonts w:ascii="Arial" w:cs="Arial" w:eastAsia="Arial" w:hAnsi="Arial"/>
                <w:sz w:val="18"/>
                <w:szCs w:val="18"/>
                <w:color w:val="auto"/>
              </w:rPr>
              <w:t>Weighted average interest rate of</w:t>
            </w:r>
          </w:p>
        </w:tc>
        <w:tc>
          <w:tcPr>
            <w:tcW w:w="120" w:type="dxa"/>
            <w:vAlign w:val="bottom"/>
            <w:tcBorders>
              <w:top w:val="single" w:sz="8" w:color="F0FFFF"/>
            </w:tcBorders>
          </w:tcPr>
          <w:p>
            <w:pPr>
              <w:spacing w:after="0"/>
              <w:rPr>
                <w:sz w:val="16"/>
                <w:szCs w:val="16"/>
                <w:color w:val="auto"/>
              </w:rPr>
            </w:pPr>
          </w:p>
        </w:tc>
        <w:tc>
          <w:tcPr>
            <w:tcW w:w="120" w:type="dxa"/>
            <w:vAlign w:val="bottom"/>
            <w:tcBorders>
              <w:top w:val="single" w:sz="8" w:color="F0FF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Borders>
              <w:top w:val="single" w:sz="8" w:color="F0FFFF"/>
            </w:tcBorders>
          </w:tcPr>
          <w:p>
            <w:pPr>
              <w:spacing w:after="0"/>
              <w:rPr>
                <w:sz w:val="16"/>
                <w:szCs w:val="16"/>
                <w:color w:val="auto"/>
              </w:rPr>
            </w:pPr>
          </w:p>
        </w:tc>
        <w:tc>
          <w:tcPr>
            <w:tcW w:w="100" w:type="dxa"/>
            <w:vAlign w:val="bottom"/>
            <w:tcBorders>
              <w:top w:val="single" w:sz="8" w:color="F0FF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F0FFFF"/>
            </w:tcBorders>
          </w:tcPr>
          <w:p>
            <w:pPr>
              <w:spacing w:after="0"/>
              <w:rPr>
                <w:sz w:val="16"/>
                <w:szCs w:val="16"/>
                <w:color w:val="auto"/>
              </w:rPr>
            </w:pPr>
          </w:p>
        </w:tc>
        <w:tc>
          <w:tcPr>
            <w:tcW w:w="100" w:type="dxa"/>
            <w:vAlign w:val="bottom"/>
            <w:tcBorders>
              <w:top w:val="single" w:sz="8" w:color="F0FF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F0FFFF"/>
            </w:tcBorders>
          </w:tcPr>
          <w:p>
            <w:pPr>
              <w:spacing w:after="0"/>
              <w:rPr>
                <w:sz w:val="16"/>
                <w:szCs w:val="16"/>
                <w:color w:val="auto"/>
              </w:rPr>
            </w:pPr>
          </w:p>
        </w:tc>
        <w:tc>
          <w:tcPr>
            <w:tcW w:w="120" w:type="dxa"/>
            <w:vAlign w:val="bottom"/>
            <w:tcBorders>
              <w:top w:val="single" w:sz="8" w:color="F0FF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F0FFFF"/>
            </w:tcBorders>
          </w:tcPr>
          <w:p>
            <w:pPr>
              <w:spacing w:after="0"/>
              <w:rPr>
                <w:sz w:val="16"/>
                <w:szCs w:val="16"/>
                <w:color w:val="auto"/>
              </w:rPr>
            </w:pPr>
          </w:p>
        </w:tc>
        <w:tc>
          <w:tcPr>
            <w:tcW w:w="100" w:type="dxa"/>
            <w:vAlign w:val="bottom"/>
            <w:tcBorders>
              <w:top w:val="single" w:sz="8" w:color="F0FF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F0FFFF"/>
            </w:tcBorders>
          </w:tcPr>
          <w:p>
            <w:pPr>
              <w:spacing w:after="0"/>
              <w:rPr>
                <w:sz w:val="16"/>
                <w:szCs w:val="16"/>
                <w:color w:val="auto"/>
              </w:rPr>
            </w:pPr>
          </w:p>
        </w:tc>
        <w:tc>
          <w:tcPr>
            <w:tcW w:w="120" w:type="dxa"/>
            <w:vAlign w:val="bottom"/>
            <w:tcBorders>
              <w:top w:val="single" w:sz="8" w:color="F0FF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60" w:type="dxa"/>
            <w:vAlign w:val="bottom"/>
            <w:tcBorders>
              <w:top w:val="single" w:sz="8" w:color="F0FF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repurchase agreements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Amounts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8"/>
              </w:rPr>
              <w:t>Gross Amounts not Offset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9"/>
              </w:rPr>
              <w:t>Amounts of</w:t>
            </w:r>
          </w:p>
        </w:tc>
        <w:tc>
          <w:tcPr>
            <w:tcW w:w="100" w:type="dxa"/>
            <w:vAlign w:val="bottom"/>
          </w:tcPr>
          <w:p>
            <w:pPr>
              <w:spacing w:after="0"/>
              <w:rPr>
                <w:sz w:val="20"/>
                <w:szCs w:val="20"/>
                <w:color w:val="auto"/>
              </w:rPr>
            </w:pP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Offset on the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8"/>
              </w:rPr>
              <w:t>in the Balance Sheet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7"/>
              </w:rPr>
              <w:t>Recognized</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Balance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Net Asset</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92"/>
              </w:rPr>
              <w:t>Financial</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5"/>
              </w:rPr>
              <w:t>Collateral</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1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1"/>
              </w:rPr>
              <w:t>Assets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Sheet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Balance</w:t>
            </w:r>
          </w:p>
        </w:tc>
        <w:tc>
          <w:tcPr>
            <w:tcW w:w="120" w:type="dxa"/>
            <w:vAlign w:val="bottom"/>
          </w:tcPr>
          <w:p>
            <w:pPr>
              <w:spacing w:after="0"/>
              <w:rPr>
                <w:sz w:val="20"/>
                <w:szCs w:val="20"/>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Instruments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Received</w:t>
            </w:r>
          </w:p>
        </w:tc>
        <w:tc>
          <w:tcPr>
            <w:tcW w:w="120" w:type="dxa"/>
            <w:vAlign w:val="bottom"/>
          </w:tcPr>
          <w:p>
            <w:pPr>
              <w:spacing w:after="0"/>
              <w:rPr>
                <w:sz w:val="20"/>
                <w:szCs w:val="20"/>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4"/>
              </w:rPr>
              <w:t>Net Amount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8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Repurchase agreements / reverse</w:t>
            </w: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36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repurchase agreements</w:t>
            </w:r>
          </w:p>
        </w:tc>
        <w:tc>
          <w:tcPr>
            <w:tcW w:w="36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385,000</w:t>
            </w:r>
          </w:p>
        </w:tc>
        <w:tc>
          <w:tcPr>
            <w:tcW w:w="240" w:type="dxa"/>
            <w:vAlign w:val="bottom"/>
            <w:gridSpan w:val="2"/>
            <w:shd w:val="clear" w:color="auto" w:fill="F0FFFF"/>
          </w:tcPr>
          <w:p>
            <w:pPr>
              <w:ind w:lef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(350,000)</w:t>
            </w:r>
          </w:p>
        </w:tc>
        <w:tc>
          <w:tcPr>
            <w:tcW w:w="2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35,000</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(38,982)</w:t>
            </w:r>
          </w:p>
        </w:tc>
        <w:tc>
          <w:tcPr>
            <w:tcW w:w="480" w:type="dxa"/>
            <w:vAlign w:val="bottom"/>
            <w:gridSpan w:val="2"/>
            <w:shd w:val="clear" w:color="auto" w:fill="F0FF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Derivatives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23,833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23,833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(4,378)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(2,912)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16,543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0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Total</w:t>
            </w:r>
          </w:p>
        </w:tc>
        <w:tc>
          <w:tcPr>
            <w:tcW w:w="240" w:type="dxa"/>
            <w:vAlign w:val="bottom"/>
            <w:gridSpan w:val="2"/>
            <w:shd w:val="clear" w:color="auto" w:fill="F0FFFF"/>
          </w:tcPr>
          <w:p>
            <w:pPr>
              <w:spacing w:after="0"/>
              <w:rPr>
                <w:sz w:val="22"/>
                <w:szCs w:val="22"/>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408,833</w:t>
            </w:r>
          </w:p>
        </w:tc>
        <w:tc>
          <w:tcPr>
            <w:tcW w:w="240" w:type="dxa"/>
            <w:vAlign w:val="bottom"/>
            <w:gridSpan w:val="2"/>
            <w:shd w:val="clear" w:color="auto" w:fill="F0FFFF"/>
          </w:tcPr>
          <w:p>
            <w:pPr>
              <w:ind w:lef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(350,000)</w:t>
            </w:r>
          </w:p>
        </w:tc>
        <w:tc>
          <w:tcPr>
            <w:tcW w:w="2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58,833</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(4,378)</w:t>
            </w:r>
          </w:p>
        </w:tc>
        <w:tc>
          <w:tcPr>
            <w:tcW w:w="2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(41,894)</w:t>
            </w:r>
          </w:p>
        </w:tc>
        <w:tc>
          <w:tcPr>
            <w:tcW w:w="480" w:type="dxa"/>
            <w:vAlign w:val="bottom"/>
            <w:gridSpan w:val="2"/>
            <w:shd w:val="clear" w:color="auto" w:fill="F0FF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16,543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80" w:type="dxa"/>
            <w:vAlign w:val="bottom"/>
            <w:tcBorders>
              <w:top w:val="single" w:sz="8" w:color="F0FFFF"/>
            </w:tcBorders>
          </w:tcPr>
          <w:p>
            <w:pPr>
              <w:spacing w:after="0" w:line="195" w:lineRule="exact"/>
              <w:rPr>
                <w:sz w:val="20"/>
                <w:szCs w:val="20"/>
                <w:color w:val="auto"/>
              </w:rPr>
            </w:pPr>
            <w:r>
              <w:rPr>
                <w:rFonts w:ascii="Arial" w:cs="Arial" w:eastAsia="Arial" w:hAnsi="Arial"/>
                <w:sz w:val="18"/>
                <w:szCs w:val="18"/>
                <w:color w:val="auto"/>
                <w:w w:val="92"/>
              </w:rPr>
              <w:t>Weighted average interest rate of reverse</w:t>
            </w:r>
          </w:p>
        </w:tc>
        <w:tc>
          <w:tcPr>
            <w:tcW w:w="120" w:type="dxa"/>
            <w:vAlign w:val="bottom"/>
            <w:tcBorders>
              <w:top w:val="single" w:sz="8" w:color="F0FFFF"/>
            </w:tcBorders>
          </w:tcPr>
          <w:p>
            <w:pPr>
              <w:spacing w:after="0"/>
              <w:rPr>
                <w:sz w:val="16"/>
                <w:szCs w:val="16"/>
                <w:color w:val="auto"/>
              </w:rPr>
            </w:pPr>
          </w:p>
        </w:tc>
        <w:tc>
          <w:tcPr>
            <w:tcW w:w="120" w:type="dxa"/>
            <w:vAlign w:val="bottom"/>
            <w:tcBorders>
              <w:top w:val="single" w:sz="8" w:color="F0FF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Borders>
              <w:top w:val="single" w:sz="8" w:color="F0FFFF"/>
            </w:tcBorders>
          </w:tcPr>
          <w:p>
            <w:pPr>
              <w:spacing w:after="0"/>
              <w:rPr>
                <w:sz w:val="16"/>
                <w:szCs w:val="16"/>
                <w:color w:val="auto"/>
              </w:rPr>
            </w:pPr>
          </w:p>
        </w:tc>
        <w:tc>
          <w:tcPr>
            <w:tcW w:w="100" w:type="dxa"/>
            <w:vAlign w:val="bottom"/>
            <w:tcBorders>
              <w:top w:val="single" w:sz="8" w:color="F0FF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F0FFFF"/>
            </w:tcBorders>
          </w:tcPr>
          <w:p>
            <w:pPr>
              <w:spacing w:after="0"/>
              <w:rPr>
                <w:sz w:val="16"/>
                <w:szCs w:val="16"/>
                <w:color w:val="auto"/>
              </w:rPr>
            </w:pPr>
          </w:p>
        </w:tc>
        <w:tc>
          <w:tcPr>
            <w:tcW w:w="100" w:type="dxa"/>
            <w:vAlign w:val="bottom"/>
            <w:tcBorders>
              <w:top w:val="single" w:sz="8" w:color="F0FF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F0FFFF"/>
            </w:tcBorders>
          </w:tcPr>
          <w:p>
            <w:pPr>
              <w:spacing w:after="0"/>
              <w:rPr>
                <w:sz w:val="16"/>
                <w:szCs w:val="16"/>
                <w:color w:val="auto"/>
              </w:rPr>
            </w:pPr>
          </w:p>
        </w:tc>
        <w:tc>
          <w:tcPr>
            <w:tcW w:w="120" w:type="dxa"/>
            <w:vAlign w:val="bottom"/>
            <w:tcBorders>
              <w:top w:val="single" w:sz="8" w:color="F0FF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F0FFFF"/>
            </w:tcBorders>
          </w:tcPr>
          <w:p>
            <w:pPr>
              <w:spacing w:after="0"/>
              <w:rPr>
                <w:sz w:val="16"/>
                <w:szCs w:val="16"/>
                <w:color w:val="auto"/>
              </w:rPr>
            </w:pPr>
          </w:p>
        </w:tc>
        <w:tc>
          <w:tcPr>
            <w:tcW w:w="100" w:type="dxa"/>
            <w:vAlign w:val="bottom"/>
            <w:tcBorders>
              <w:top w:val="single" w:sz="8" w:color="F0FF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F0FFFF"/>
            </w:tcBorders>
          </w:tcPr>
          <w:p>
            <w:pPr>
              <w:spacing w:after="0"/>
              <w:rPr>
                <w:sz w:val="16"/>
                <w:szCs w:val="16"/>
                <w:color w:val="auto"/>
              </w:rPr>
            </w:pPr>
          </w:p>
        </w:tc>
        <w:tc>
          <w:tcPr>
            <w:tcW w:w="120" w:type="dxa"/>
            <w:vAlign w:val="bottom"/>
            <w:tcBorders>
              <w:top w:val="single" w:sz="8" w:color="F0FF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60" w:type="dxa"/>
            <w:vAlign w:val="bottom"/>
            <w:tcBorders>
              <w:top w:val="single" w:sz="8" w:color="F0FF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repurchase agreements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Amounts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8"/>
              </w:rPr>
              <w:t>Gross Amounts not Offset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9"/>
              </w:rPr>
              <w:t>Amounts of</w:t>
            </w:r>
          </w:p>
        </w:tc>
        <w:tc>
          <w:tcPr>
            <w:tcW w:w="100" w:type="dxa"/>
            <w:vAlign w:val="bottom"/>
          </w:tcPr>
          <w:p>
            <w:pPr>
              <w:spacing w:after="0"/>
              <w:rPr>
                <w:sz w:val="20"/>
                <w:szCs w:val="20"/>
                <w:color w:val="auto"/>
              </w:rPr>
            </w:pP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Offset on the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Net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8"/>
              </w:rPr>
              <w:t>in the Balance Sheet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jc w:val="center"/>
              <w:ind w:right="340"/>
              <w:spacing w:after="0" w:line="198" w:lineRule="exact"/>
              <w:rPr>
                <w:sz w:val="20"/>
                <w:szCs w:val="20"/>
                <w:color w:val="auto"/>
              </w:rPr>
            </w:pPr>
            <w:r>
              <w:rPr>
                <w:rFonts w:ascii="Arial" w:cs="Arial" w:eastAsia="Arial" w:hAnsi="Arial"/>
                <w:sz w:val="18"/>
                <w:szCs w:val="18"/>
                <w:b w:val="1"/>
                <w:bCs w:val="1"/>
                <w:color w:val="auto"/>
                <w:w w:val="87"/>
              </w:rPr>
              <w:t>Recognized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86"/>
              </w:rPr>
              <w:t>Balance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6"/>
              </w:rPr>
              <w:t>Liability</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92"/>
              </w:rPr>
              <w:t>Financial</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150"/>
              <w:spacing w:after="0" w:line="198" w:lineRule="exact"/>
              <w:rPr>
                <w:sz w:val="20"/>
                <w:szCs w:val="20"/>
                <w:color w:val="auto"/>
              </w:rPr>
            </w:pPr>
            <w:r>
              <w:rPr>
                <w:rFonts w:ascii="Arial" w:cs="Arial" w:eastAsia="Arial" w:hAnsi="Arial"/>
                <w:sz w:val="18"/>
                <w:szCs w:val="18"/>
                <w:b w:val="1"/>
                <w:bCs w:val="1"/>
                <w:color w:val="auto"/>
                <w:w w:val="95"/>
              </w:rPr>
              <w:t>Collateral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Liabilities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Sheet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Balance</w:t>
            </w:r>
          </w:p>
        </w:tc>
        <w:tc>
          <w:tcPr>
            <w:tcW w:w="120" w:type="dxa"/>
            <w:vAlign w:val="bottom"/>
          </w:tcPr>
          <w:p>
            <w:pPr>
              <w:spacing w:after="0"/>
              <w:rPr>
                <w:sz w:val="20"/>
                <w:szCs w:val="20"/>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Instruments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Pledged</w:t>
            </w:r>
          </w:p>
        </w:tc>
        <w:tc>
          <w:tcPr>
            <w:tcW w:w="120" w:type="dxa"/>
            <w:vAlign w:val="bottom"/>
          </w:tcPr>
          <w:p>
            <w:pPr>
              <w:spacing w:after="0"/>
              <w:rPr>
                <w:sz w:val="20"/>
                <w:szCs w:val="20"/>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4"/>
              </w:rPr>
              <w:t>Net Amount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8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Repurchase agreements / reverse</w:t>
            </w: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36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repurchase agreements</w:t>
            </w:r>
          </w:p>
        </w:tc>
        <w:tc>
          <w:tcPr>
            <w:tcW w:w="36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350,000</w:t>
            </w:r>
          </w:p>
        </w:tc>
        <w:tc>
          <w:tcPr>
            <w:tcW w:w="240" w:type="dxa"/>
            <w:vAlign w:val="bottom"/>
            <w:gridSpan w:val="2"/>
            <w:shd w:val="clear" w:color="auto" w:fill="F0FFFF"/>
          </w:tcPr>
          <w:p>
            <w:pPr>
              <w:ind w:lef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(350,000)</w:t>
            </w:r>
          </w:p>
        </w:tc>
        <w:tc>
          <w:tcPr>
            <w:tcW w:w="2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F0FF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Derivatives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46,232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46,232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(4,378)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(38,145)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3,709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0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Total</w:t>
            </w:r>
          </w:p>
        </w:tc>
        <w:tc>
          <w:tcPr>
            <w:tcW w:w="240" w:type="dxa"/>
            <w:vAlign w:val="bottom"/>
            <w:gridSpan w:val="2"/>
            <w:shd w:val="clear" w:color="auto" w:fill="F0FFFF"/>
          </w:tcPr>
          <w:p>
            <w:pPr>
              <w:spacing w:after="0"/>
              <w:rPr>
                <w:sz w:val="22"/>
                <w:szCs w:val="22"/>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396,232</w:t>
            </w:r>
          </w:p>
        </w:tc>
        <w:tc>
          <w:tcPr>
            <w:tcW w:w="240" w:type="dxa"/>
            <w:vAlign w:val="bottom"/>
            <w:gridSpan w:val="2"/>
            <w:shd w:val="clear" w:color="auto" w:fill="F0FFFF"/>
          </w:tcPr>
          <w:p>
            <w:pPr>
              <w:ind w:lef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(350,000)</w:t>
            </w:r>
          </w:p>
        </w:tc>
        <w:tc>
          <w:tcPr>
            <w:tcW w:w="2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46,232</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(4,378)</w:t>
            </w:r>
          </w:p>
        </w:tc>
        <w:tc>
          <w:tcPr>
            <w:tcW w:w="2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(38,145)</w:t>
            </w:r>
          </w:p>
        </w:tc>
        <w:tc>
          <w:tcPr>
            <w:tcW w:w="480" w:type="dxa"/>
            <w:vAlign w:val="bottom"/>
            <w:gridSpan w:val="2"/>
            <w:shd w:val="clear" w:color="auto" w:fill="F0FFFF"/>
          </w:tcPr>
          <w:p>
            <w:pPr>
              <w:jc w:val="right"/>
              <w:ind w:right="19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3,709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80" w:type="dxa"/>
            <w:vAlign w:val="bottom"/>
            <w:tcBorders>
              <w:top w:val="single" w:sz="8" w:color="F0FFFF"/>
            </w:tcBorders>
          </w:tcPr>
          <w:p>
            <w:pPr>
              <w:spacing w:after="0" w:line="195" w:lineRule="exact"/>
              <w:rPr>
                <w:sz w:val="20"/>
                <w:szCs w:val="20"/>
                <w:color w:val="auto"/>
              </w:rPr>
            </w:pPr>
            <w:r>
              <w:rPr>
                <w:rFonts w:ascii="Arial" w:cs="Arial" w:eastAsia="Arial" w:hAnsi="Arial"/>
                <w:sz w:val="18"/>
                <w:szCs w:val="18"/>
                <w:color w:val="auto"/>
              </w:rPr>
              <w:t>Weighted average interest rate of</w:t>
            </w:r>
          </w:p>
        </w:tc>
        <w:tc>
          <w:tcPr>
            <w:tcW w:w="120" w:type="dxa"/>
            <w:vAlign w:val="bottom"/>
            <w:tcBorders>
              <w:top w:val="single" w:sz="8" w:color="F0FFFF"/>
            </w:tcBorders>
          </w:tcPr>
          <w:p>
            <w:pPr>
              <w:spacing w:after="0"/>
              <w:rPr>
                <w:sz w:val="16"/>
                <w:szCs w:val="16"/>
                <w:color w:val="auto"/>
              </w:rPr>
            </w:pPr>
          </w:p>
        </w:tc>
        <w:tc>
          <w:tcPr>
            <w:tcW w:w="120" w:type="dxa"/>
            <w:vAlign w:val="bottom"/>
            <w:tcBorders>
              <w:top w:val="single" w:sz="8" w:color="F0FF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Borders>
              <w:top w:val="single" w:sz="8" w:color="F0FFFF"/>
            </w:tcBorders>
          </w:tcPr>
          <w:p>
            <w:pPr>
              <w:spacing w:after="0"/>
              <w:rPr>
                <w:sz w:val="16"/>
                <w:szCs w:val="16"/>
                <w:color w:val="auto"/>
              </w:rPr>
            </w:pPr>
          </w:p>
        </w:tc>
        <w:tc>
          <w:tcPr>
            <w:tcW w:w="100" w:type="dxa"/>
            <w:vAlign w:val="bottom"/>
            <w:tcBorders>
              <w:top w:val="single" w:sz="8" w:color="F0FF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F0FFFF"/>
            </w:tcBorders>
          </w:tcPr>
          <w:p>
            <w:pPr>
              <w:spacing w:after="0"/>
              <w:rPr>
                <w:sz w:val="16"/>
                <w:szCs w:val="16"/>
                <w:color w:val="auto"/>
              </w:rPr>
            </w:pPr>
          </w:p>
        </w:tc>
        <w:tc>
          <w:tcPr>
            <w:tcW w:w="100" w:type="dxa"/>
            <w:vAlign w:val="bottom"/>
            <w:tcBorders>
              <w:top w:val="single" w:sz="8" w:color="F0FF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F0FFFF"/>
            </w:tcBorders>
          </w:tcPr>
          <w:p>
            <w:pPr>
              <w:spacing w:after="0"/>
              <w:rPr>
                <w:sz w:val="16"/>
                <w:szCs w:val="16"/>
                <w:color w:val="auto"/>
              </w:rPr>
            </w:pPr>
          </w:p>
        </w:tc>
        <w:tc>
          <w:tcPr>
            <w:tcW w:w="120" w:type="dxa"/>
            <w:vAlign w:val="bottom"/>
            <w:tcBorders>
              <w:top w:val="single" w:sz="8" w:color="F0FF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F0FFFF"/>
            </w:tcBorders>
          </w:tcPr>
          <w:p>
            <w:pPr>
              <w:spacing w:after="0"/>
              <w:rPr>
                <w:sz w:val="16"/>
                <w:szCs w:val="16"/>
                <w:color w:val="auto"/>
              </w:rPr>
            </w:pPr>
          </w:p>
        </w:tc>
        <w:tc>
          <w:tcPr>
            <w:tcW w:w="100" w:type="dxa"/>
            <w:vAlign w:val="bottom"/>
            <w:tcBorders>
              <w:top w:val="single" w:sz="8" w:color="F0FF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F0FFFF"/>
            </w:tcBorders>
          </w:tcPr>
          <w:p>
            <w:pPr>
              <w:spacing w:after="0"/>
              <w:rPr>
                <w:sz w:val="16"/>
                <w:szCs w:val="16"/>
                <w:color w:val="auto"/>
              </w:rPr>
            </w:pPr>
          </w:p>
        </w:tc>
        <w:tc>
          <w:tcPr>
            <w:tcW w:w="120" w:type="dxa"/>
            <w:vAlign w:val="bottom"/>
            <w:tcBorders>
              <w:top w:val="single" w:sz="8" w:color="F0FF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60" w:type="dxa"/>
            <w:vAlign w:val="bottom"/>
            <w:tcBorders>
              <w:top w:val="single" w:sz="8" w:color="F0FF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repurchase agreements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Amounts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8"/>
              </w:rPr>
              <w:t>Gross Amounts not Offset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9"/>
              </w:rPr>
              <w:t>Amounts of</w:t>
            </w:r>
          </w:p>
        </w:tc>
        <w:tc>
          <w:tcPr>
            <w:tcW w:w="100" w:type="dxa"/>
            <w:vAlign w:val="bottom"/>
          </w:tcPr>
          <w:p>
            <w:pPr>
              <w:spacing w:after="0"/>
              <w:rPr>
                <w:sz w:val="20"/>
                <w:szCs w:val="20"/>
                <w:color w:val="auto"/>
              </w:rPr>
            </w:pP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Offset on the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8"/>
              </w:rPr>
              <w:t>in the Balance Sheet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7"/>
              </w:rPr>
              <w:t>Recognized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Balance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Net Asset</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8"/>
                <w:szCs w:val="18"/>
                <w:b w:val="1"/>
                <w:bCs w:val="1"/>
                <w:color w:val="auto"/>
                <w:w w:val="92"/>
              </w:rPr>
              <w:t>Financial</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5"/>
              </w:rPr>
              <w:t>Collateral</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June 30, 2013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1"/>
              </w:rPr>
              <w:t>Assets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Sheet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Balance</w:t>
            </w:r>
          </w:p>
        </w:tc>
        <w:tc>
          <w:tcPr>
            <w:tcW w:w="120" w:type="dxa"/>
            <w:vAlign w:val="bottom"/>
          </w:tcPr>
          <w:p>
            <w:pPr>
              <w:spacing w:after="0"/>
              <w:rPr>
                <w:sz w:val="20"/>
                <w:szCs w:val="20"/>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Instruments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Received</w:t>
            </w:r>
          </w:p>
        </w:tc>
        <w:tc>
          <w:tcPr>
            <w:tcW w:w="120" w:type="dxa"/>
            <w:vAlign w:val="bottom"/>
          </w:tcPr>
          <w:p>
            <w:pPr>
              <w:spacing w:after="0"/>
              <w:rPr>
                <w:sz w:val="20"/>
                <w:szCs w:val="20"/>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4"/>
              </w:rPr>
              <w:t>Net Amount</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8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Repurchase agreements / reverse</w:t>
            </w: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40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repurchase agreements</w:t>
            </w:r>
          </w:p>
        </w:tc>
        <w:tc>
          <w:tcPr>
            <w:tcW w:w="36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400,000</w:t>
            </w:r>
          </w:p>
        </w:tc>
        <w:tc>
          <w:tcPr>
            <w:tcW w:w="240" w:type="dxa"/>
            <w:vAlign w:val="bottom"/>
            <w:gridSpan w:val="2"/>
            <w:shd w:val="clear" w:color="auto" w:fill="F0FFFF"/>
          </w:tcPr>
          <w:p>
            <w:pPr>
              <w:ind w:lef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(350,000)</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50,000</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(53,722)</w:t>
            </w:r>
          </w:p>
        </w:tc>
        <w:tc>
          <w:tcPr>
            <w:tcW w:w="520" w:type="dxa"/>
            <w:vAlign w:val="bottom"/>
            <w:gridSpan w:val="2"/>
            <w:shd w:val="clear" w:color="auto" w:fill="F0FF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Derivatives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9,017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9,017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(4,299)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(3,316)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0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Total</w:t>
            </w:r>
          </w:p>
        </w:tc>
        <w:tc>
          <w:tcPr>
            <w:tcW w:w="240" w:type="dxa"/>
            <w:vAlign w:val="bottom"/>
            <w:gridSpan w:val="2"/>
            <w:shd w:val="clear" w:color="auto" w:fill="F0FFFF"/>
          </w:tcPr>
          <w:p>
            <w:pPr>
              <w:spacing w:after="0"/>
              <w:rPr>
                <w:sz w:val="22"/>
                <w:szCs w:val="22"/>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409,017</w:t>
            </w:r>
          </w:p>
        </w:tc>
        <w:tc>
          <w:tcPr>
            <w:tcW w:w="240" w:type="dxa"/>
            <w:vAlign w:val="bottom"/>
            <w:gridSpan w:val="2"/>
            <w:shd w:val="clear" w:color="auto" w:fill="F0FFFF"/>
          </w:tcPr>
          <w:p>
            <w:pPr>
              <w:ind w:lef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(350,000)</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59,017</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(4,299)</w:t>
            </w:r>
          </w:p>
        </w:tc>
        <w:tc>
          <w:tcPr>
            <w:tcW w:w="2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(57,038)</w:t>
            </w:r>
          </w:p>
        </w:tc>
        <w:tc>
          <w:tcPr>
            <w:tcW w:w="520" w:type="dxa"/>
            <w:vAlign w:val="bottom"/>
            <w:gridSpan w:val="2"/>
            <w:shd w:val="clear" w:color="auto" w:fill="F0FF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8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8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2"/>
              </w:rPr>
              <w:t>Weighted average interest rate of reverse</w:t>
            </w: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40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repurchase agreements</w:t>
            </w:r>
          </w:p>
        </w:tc>
        <w:tc>
          <w:tcPr>
            <w:tcW w:w="12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2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00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100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00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0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400" w:type="dxa"/>
            <w:vAlign w:val="bottom"/>
            <w:shd w:val="clear" w:color="auto" w:fill="F0FFFF"/>
          </w:tcPr>
          <w:p>
            <w:pPr>
              <w:spacing w:after="0"/>
              <w:rPr>
                <w:sz w:val="20"/>
                <w:szCs w:val="20"/>
                <w:color w:val="auto"/>
              </w:rPr>
            </w:pPr>
          </w:p>
        </w:tc>
        <w:tc>
          <w:tcPr>
            <w:tcW w:w="720" w:type="dxa"/>
            <w:vAlign w:val="bottom"/>
            <w:shd w:val="clear" w:color="auto" w:fill="F0FFFF"/>
          </w:tcPr>
          <w:p>
            <w:pPr>
              <w:spacing w:after="0"/>
              <w:rPr>
                <w:sz w:val="20"/>
                <w:szCs w:val="20"/>
                <w:color w:val="auto"/>
              </w:rPr>
            </w:pPr>
          </w:p>
        </w:tc>
        <w:tc>
          <w:tcPr>
            <w:tcW w:w="6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90"/>
              </w:rPr>
              <w:t>Gross Amounts not Offset</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9"/>
              </w:rPr>
              <w:t>Amounts of</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Amounts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Net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in the Balance Sheet</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jc w:val="center"/>
              <w:ind w:right="340"/>
              <w:spacing w:after="0" w:line="198" w:lineRule="exact"/>
              <w:rPr>
                <w:sz w:val="20"/>
                <w:szCs w:val="20"/>
                <w:color w:val="auto"/>
              </w:rPr>
            </w:pPr>
            <w:r>
              <w:rPr>
                <w:rFonts w:ascii="Arial" w:cs="Arial" w:eastAsia="Arial" w:hAnsi="Arial"/>
                <w:sz w:val="18"/>
                <w:szCs w:val="18"/>
                <w:b w:val="1"/>
                <w:bCs w:val="1"/>
                <w:color w:val="auto"/>
                <w:w w:val="87"/>
              </w:rPr>
              <w:t>Recognized</w:t>
            </w:r>
          </w:p>
        </w:tc>
        <w:tc>
          <w:tcPr>
            <w:tcW w:w="100" w:type="dxa"/>
            <w:vAlign w:val="bottom"/>
          </w:tcPr>
          <w:p>
            <w:pPr>
              <w:spacing w:after="0"/>
              <w:rPr>
                <w:sz w:val="17"/>
                <w:szCs w:val="17"/>
                <w:color w:val="auto"/>
              </w:rPr>
            </w:pPr>
          </w:p>
        </w:tc>
        <w:tc>
          <w:tcPr>
            <w:tcW w:w="1260" w:type="dxa"/>
            <w:vAlign w:val="bottom"/>
            <w:gridSpan w:val="3"/>
          </w:tcPr>
          <w:p>
            <w:pPr>
              <w:ind w:left="20"/>
              <w:spacing w:after="0" w:line="198" w:lineRule="exact"/>
              <w:rPr>
                <w:sz w:val="20"/>
                <w:szCs w:val="20"/>
                <w:color w:val="auto"/>
              </w:rPr>
            </w:pPr>
            <w:r>
              <w:rPr>
                <w:rFonts w:ascii="Arial" w:cs="Arial" w:eastAsia="Arial" w:hAnsi="Arial"/>
                <w:sz w:val="18"/>
                <w:szCs w:val="18"/>
                <w:b w:val="1"/>
                <w:bCs w:val="1"/>
                <w:color w:val="auto"/>
              </w:rPr>
              <w:t>Offset on the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96"/>
              </w:rPr>
              <w:t>Liability</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92"/>
              </w:rPr>
              <w:t>Financial</w:t>
            </w: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150"/>
              <w:spacing w:after="0" w:line="198" w:lineRule="exact"/>
              <w:rPr>
                <w:sz w:val="20"/>
                <w:szCs w:val="20"/>
                <w:color w:val="auto"/>
              </w:rPr>
            </w:pPr>
            <w:r>
              <w:rPr>
                <w:rFonts w:ascii="Arial" w:cs="Arial" w:eastAsia="Arial" w:hAnsi="Arial"/>
                <w:sz w:val="18"/>
                <w:szCs w:val="18"/>
                <w:b w:val="1"/>
                <w:bCs w:val="1"/>
                <w:color w:val="auto"/>
                <w:w w:val="95"/>
              </w:rPr>
              <w:t>Collateral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Liabilities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Balance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Balance</w:t>
            </w:r>
          </w:p>
        </w:tc>
        <w:tc>
          <w:tcPr>
            <w:tcW w:w="120" w:type="dxa"/>
            <w:vAlign w:val="bottom"/>
          </w:tcPr>
          <w:p>
            <w:pPr>
              <w:spacing w:after="0"/>
              <w:rPr>
                <w:sz w:val="20"/>
                <w:szCs w:val="20"/>
                <w:color w:val="auto"/>
              </w:rPr>
            </w:pPr>
          </w:p>
        </w:tc>
        <w:tc>
          <w:tcPr>
            <w:tcW w:w="12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Instruments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Pledged</w:t>
            </w:r>
          </w:p>
        </w:tc>
        <w:tc>
          <w:tcPr>
            <w:tcW w:w="120" w:type="dxa"/>
            <w:vAlign w:val="bottom"/>
          </w:tcPr>
          <w:p>
            <w:pPr>
              <w:spacing w:after="0"/>
              <w:rPr>
                <w:sz w:val="20"/>
                <w:szCs w:val="20"/>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4"/>
              </w:rPr>
              <w:t>Net Amount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08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Repurchase agreements / reverse</w:t>
            </w: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40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6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repurchase agreements</w:t>
            </w:r>
          </w:p>
        </w:tc>
        <w:tc>
          <w:tcPr>
            <w:tcW w:w="360" w:type="dxa"/>
            <w:vAlign w:val="bottom"/>
            <w:gridSpan w:val="3"/>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350,000</w:t>
            </w:r>
          </w:p>
        </w:tc>
        <w:tc>
          <w:tcPr>
            <w:tcW w:w="240" w:type="dxa"/>
            <w:vAlign w:val="bottom"/>
            <w:gridSpan w:val="2"/>
            <w:shd w:val="clear" w:color="auto" w:fill="F0FFFF"/>
          </w:tcPr>
          <w:p>
            <w:pPr>
              <w:ind w:lef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(350,000)</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F0FF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Derivatives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29,330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29,330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(4,299)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(21,514)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3,517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0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Total</w:t>
            </w:r>
          </w:p>
        </w:tc>
        <w:tc>
          <w:tcPr>
            <w:tcW w:w="240" w:type="dxa"/>
            <w:vAlign w:val="bottom"/>
            <w:gridSpan w:val="2"/>
            <w:shd w:val="clear" w:color="auto" w:fill="F0FFFF"/>
          </w:tcPr>
          <w:p>
            <w:pPr>
              <w:spacing w:after="0"/>
              <w:rPr>
                <w:sz w:val="22"/>
                <w:szCs w:val="22"/>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379,330</w:t>
            </w:r>
          </w:p>
        </w:tc>
        <w:tc>
          <w:tcPr>
            <w:tcW w:w="240" w:type="dxa"/>
            <w:vAlign w:val="bottom"/>
            <w:gridSpan w:val="2"/>
            <w:shd w:val="clear" w:color="auto" w:fill="F0FFFF"/>
          </w:tcPr>
          <w:p>
            <w:pPr>
              <w:ind w:left="1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(350,000)</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29,330</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(4,299)</w:t>
            </w:r>
          </w:p>
        </w:tc>
        <w:tc>
          <w:tcPr>
            <w:tcW w:w="2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(21,514)</w:t>
            </w:r>
          </w:p>
        </w:tc>
        <w:tc>
          <w:tcPr>
            <w:tcW w:w="520" w:type="dxa"/>
            <w:vAlign w:val="bottom"/>
            <w:gridSpan w:val="2"/>
            <w:shd w:val="clear" w:color="auto" w:fill="F0FF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3,517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80" w:type="dxa"/>
            <w:vAlign w:val="bottom"/>
            <w:tcBorders>
              <w:top w:val="single" w:sz="8" w:color="F0FFFF"/>
            </w:tcBorders>
          </w:tcPr>
          <w:p>
            <w:pPr>
              <w:spacing w:after="0" w:line="195" w:lineRule="exact"/>
              <w:rPr>
                <w:sz w:val="20"/>
                <w:szCs w:val="20"/>
                <w:color w:val="auto"/>
              </w:rPr>
            </w:pPr>
            <w:r>
              <w:rPr>
                <w:rFonts w:ascii="Arial" w:cs="Arial" w:eastAsia="Arial" w:hAnsi="Arial"/>
                <w:sz w:val="18"/>
                <w:szCs w:val="18"/>
                <w:color w:val="auto"/>
              </w:rPr>
              <w:t>Weighted average interest rate</w:t>
            </w:r>
          </w:p>
        </w:tc>
        <w:tc>
          <w:tcPr>
            <w:tcW w:w="120" w:type="dxa"/>
            <w:vAlign w:val="bottom"/>
            <w:tcBorders>
              <w:top w:val="single" w:sz="8" w:color="F0FFFF"/>
            </w:tcBorders>
          </w:tcPr>
          <w:p>
            <w:pPr>
              <w:spacing w:after="0"/>
              <w:rPr>
                <w:sz w:val="16"/>
                <w:szCs w:val="16"/>
                <w:color w:val="auto"/>
              </w:rPr>
            </w:pPr>
          </w:p>
        </w:tc>
        <w:tc>
          <w:tcPr>
            <w:tcW w:w="120" w:type="dxa"/>
            <w:vAlign w:val="bottom"/>
            <w:tcBorders>
              <w:top w:val="single" w:sz="8" w:color="F0FF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Borders>
              <w:top w:val="single" w:sz="8" w:color="F0FFFF"/>
            </w:tcBorders>
          </w:tcPr>
          <w:p>
            <w:pPr>
              <w:spacing w:after="0"/>
              <w:rPr>
                <w:sz w:val="16"/>
                <w:szCs w:val="16"/>
                <w:color w:val="auto"/>
              </w:rPr>
            </w:pPr>
          </w:p>
        </w:tc>
        <w:tc>
          <w:tcPr>
            <w:tcW w:w="100" w:type="dxa"/>
            <w:vAlign w:val="bottom"/>
            <w:tcBorders>
              <w:top w:val="single" w:sz="8" w:color="F0FF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F0FFFF"/>
            </w:tcBorders>
          </w:tcPr>
          <w:p>
            <w:pPr>
              <w:spacing w:after="0"/>
              <w:rPr>
                <w:sz w:val="16"/>
                <w:szCs w:val="16"/>
                <w:color w:val="auto"/>
              </w:rPr>
            </w:pPr>
          </w:p>
        </w:tc>
        <w:tc>
          <w:tcPr>
            <w:tcW w:w="100" w:type="dxa"/>
            <w:vAlign w:val="bottom"/>
            <w:tcBorders>
              <w:top w:val="single" w:sz="8" w:color="F0FF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F0FFFF"/>
            </w:tcBorders>
          </w:tcPr>
          <w:p>
            <w:pPr>
              <w:spacing w:after="0"/>
              <w:rPr>
                <w:sz w:val="16"/>
                <w:szCs w:val="16"/>
                <w:color w:val="auto"/>
              </w:rPr>
            </w:pPr>
          </w:p>
        </w:tc>
        <w:tc>
          <w:tcPr>
            <w:tcW w:w="120" w:type="dxa"/>
            <w:vAlign w:val="bottom"/>
            <w:tcBorders>
              <w:top w:val="single" w:sz="8" w:color="F0FF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F0FFFF"/>
            </w:tcBorders>
          </w:tcPr>
          <w:p>
            <w:pPr>
              <w:spacing w:after="0"/>
              <w:rPr>
                <w:sz w:val="16"/>
                <w:szCs w:val="16"/>
                <w:color w:val="auto"/>
              </w:rPr>
            </w:pPr>
          </w:p>
        </w:tc>
        <w:tc>
          <w:tcPr>
            <w:tcW w:w="100" w:type="dxa"/>
            <w:vAlign w:val="bottom"/>
            <w:tcBorders>
              <w:top w:val="single" w:sz="8" w:color="F0FF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F0FFFF"/>
            </w:tcBorders>
          </w:tcPr>
          <w:p>
            <w:pPr>
              <w:spacing w:after="0"/>
              <w:rPr>
                <w:sz w:val="16"/>
                <w:szCs w:val="16"/>
                <w:color w:val="auto"/>
              </w:rPr>
            </w:pPr>
          </w:p>
        </w:tc>
        <w:tc>
          <w:tcPr>
            <w:tcW w:w="120" w:type="dxa"/>
            <w:vAlign w:val="bottom"/>
            <w:tcBorders>
              <w:top w:val="single" w:sz="8" w:color="F0FFFF"/>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60" w:type="dxa"/>
            <w:vAlign w:val="bottom"/>
            <w:tcBorders>
              <w:top w:val="single" w:sz="8" w:color="F0FFFF"/>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160"/>
              <w:spacing w:after="0"/>
              <w:rPr>
                <w:sz w:val="20"/>
                <w:szCs w:val="20"/>
                <w:color w:val="auto"/>
              </w:rPr>
            </w:pPr>
            <w:r>
              <w:rPr>
                <w:rFonts w:ascii="Arial" w:cs="Arial" w:eastAsia="Arial" w:hAnsi="Arial"/>
                <w:sz w:val="18"/>
                <w:szCs w:val="18"/>
                <w:color w:val="auto"/>
              </w:rPr>
              <w:t>of repurchase agreements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0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4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jc w:val="right"/>
              <w:ind w:right="11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400" w:type="dxa"/>
            <w:vAlign w:val="bottom"/>
            <w:tcBorders>
              <w:bottom w:val="single" w:sz="8" w:color="DCDCDC"/>
            </w:tcBorders>
          </w:tcPr>
          <w:p>
            <w:pPr>
              <w:spacing w:after="0"/>
              <w:rPr>
                <w:sz w:val="24"/>
                <w:szCs w:val="24"/>
                <w:color w:val="auto"/>
              </w:rPr>
            </w:pPr>
          </w:p>
        </w:tc>
        <w:tc>
          <w:tcPr>
            <w:tcW w:w="720" w:type="dxa"/>
            <w:vAlign w:val="bottom"/>
            <w:tcBorders>
              <w:bottom w:val="single" w:sz="8" w:color="DCDCDC"/>
            </w:tcBorders>
          </w:tcPr>
          <w:p>
            <w:pPr>
              <w:spacing w:after="0"/>
              <w:rPr>
                <w:sz w:val="24"/>
                <w:szCs w:val="24"/>
                <w:color w:val="auto"/>
              </w:rPr>
            </w:pPr>
          </w:p>
        </w:tc>
        <w:tc>
          <w:tcPr>
            <w:tcW w:w="6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Securities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The cost basis, gross unrealized gains and losses and fair value of securities held-to-maturity at June 30, 2014, December 31, 2013 and June 30, 2013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w w:val="93"/>
              </w:rPr>
              <w:t>Amortized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Fair</w:t>
            </w:r>
          </w:p>
        </w:tc>
        <w:tc>
          <w:tcPr>
            <w:tcW w:w="0" w:type="dxa"/>
            <w:vAlign w:val="bottom"/>
          </w:tcPr>
          <w:p>
            <w:pPr>
              <w:spacing w:after="0"/>
              <w:rPr>
                <w:sz w:val="1"/>
                <w:szCs w:val="1"/>
                <w:color w:val="auto"/>
              </w:rPr>
            </w:pPr>
          </w:p>
        </w:tc>
      </w:tr>
      <w:tr>
        <w:trPr>
          <w:trHeight w:val="194"/>
        </w:trPr>
        <w:tc>
          <w:tcPr>
            <w:tcW w:w="3680" w:type="dxa"/>
            <w:vAlign w:val="bottom"/>
            <w:gridSpan w:val="4"/>
          </w:tcPr>
          <w:p>
            <w:pPr>
              <w:spacing w:after="0" w:line="194" w:lineRule="exact"/>
              <w:rPr>
                <w:sz w:val="20"/>
                <w:szCs w:val="20"/>
                <w:color w:val="auto"/>
              </w:rPr>
            </w:pPr>
            <w:r>
              <w:rPr>
                <w:rFonts w:ascii="Arial" w:cs="Arial" w:eastAsia="Arial" w:hAnsi="Arial"/>
                <w:sz w:val="18"/>
                <w:szCs w:val="18"/>
                <w:color w:val="auto"/>
              </w:rPr>
              <w:t>As of June 30, 2014</w:t>
            </w: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10"/>
              <w:spacing w:after="0" w:line="194" w:lineRule="exact"/>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30"/>
              <w:spacing w:after="0" w:line="194" w:lineRule="exact"/>
              <w:rPr>
                <w:sz w:val="20"/>
                <w:szCs w:val="20"/>
                <w:color w:val="auto"/>
              </w:rPr>
            </w:pPr>
            <w:r>
              <w:rPr>
                <w:rFonts w:ascii="Arial" w:cs="Arial" w:eastAsia="Arial" w:hAnsi="Arial"/>
                <w:sz w:val="18"/>
                <w:szCs w:val="18"/>
                <w:b w:val="1"/>
                <w:bCs w:val="1"/>
                <w:color w:val="auto"/>
                <w:w w:val="87"/>
              </w:rPr>
              <w:t>Gains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30"/>
              <w:spacing w:after="0" w:line="194" w:lineRule="exact"/>
              <w:rPr>
                <w:sz w:val="20"/>
                <w:szCs w:val="20"/>
                <w:color w:val="auto"/>
              </w:rPr>
            </w:pPr>
            <w:r>
              <w:rPr>
                <w:rFonts w:ascii="Arial" w:cs="Arial" w:eastAsia="Arial" w:hAnsi="Arial"/>
                <w:sz w:val="18"/>
                <w:szCs w:val="18"/>
                <w:b w:val="1"/>
                <w:bCs w:val="1"/>
                <w:color w:val="auto"/>
                <w:w w:val="83"/>
              </w:rPr>
              <w:t>Losses</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center"/>
              <w:ind w:right="360"/>
              <w:spacing w:after="0" w:line="194" w:lineRule="exact"/>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8"/>
        </w:trPr>
        <w:tc>
          <w:tcPr>
            <w:tcW w:w="20" w:type="dxa"/>
            <w:vAlign w:val="bottom"/>
            <w:tcBorders>
              <w:top w:val="single" w:sz="8" w:color="auto"/>
            </w:tcBorders>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3"/>
            <w:shd w:val="clear" w:color="auto" w:fill="F0FFFF"/>
          </w:tcPr>
          <w:p>
            <w:pPr>
              <w:ind w:left="140"/>
              <w:spacing w:after="0"/>
              <w:rPr>
                <w:sz w:val="20"/>
                <w:szCs w:val="20"/>
                <w:color w:val="auto"/>
              </w:rPr>
            </w:pPr>
            <w:r>
              <w:rPr>
                <w:rFonts w:ascii="Arial" w:cs="Arial" w:eastAsia="Arial" w:hAnsi="Arial"/>
                <w:sz w:val="18"/>
                <w:szCs w:val="18"/>
                <w:color w:val="auto"/>
              </w:rPr>
              <w:t>State and political subdivisions</w:t>
            </w:r>
          </w:p>
        </w:tc>
        <w:tc>
          <w:tcPr>
            <w:tcW w:w="13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50,669</w:t>
            </w:r>
          </w:p>
        </w:tc>
        <w:tc>
          <w:tcPr>
            <w:tcW w:w="3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3,872</w:t>
            </w:r>
          </w:p>
        </w:tc>
        <w:tc>
          <w:tcPr>
            <w:tcW w:w="3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54,541</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gridSpan w:val="3"/>
          </w:tcPr>
          <w:p>
            <w:pPr>
              <w:ind w:left="140"/>
              <w:spacing w:after="0" w:line="216"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25"/>
                <w:szCs w:val="25"/>
                <w:color w:val="auto"/>
                <w:vertAlign w:val="superscript"/>
              </w:rPr>
              <w:t>(1)</w:t>
            </w:r>
          </w:p>
        </w:tc>
        <w:tc>
          <w:tcPr>
            <w:tcW w:w="1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398,083</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8,257</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404,323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60" w:type="dxa"/>
            <w:vAlign w:val="bottom"/>
            <w:gridSpan w:val="3"/>
            <w:shd w:val="clear" w:color="auto" w:fill="F0FFFF"/>
          </w:tcPr>
          <w:p>
            <w:pPr>
              <w:ind w:left="300"/>
              <w:spacing w:after="0"/>
              <w:rPr>
                <w:sz w:val="20"/>
                <w:szCs w:val="20"/>
                <w:color w:val="auto"/>
              </w:rPr>
            </w:pPr>
            <w:r>
              <w:rPr>
                <w:rFonts w:ascii="Arial" w:cs="Arial" w:eastAsia="Arial" w:hAnsi="Arial"/>
                <w:sz w:val="18"/>
                <w:szCs w:val="18"/>
                <w:color w:val="auto"/>
              </w:rPr>
              <w:t>Total</w:t>
            </w:r>
          </w:p>
        </w:tc>
        <w:tc>
          <w:tcPr>
            <w:tcW w:w="13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448,752</w:t>
            </w:r>
          </w:p>
        </w:tc>
        <w:tc>
          <w:tcPr>
            <w:tcW w:w="3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12,129</w:t>
            </w:r>
          </w:p>
        </w:tc>
        <w:tc>
          <w:tcPr>
            <w:tcW w:w="3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2,017</w:t>
            </w:r>
          </w:p>
        </w:tc>
        <w:tc>
          <w:tcPr>
            <w:tcW w:w="4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458,864</w:t>
            </w:r>
          </w:p>
        </w:tc>
        <w:tc>
          <w:tcPr>
            <w:tcW w:w="12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20" w:type="dxa"/>
            <w:vAlign w:val="bottom"/>
            <w:tcBorders>
              <w:top w:val="single" w:sz="8" w:color="F0FFFF"/>
            </w:tcBorders>
          </w:tcPr>
          <w:p>
            <w:pPr>
              <w:spacing w:after="0"/>
              <w:rPr>
                <w:sz w:val="18"/>
                <w:szCs w:val="18"/>
                <w:color w:val="auto"/>
              </w:rPr>
            </w:pPr>
          </w:p>
        </w:tc>
        <w:tc>
          <w:tcPr>
            <w:tcW w:w="420" w:type="dxa"/>
            <w:vAlign w:val="bottom"/>
            <w:tcBorders>
              <w:top w:val="single" w:sz="8" w:color="F0FFFF"/>
            </w:tcBorders>
          </w:tcPr>
          <w:p>
            <w:pPr>
              <w:spacing w:after="0"/>
              <w:rPr>
                <w:sz w:val="18"/>
                <w:szCs w:val="18"/>
                <w:color w:val="auto"/>
              </w:rPr>
            </w:pPr>
          </w:p>
        </w:tc>
        <w:tc>
          <w:tcPr>
            <w:tcW w:w="1820" w:type="dxa"/>
            <w:vAlign w:val="bottom"/>
            <w:tcBorders>
              <w:top w:val="single" w:sz="8" w:color="F0FFFF"/>
            </w:tcBorders>
          </w:tcPr>
          <w:p>
            <w:pPr>
              <w:spacing w:after="0"/>
              <w:rPr>
                <w:sz w:val="18"/>
                <w:szCs w:val="18"/>
                <w:color w:val="auto"/>
              </w:rPr>
            </w:pPr>
          </w:p>
        </w:tc>
        <w:tc>
          <w:tcPr>
            <w:tcW w:w="126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660" w:type="dxa"/>
            <w:vAlign w:val="bottom"/>
            <w:gridSpan w:val="3"/>
            <w:shd w:val="clear" w:color="auto" w:fill="F0FFFF"/>
          </w:tcPr>
          <w:p>
            <w:pPr>
              <w:spacing w:after="0" w:line="176" w:lineRule="exact"/>
              <w:rPr>
                <w:sz w:val="20"/>
                <w:szCs w:val="20"/>
                <w:color w:val="auto"/>
              </w:rPr>
            </w:pPr>
            <w:r>
              <w:rPr>
                <w:rFonts w:ascii="Arial" w:cs="Arial" w:eastAsia="Arial" w:hAnsi="Arial"/>
                <w:sz w:val="18"/>
                <w:szCs w:val="18"/>
                <w:color w:val="auto"/>
              </w:rPr>
              <w:t>As of December 31, 2013</w:t>
            </w:r>
          </w:p>
        </w:tc>
        <w:tc>
          <w:tcPr>
            <w:tcW w:w="12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820" w:type="dxa"/>
            <w:vAlign w:val="bottom"/>
            <w:tcBorders>
              <w:top w:val="single" w:sz="8" w:color="F0FFFF"/>
            </w:tcBorders>
          </w:tcPr>
          <w:p>
            <w:pPr>
              <w:spacing w:after="0"/>
              <w:rPr>
                <w:sz w:val="18"/>
                <w:szCs w:val="18"/>
                <w:color w:val="auto"/>
              </w:rPr>
            </w:pPr>
          </w:p>
        </w:tc>
        <w:tc>
          <w:tcPr>
            <w:tcW w:w="126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20" w:type="dxa"/>
            <w:vAlign w:val="bottom"/>
            <w:tcBorders>
              <w:top w:val="single" w:sz="8" w:color="F0FFFF"/>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4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04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9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3"/>
            <w:shd w:val="clear" w:color="auto" w:fill="F0FFFF"/>
          </w:tcPr>
          <w:p>
            <w:pPr>
              <w:ind w:left="140"/>
              <w:spacing w:after="0"/>
              <w:rPr>
                <w:sz w:val="20"/>
                <w:szCs w:val="20"/>
                <w:color w:val="auto"/>
              </w:rPr>
            </w:pPr>
            <w:r>
              <w:rPr>
                <w:rFonts w:ascii="Arial" w:cs="Arial" w:eastAsia="Arial" w:hAnsi="Arial"/>
                <w:sz w:val="18"/>
                <w:szCs w:val="18"/>
                <w:color w:val="auto"/>
              </w:rPr>
              <w:t>State and political subdivisions</w:t>
            </w:r>
          </w:p>
        </w:tc>
        <w:tc>
          <w:tcPr>
            <w:tcW w:w="13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51,733</w:t>
            </w:r>
          </w:p>
        </w:tc>
        <w:tc>
          <w:tcPr>
            <w:tcW w:w="3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2,718</w:t>
            </w:r>
          </w:p>
        </w:tc>
        <w:tc>
          <w:tcPr>
            <w:tcW w:w="3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42</w:t>
            </w:r>
          </w:p>
        </w:tc>
        <w:tc>
          <w:tcPr>
            <w:tcW w:w="4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54,409</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gridSpan w:val="3"/>
          </w:tcPr>
          <w:p>
            <w:pPr>
              <w:ind w:left="140"/>
              <w:spacing w:after="0" w:line="216"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25"/>
                <w:szCs w:val="25"/>
                <w:color w:val="auto"/>
                <w:vertAlign w:val="superscript"/>
              </w:rPr>
              <w:t>(1)</w:t>
            </w:r>
          </w:p>
        </w:tc>
        <w:tc>
          <w:tcPr>
            <w:tcW w:w="1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428,009</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6,690</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3,523</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431,176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60" w:type="dxa"/>
            <w:vAlign w:val="bottom"/>
            <w:gridSpan w:val="3"/>
            <w:shd w:val="clear" w:color="auto" w:fill="F0FFFF"/>
          </w:tcPr>
          <w:p>
            <w:pPr>
              <w:ind w:left="300"/>
              <w:spacing w:after="0"/>
              <w:rPr>
                <w:sz w:val="20"/>
                <w:szCs w:val="20"/>
                <w:color w:val="auto"/>
              </w:rPr>
            </w:pPr>
            <w:r>
              <w:rPr>
                <w:rFonts w:ascii="Arial" w:cs="Arial" w:eastAsia="Arial" w:hAnsi="Arial"/>
                <w:sz w:val="18"/>
                <w:szCs w:val="18"/>
                <w:color w:val="auto"/>
              </w:rPr>
              <w:t>Total</w:t>
            </w:r>
          </w:p>
        </w:tc>
        <w:tc>
          <w:tcPr>
            <w:tcW w:w="13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479,742</w:t>
            </w:r>
          </w:p>
        </w:tc>
        <w:tc>
          <w:tcPr>
            <w:tcW w:w="3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9,408</w:t>
            </w:r>
          </w:p>
        </w:tc>
        <w:tc>
          <w:tcPr>
            <w:tcW w:w="3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3,565</w:t>
            </w:r>
          </w:p>
        </w:tc>
        <w:tc>
          <w:tcPr>
            <w:tcW w:w="4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485,585</w:t>
            </w:r>
          </w:p>
        </w:tc>
        <w:tc>
          <w:tcPr>
            <w:tcW w:w="12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20" w:type="dxa"/>
            <w:vAlign w:val="bottom"/>
            <w:tcBorders>
              <w:top w:val="single" w:sz="8" w:color="F0FFFF"/>
            </w:tcBorders>
          </w:tcPr>
          <w:p>
            <w:pPr>
              <w:spacing w:after="0"/>
              <w:rPr>
                <w:sz w:val="18"/>
                <w:szCs w:val="18"/>
                <w:color w:val="auto"/>
              </w:rPr>
            </w:pPr>
          </w:p>
        </w:tc>
        <w:tc>
          <w:tcPr>
            <w:tcW w:w="420" w:type="dxa"/>
            <w:vAlign w:val="bottom"/>
            <w:tcBorders>
              <w:top w:val="single" w:sz="8" w:color="F0FFFF"/>
            </w:tcBorders>
          </w:tcPr>
          <w:p>
            <w:pPr>
              <w:spacing w:after="0"/>
              <w:rPr>
                <w:sz w:val="18"/>
                <w:szCs w:val="18"/>
                <w:color w:val="auto"/>
              </w:rPr>
            </w:pPr>
          </w:p>
        </w:tc>
        <w:tc>
          <w:tcPr>
            <w:tcW w:w="1820" w:type="dxa"/>
            <w:vAlign w:val="bottom"/>
            <w:tcBorders>
              <w:top w:val="single" w:sz="8" w:color="F0FFFF"/>
            </w:tcBorders>
          </w:tcPr>
          <w:p>
            <w:pPr>
              <w:spacing w:after="0"/>
              <w:rPr>
                <w:sz w:val="18"/>
                <w:szCs w:val="18"/>
                <w:color w:val="auto"/>
              </w:rPr>
            </w:pPr>
          </w:p>
        </w:tc>
        <w:tc>
          <w:tcPr>
            <w:tcW w:w="126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660" w:type="dxa"/>
            <w:vAlign w:val="bottom"/>
            <w:gridSpan w:val="3"/>
            <w:shd w:val="clear" w:color="auto" w:fill="F0FFFF"/>
          </w:tcPr>
          <w:p>
            <w:pPr>
              <w:spacing w:after="0" w:line="176" w:lineRule="exact"/>
              <w:rPr>
                <w:sz w:val="20"/>
                <w:szCs w:val="20"/>
                <w:color w:val="auto"/>
              </w:rPr>
            </w:pPr>
            <w:r>
              <w:rPr>
                <w:rFonts w:ascii="Arial" w:cs="Arial" w:eastAsia="Arial" w:hAnsi="Arial"/>
                <w:sz w:val="18"/>
                <w:szCs w:val="18"/>
                <w:color w:val="auto"/>
              </w:rPr>
              <w:t>As of June 30, 2013</w:t>
            </w:r>
          </w:p>
        </w:tc>
        <w:tc>
          <w:tcPr>
            <w:tcW w:w="12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420" w:type="dxa"/>
            <w:vAlign w:val="bottom"/>
            <w:tcBorders>
              <w:top w:val="single" w:sz="8" w:color="F0FFFF"/>
            </w:tcBorders>
          </w:tcPr>
          <w:p>
            <w:pPr>
              <w:spacing w:after="0"/>
              <w:rPr>
                <w:sz w:val="18"/>
                <w:szCs w:val="18"/>
                <w:color w:val="auto"/>
              </w:rPr>
            </w:pPr>
          </w:p>
        </w:tc>
        <w:tc>
          <w:tcPr>
            <w:tcW w:w="1820" w:type="dxa"/>
            <w:vAlign w:val="bottom"/>
            <w:tcBorders>
              <w:top w:val="single" w:sz="8" w:color="F0FFFF"/>
            </w:tcBorders>
          </w:tcPr>
          <w:p>
            <w:pPr>
              <w:spacing w:after="0"/>
              <w:rPr>
                <w:sz w:val="18"/>
                <w:szCs w:val="18"/>
                <w:color w:val="auto"/>
              </w:rPr>
            </w:pPr>
          </w:p>
        </w:tc>
        <w:tc>
          <w:tcPr>
            <w:tcW w:w="126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20" w:type="dxa"/>
            <w:vAlign w:val="bottom"/>
            <w:tcBorders>
              <w:top w:val="single" w:sz="8" w:color="F0FFFF"/>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4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04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9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3"/>
            <w:shd w:val="clear" w:color="auto" w:fill="F0FFFF"/>
          </w:tcPr>
          <w:p>
            <w:pPr>
              <w:ind w:left="140"/>
              <w:spacing w:after="0"/>
              <w:rPr>
                <w:sz w:val="20"/>
                <w:szCs w:val="20"/>
                <w:color w:val="auto"/>
              </w:rPr>
            </w:pPr>
            <w:r>
              <w:rPr>
                <w:rFonts w:ascii="Arial" w:cs="Arial" w:eastAsia="Arial" w:hAnsi="Arial"/>
                <w:sz w:val="18"/>
                <w:szCs w:val="18"/>
                <w:color w:val="auto"/>
              </w:rPr>
              <w:t>State and political subdivisions</w:t>
            </w:r>
          </w:p>
        </w:tc>
        <w:tc>
          <w:tcPr>
            <w:tcW w:w="13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51,757</w:t>
            </w:r>
          </w:p>
        </w:tc>
        <w:tc>
          <w:tcPr>
            <w:tcW w:w="3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4,332</w:t>
            </w:r>
          </w:p>
        </w:tc>
        <w:tc>
          <w:tcPr>
            <w:tcW w:w="3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w:t>
            </w:r>
          </w:p>
        </w:tc>
        <w:tc>
          <w:tcPr>
            <w:tcW w:w="4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56,085</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gridSpan w:val="3"/>
          </w:tcPr>
          <w:p>
            <w:pPr>
              <w:ind w:left="140"/>
              <w:spacing w:after="0" w:line="216"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25"/>
                <w:szCs w:val="25"/>
                <w:color w:val="auto"/>
                <w:vertAlign w:val="superscript"/>
              </w:rPr>
              <w:t>(1)</w:t>
            </w:r>
          </w:p>
        </w:tc>
        <w:tc>
          <w:tcPr>
            <w:tcW w:w="1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163,190</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7,658</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60" w:type="dxa"/>
            <w:vAlign w:val="bottom"/>
            <w:gridSpan w:val="3"/>
            <w:shd w:val="clear" w:color="auto" w:fill="F0FFFF"/>
          </w:tcPr>
          <w:p>
            <w:pPr>
              <w:ind w:left="300"/>
              <w:spacing w:after="0"/>
              <w:rPr>
                <w:sz w:val="20"/>
                <w:szCs w:val="20"/>
                <w:color w:val="auto"/>
              </w:rPr>
            </w:pPr>
            <w:r>
              <w:rPr>
                <w:rFonts w:ascii="Arial" w:cs="Arial" w:eastAsia="Arial" w:hAnsi="Arial"/>
                <w:sz w:val="18"/>
                <w:szCs w:val="18"/>
                <w:color w:val="auto"/>
              </w:rPr>
              <w:t>Total</w:t>
            </w:r>
          </w:p>
        </w:tc>
        <w:tc>
          <w:tcPr>
            <w:tcW w:w="13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214,947</w:t>
            </w:r>
          </w:p>
        </w:tc>
        <w:tc>
          <w:tcPr>
            <w:tcW w:w="3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11,990</w:t>
            </w:r>
          </w:p>
        </w:tc>
        <w:tc>
          <w:tcPr>
            <w:tcW w:w="3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242</w:t>
            </w:r>
          </w:p>
        </w:tc>
        <w:tc>
          <w:tcPr>
            <w:tcW w:w="4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226,695</w:t>
            </w:r>
          </w:p>
        </w:tc>
        <w:tc>
          <w:tcPr>
            <w:tcW w:w="12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tcBorders>
              <w:top w:val="single" w:sz="8" w:color="F0FFFF"/>
            </w:tcBorders>
            <w:shd w:val="clear" w:color="auto" w:fill="F0FFFF"/>
          </w:tcPr>
          <w:p>
            <w:pPr>
              <w:spacing w:after="0" w:line="20" w:lineRule="exact"/>
              <w:rPr>
                <w:sz w:val="1"/>
                <w:szCs w:val="1"/>
                <w:color w:val="auto"/>
              </w:rPr>
            </w:pPr>
          </w:p>
        </w:tc>
        <w:tc>
          <w:tcPr>
            <w:tcW w:w="420" w:type="dxa"/>
            <w:vAlign w:val="bottom"/>
            <w:tcBorders>
              <w:top w:val="single" w:sz="8" w:color="F0FFFF"/>
            </w:tcBorders>
            <w:shd w:val="clear" w:color="auto" w:fill="F0FFFF"/>
          </w:tcPr>
          <w:p>
            <w:pPr>
              <w:spacing w:after="0" w:line="20" w:lineRule="exact"/>
              <w:rPr>
                <w:sz w:val="1"/>
                <w:szCs w:val="1"/>
                <w:color w:val="auto"/>
              </w:rPr>
            </w:pPr>
          </w:p>
        </w:tc>
        <w:tc>
          <w:tcPr>
            <w:tcW w:w="1820" w:type="dxa"/>
            <w:vAlign w:val="bottom"/>
            <w:tcBorders>
              <w:top w:val="single" w:sz="8" w:color="F0FFFF"/>
            </w:tcBorders>
            <w:shd w:val="clear" w:color="auto" w:fill="F0FFFF"/>
          </w:tcPr>
          <w:p>
            <w:pPr>
              <w:spacing w:after="0" w:line="20" w:lineRule="exact"/>
              <w:rPr>
                <w:sz w:val="1"/>
                <w:szCs w:val="1"/>
                <w:color w:val="auto"/>
              </w:rPr>
            </w:pPr>
          </w:p>
        </w:tc>
        <w:tc>
          <w:tcPr>
            <w:tcW w:w="126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ind w:left="920" w:hanging="264"/>
        <w:spacing w:after="0"/>
        <w:tabs>
          <w:tab w:leader="none" w:pos="920" w:val="left"/>
        </w:tabs>
        <w:numPr>
          <w:ilvl w:val="0"/>
          <w:numId w:val="1"/>
        </w:numPr>
        <w:rPr>
          <w:rFonts w:ascii="Arial" w:cs="Arial" w:eastAsia="Arial" w:hAnsi="Arial"/>
          <w:sz w:val="9"/>
          <w:szCs w:val="9"/>
          <w:color w:val="auto"/>
        </w:rPr>
      </w:pPr>
      <w:r>
        <w:rPr>
          <w:rFonts w:ascii="Arial" w:cs="Arial" w:eastAsia="Arial" w:hAnsi="Arial"/>
          <w:sz w:val="22"/>
          <w:szCs w:val="22"/>
          <w:color w:val="auto"/>
        </w:rPr>
        <w:t>All are residential type mortgage-backed securities</w:t>
      </w:r>
    </w:p>
    <w:p>
      <w:pPr>
        <w:spacing w:after="0" w:line="24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summarizes held-to-maturity securities in an unrealized loss position as of June 30, 2014, December 31, 2013 and June 30, 2013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60" w:type="dxa"/>
            <w:vAlign w:val="bottom"/>
            <w:gridSpan w:val="5"/>
          </w:tcPr>
          <w:p>
            <w:pPr>
              <w:ind w:left="36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20"/>
                <w:szCs w:val="20"/>
                <w:color w:val="auto"/>
              </w:rPr>
            </w:pPr>
          </w:p>
        </w:tc>
        <w:tc>
          <w:tcPr>
            <w:tcW w:w="2560" w:type="dxa"/>
            <w:vAlign w:val="bottom"/>
            <w:gridSpan w:val="6"/>
          </w:tcPr>
          <w:p>
            <w:pPr>
              <w:ind w:left="360"/>
              <w:spacing w:after="0"/>
              <w:rPr>
                <w:sz w:val="20"/>
                <w:szCs w:val="20"/>
                <w:color w:val="auto"/>
              </w:rPr>
            </w:pPr>
            <w:r>
              <w:rPr>
                <w:rFonts w:ascii="Arial" w:cs="Arial" w:eastAsia="Arial" w:hAnsi="Arial"/>
                <w:sz w:val="18"/>
                <w:szCs w:val="18"/>
                <w:b w:val="1"/>
                <w:bCs w:val="1"/>
                <w:color w:val="auto"/>
              </w:rPr>
              <w:t>12 Months or More</w:t>
            </w:r>
          </w:p>
        </w:tc>
        <w:tc>
          <w:tcPr>
            <w:tcW w:w="140" w:type="dxa"/>
            <w:vAlign w:val="bottom"/>
          </w:tcPr>
          <w:p>
            <w:pPr>
              <w:spacing w:after="0"/>
              <w:rPr>
                <w:sz w:val="20"/>
                <w:szCs w:val="20"/>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Total</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340" w:type="dxa"/>
            <w:vAlign w:val="bottom"/>
            <w:gridSpan w:val="4"/>
          </w:tcPr>
          <w:p>
            <w:pPr>
              <w:spacing w:after="0" w:line="194" w:lineRule="exact"/>
              <w:rPr>
                <w:sz w:val="20"/>
                <w:szCs w:val="20"/>
                <w:color w:val="auto"/>
              </w:rPr>
            </w:pPr>
            <w:r>
              <w:rPr>
                <w:rFonts w:ascii="Arial" w:cs="Arial" w:eastAsia="Arial" w:hAnsi="Arial"/>
                <w:sz w:val="18"/>
                <w:szCs w:val="18"/>
                <w:color w:val="auto"/>
              </w:rPr>
              <w:t>As of June 30, 2014</w:t>
            </w:r>
          </w:p>
        </w:tc>
        <w:tc>
          <w:tcPr>
            <w:tcW w:w="120" w:type="dxa"/>
            <w:vAlign w:val="bottom"/>
          </w:tcPr>
          <w:p>
            <w:pPr>
              <w:spacing w:after="0"/>
              <w:rPr>
                <w:sz w:val="16"/>
                <w:szCs w:val="16"/>
                <w:color w:val="auto"/>
              </w:rPr>
            </w:pPr>
          </w:p>
        </w:tc>
        <w:tc>
          <w:tcPr>
            <w:tcW w:w="1040" w:type="dxa"/>
            <w:vAlign w:val="bottom"/>
          </w:tcPr>
          <w:p>
            <w:pPr>
              <w:jc w:val="right"/>
              <w:ind w:right="90"/>
              <w:spacing w:after="0" w:line="194" w:lineRule="exact"/>
              <w:rPr>
                <w:sz w:val="20"/>
                <w:szCs w:val="20"/>
                <w:color w:val="auto"/>
              </w:rPr>
            </w:pPr>
            <w:r>
              <w:rPr>
                <w:rFonts w:ascii="Arial" w:cs="Arial" w:eastAsia="Arial" w:hAnsi="Arial"/>
                <w:sz w:val="18"/>
                <w:szCs w:val="18"/>
                <w:b w:val="1"/>
                <w:bCs w:val="1"/>
                <w:color w:val="auto"/>
                <w:w w:val="97"/>
              </w:rPr>
              <w:t>Fair Value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40"/>
              <w:spacing w:after="0" w:line="194" w:lineRule="exact"/>
              <w:rPr>
                <w:sz w:val="20"/>
                <w:szCs w:val="20"/>
                <w:color w:val="auto"/>
              </w:rPr>
            </w:pPr>
            <w:r>
              <w:rPr>
                <w:rFonts w:ascii="Arial" w:cs="Arial" w:eastAsia="Arial" w:hAnsi="Arial"/>
                <w:sz w:val="18"/>
                <w:szCs w:val="18"/>
                <w:b w:val="1"/>
                <w:bCs w:val="1"/>
                <w:color w:val="auto"/>
                <w:w w:val="85"/>
              </w:rPr>
              <w:t>Loss</w:t>
            </w:r>
          </w:p>
        </w:tc>
        <w:tc>
          <w:tcPr>
            <w:tcW w:w="140" w:type="dxa"/>
            <w:vAlign w:val="bottom"/>
          </w:tcPr>
          <w:p>
            <w:pPr>
              <w:spacing w:after="0"/>
              <w:rPr>
                <w:sz w:val="16"/>
                <w:szCs w:val="16"/>
                <w:color w:val="auto"/>
              </w:rPr>
            </w:pPr>
          </w:p>
        </w:tc>
        <w:tc>
          <w:tcPr>
            <w:tcW w:w="1100" w:type="dxa"/>
            <w:vAlign w:val="bottom"/>
            <w:gridSpan w:val="2"/>
          </w:tcPr>
          <w:p>
            <w:pPr>
              <w:jc w:val="right"/>
              <w:ind w:right="260"/>
              <w:spacing w:after="0" w:line="194" w:lineRule="exact"/>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94" w:lineRule="exact"/>
              <w:rPr>
                <w:sz w:val="20"/>
                <w:szCs w:val="20"/>
                <w:color w:val="auto"/>
              </w:rPr>
            </w:pPr>
            <w:r>
              <w:rPr>
                <w:rFonts w:ascii="Arial" w:cs="Arial" w:eastAsia="Arial" w:hAnsi="Arial"/>
                <w:sz w:val="18"/>
                <w:szCs w:val="18"/>
                <w:b w:val="1"/>
                <w:bCs w:val="1"/>
                <w:color w:val="auto"/>
                <w:w w:val="85"/>
              </w:rPr>
              <w:t>Loss</w:t>
            </w:r>
          </w:p>
        </w:tc>
        <w:tc>
          <w:tcPr>
            <w:tcW w:w="140" w:type="dxa"/>
            <w:vAlign w:val="bottom"/>
          </w:tcPr>
          <w:p>
            <w:pPr>
              <w:spacing w:after="0"/>
              <w:rPr>
                <w:sz w:val="16"/>
                <w:szCs w:val="16"/>
                <w:color w:val="auto"/>
              </w:rPr>
            </w:pPr>
          </w:p>
        </w:tc>
        <w:tc>
          <w:tcPr>
            <w:tcW w:w="1100" w:type="dxa"/>
            <w:vAlign w:val="bottom"/>
            <w:gridSpan w:val="2"/>
          </w:tcPr>
          <w:p>
            <w:pPr>
              <w:jc w:val="right"/>
              <w:ind w:right="260"/>
              <w:spacing w:after="0" w:line="194" w:lineRule="exact"/>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line="194" w:lineRule="exact"/>
              <w:rPr>
                <w:sz w:val="20"/>
                <w:szCs w:val="20"/>
                <w:color w:val="auto"/>
              </w:rPr>
            </w:pPr>
            <w:r>
              <w:rPr>
                <w:rFonts w:ascii="Arial" w:cs="Arial" w:eastAsia="Arial" w:hAnsi="Arial"/>
                <w:sz w:val="18"/>
                <w:szCs w:val="18"/>
                <w:b w:val="1"/>
                <w:bCs w:val="1"/>
                <w:color w:val="auto"/>
                <w:w w:val="85"/>
              </w:rPr>
              <w:t>Loss</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194,724</w:t>
            </w:r>
          </w:p>
        </w:tc>
        <w:tc>
          <w:tcPr>
            <w:tcW w:w="2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1,898</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2,955</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197,679</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shd w:val="clear" w:color="auto" w:fill="F0FFFF"/>
          </w:tcPr>
          <w:p>
            <w:pPr>
              <w:spacing w:after="0"/>
              <w:rPr>
                <w:sz w:val="2"/>
                <w:szCs w:val="2"/>
                <w:color w:val="auto"/>
              </w:rPr>
            </w:pPr>
          </w:p>
        </w:tc>
        <w:tc>
          <w:tcPr>
            <w:tcW w:w="400" w:type="dxa"/>
            <w:vAlign w:val="bottom"/>
            <w:shd w:val="clear" w:color="auto" w:fill="F0FFFF"/>
          </w:tcPr>
          <w:p>
            <w:pPr>
              <w:spacing w:after="0"/>
              <w:rPr>
                <w:sz w:val="2"/>
                <w:szCs w:val="2"/>
                <w:color w:val="auto"/>
              </w:rPr>
            </w:pPr>
          </w:p>
        </w:tc>
        <w:tc>
          <w:tcPr>
            <w:tcW w:w="14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Total unrealized loss position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194,724</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1,898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2,955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197,679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4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14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320" w:type="dxa"/>
            <w:vAlign w:val="bottom"/>
            <w:gridSpan w:val="3"/>
          </w:tcPr>
          <w:p>
            <w:pPr>
              <w:spacing w:after="0" w:line="176" w:lineRule="exact"/>
              <w:rPr>
                <w:sz w:val="20"/>
                <w:szCs w:val="20"/>
                <w:color w:val="auto"/>
              </w:rPr>
            </w:pPr>
            <w:r>
              <w:rPr>
                <w:rFonts w:ascii="Arial" w:cs="Arial" w:eastAsia="Arial" w:hAnsi="Arial"/>
                <w:sz w:val="18"/>
                <w:szCs w:val="18"/>
                <w:color w:val="auto"/>
              </w:rPr>
              <w:t>As of December 31, 2013</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14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State and political subdivisions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1,595</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1,595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259,870</w:t>
            </w:r>
          </w:p>
        </w:tc>
        <w:tc>
          <w:tcPr>
            <w:tcW w:w="2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3,523</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259,870</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3,523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shd w:val="clear" w:color="auto" w:fill="F0FFFF"/>
          </w:tcPr>
          <w:p>
            <w:pPr>
              <w:spacing w:after="0"/>
              <w:rPr>
                <w:sz w:val="2"/>
                <w:szCs w:val="2"/>
                <w:color w:val="auto"/>
              </w:rPr>
            </w:pPr>
          </w:p>
        </w:tc>
        <w:tc>
          <w:tcPr>
            <w:tcW w:w="400" w:type="dxa"/>
            <w:vAlign w:val="bottom"/>
            <w:shd w:val="clear" w:color="auto" w:fill="F0FFFF"/>
          </w:tcPr>
          <w:p>
            <w:pPr>
              <w:spacing w:after="0"/>
              <w:rPr>
                <w:sz w:val="2"/>
                <w:szCs w:val="2"/>
                <w:color w:val="auto"/>
              </w:rPr>
            </w:pPr>
          </w:p>
        </w:tc>
        <w:tc>
          <w:tcPr>
            <w:tcW w:w="14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Total unrealized loss position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261,465</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3,565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261,465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4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14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320" w:type="dxa"/>
            <w:vAlign w:val="bottom"/>
            <w:gridSpan w:val="3"/>
          </w:tcPr>
          <w:p>
            <w:pPr>
              <w:spacing w:after="0" w:line="176" w:lineRule="exact"/>
              <w:rPr>
                <w:sz w:val="20"/>
                <w:szCs w:val="20"/>
                <w:color w:val="auto"/>
              </w:rPr>
            </w:pPr>
            <w:r>
              <w:rPr>
                <w:rFonts w:ascii="Arial" w:cs="Arial" w:eastAsia="Arial" w:hAnsi="Arial"/>
                <w:sz w:val="18"/>
                <w:szCs w:val="18"/>
                <w:color w:val="auto"/>
              </w:rPr>
              <w:t>As of June 30, 2013</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14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State and political subdivisions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374</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4,715</w:t>
            </w:r>
          </w:p>
        </w:tc>
        <w:tc>
          <w:tcPr>
            <w:tcW w:w="2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238</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4,715</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shd w:val="clear" w:color="auto" w:fill="F0FFFF"/>
          </w:tcPr>
          <w:p>
            <w:pPr>
              <w:spacing w:after="0"/>
              <w:rPr>
                <w:sz w:val="2"/>
                <w:szCs w:val="2"/>
                <w:color w:val="auto"/>
              </w:rPr>
            </w:pPr>
          </w:p>
        </w:tc>
        <w:tc>
          <w:tcPr>
            <w:tcW w:w="400" w:type="dxa"/>
            <w:vAlign w:val="bottom"/>
            <w:shd w:val="clear" w:color="auto" w:fill="F0FFFF"/>
          </w:tcPr>
          <w:p>
            <w:pPr>
              <w:spacing w:after="0"/>
              <w:rPr>
                <w:sz w:val="2"/>
                <w:szCs w:val="2"/>
                <w:color w:val="auto"/>
              </w:rPr>
            </w:pPr>
          </w:p>
        </w:tc>
        <w:tc>
          <w:tcPr>
            <w:tcW w:w="14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Total unrealized loss position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5,089</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242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5,089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Management evaluates securities for other-than-temporary impairment at least on a quarterly basis, and more frequently when economic or market concerns warrant such evaluation. Consideration is given to the length of time and the extent to which the fair value has been less than cost, the financial condition and near-term prospects of the issuer, among other factors. In analyzing an issuer’s financial condition, management considers whether the securities are issued by the federal government or its agencies, whether downgrades by bond rating agencies have occurred, and industry analysts’ reports. No impairment charges were recognized during the three or six months ended June 30, 2014 or 2013.</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fourth quarter of 2013, securities available-for-sale with a fair value of $301 million were transferred to held-to-maturity. The securities were transferred at their fair value on the date of transfer. The unrealized loss of $8.31 million on the transferred securities is being amortized into interest revenue as an adjustment to the yield on those securities over the remaining life of the transferred securities.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221"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The cost basis, unrealized gains and losses, and fair value of securities available-for-sale at June 30, 2014, December 31, 2013 and June 30, 2013 are presented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18"/>
                <w:szCs w:val="18"/>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Fair</w:t>
            </w:r>
          </w:p>
        </w:tc>
      </w:tr>
      <w:tr>
        <w:trPr>
          <w:trHeight w:val="194"/>
        </w:trPr>
        <w:tc>
          <w:tcPr>
            <w:tcW w:w="4020" w:type="dxa"/>
            <w:vAlign w:val="bottom"/>
            <w:gridSpan w:val="3"/>
          </w:tcPr>
          <w:p>
            <w:pPr>
              <w:spacing w:after="0" w:line="194" w:lineRule="exact"/>
              <w:rPr>
                <w:sz w:val="20"/>
                <w:szCs w:val="20"/>
                <w:color w:val="auto"/>
              </w:rPr>
            </w:pPr>
            <w:r>
              <w:rPr>
                <w:rFonts w:ascii="Arial" w:cs="Arial" w:eastAsia="Arial" w:hAnsi="Arial"/>
                <w:sz w:val="18"/>
                <w:szCs w:val="18"/>
                <w:color w:val="auto"/>
              </w:rPr>
              <w:t>As of June 30, 2014</w:t>
            </w: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340"/>
              <w:spacing w:after="0" w:line="194" w:lineRule="exact"/>
              <w:rPr>
                <w:sz w:val="20"/>
                <w:szCs w:val="20"/>
                <w:color w:val="auto"/>
              </w:rPr>
            </w:pPr>
            <w:r>
              <w:rPr>
                <w:rFonts w:ascii="Arial" w:cs="Arial" w:eastAsia="Arial" w:hAnsi="Arial"/>
                <w:sz w:val="18"/>
                <w:szCs w:val="18"/>
                <w:b w:val="1"/>
                <w:bCs w:val="1"/>
                <w:color w:val="auto"/>
                <w:w w:val="84"/>
              </w:rPr>
              <w:t>Cost</w:t>
            </w: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94" w:lineRule="exact"/>
              <w:rPr>
                <w:sz w:val="20"/>
                <w:szCs w:val="20"/>
                <w:color w:val="auto"/>
              </w:rPr>
            </w:pPr>
            <w:r>
              <w:rPr>
                <w:rFonts w:ascii="Arial" w:cs="Arial" w:eastAsia="Arial" w:hAnsi="Arial"/>
                <w:sz w:val="18"/>
                <w:szCs w:val="18"/>
                <w:b w:val="1"/>
                <w:bCs w:val="1"/>
                <w:color w:val="auto"/>
                <w:w w:val="87"/>
              </w:rPr>
              <w:t>Gains</w:t>
            </w:r>
          </w:p>
        </w:tc>
        <w:tc>
          <w:tcPr>
            <w:tcW w:w="120" w:type="dxa"/>
            <w:vAlign w:val="bottom"/>
          </w:tcPr>
          <w:p>
            <w:pPr>
              <w:spacing w:after="0"/>
              <w:rPr>
                <w:sz w:val="16"/>
                <w:szCs w:val="16"/>
                <w:color w:val="auto"/>
              </w:rPr>
            </w:pPr>
          </w:p>
        </w:tc>
        <w:tc>
          <w:tcPr>
            <w:tcW w:w="1240" w:type="dxa"/>
            <w:vAlign w:val="bottom"/>
            <w:gridSpan w:val="2"/>
          </w:tcPr>
          <w:p>
            <w:pPr>
              <w:jc w:val="center"/>
              <w:ind w:right="320"/>
              <w:spacing w:after="0" w:line="194" w:lineRule="exact"/>
              <w:rPr>
                <w:sz w:val="20"/>
                <w:szCs w:val="20"/>
                <w:color w:val="auto"/>
              </w:rPr>
            </w:pPr>
            <w:r>
              <w:rPr>
                <w:rFonts w:ascii="Arial" w:cs="Arial" w:eastAsia="Arial" w:hAnsi="Arial"/>
                <w:sz w:val="18"/>
                <w:szCs w:val="18"/>
                <w:b w:val="1"/>
                <w:bCs w:val="1"/>
                <w:color w:val="auto"/>
                <w:w w:val="83"/>
              </w:rPr>
              <w:t>Losses</w:t>
            </w:r>
          </w:p>
        </w:tc>
        <w:tc>
          <w:tcPr>
            <w:tcW w:w="240" w:type="dxa"/>
            <w:vAlign w:val="bottom"/>
          </w:tcPr>
          <w:p>
            <w:pPr>
              <w:spacing w:after="0"/>
              <w:rPr>
                <w:sz w:val="16"/>
                <w:szCs w:val="16"/>
                <w:color w:val="auto"/>
              </w:rPr>
            </w:pPr>
          </w:p>
        </w:tc>
        <w:tc>
          <w:tcPr>
            <w:tcW w:w="1080" w:type="dxa"/>
            <w:vAlign w:val="bottom"/>
            <w:gridSpan w:val="2"/>
          </w:tcPr>
          <w:p>
            <w:pPr>
              <w:jc w:val="center"/>
              <w:ind w:right="360"/>
              <w:spacing w:after="0" w:line="194" w:lineRule="exact"/>
              <w:rPr>
                <w:sz w:val="20"/>
                <w:szCs w:val="20"/>
                <w:color w:val="auto"/>
              </w:rPr>
            </w:pPr>
            <w:r>
              <w:rPr>
                <w:rFonts w:ascii="Arial" w:cs="Arial" w:eastAsia="Arial" w:hAnsi="Arial"/>
                <w:sz w:val="18"/>
                <w:szCs w:val="18"/>
                <w:b w:val="1"/>
                <w:bCs w:val="1"/>
                <w:color w:val="auto"/>
                <w:w w:val="91"/>
              </w:rPr>
              <w:t>Value</w:t>
            </w:r>
          </w:p>
        </w:tc>
      </w:tr>
      <w:tr>
        <w:trPr>
          <w:trHeight w:val="28"/>
        </w:trPr>
        <w:tc>
          <w:tcPr>
            <w:tcW w:w="14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1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020" w:type="dxa"/>
            <w:vAlign w:val="bottom"/>
            <w:gridSpan w:val="3"/>
            <w:shd w:val="clear" w:color="auto" w:fill="F0FFFF"/>
          </w:tcPr>
          <w:p>
            <w:pPr>
              <w:ind w:left="340"/>
              <w:spacing w:after="0"/>
              <w:rPr>
                <w:sz w:val="20"/>
                <w:szCs w:val="20"/>
                <w:color w:val="auto"/>
              </w:rPr>
            </w:pPr>
            <w:r>
              <w:rPr>
                <w:rFonts w:ascii="Arial" w:cs="Arial" w:eastAsia="Arial" w:hAnsi="Arial"/>
                <w:sz w:val="18"/>
                <w:szCs w:val="18"/>
                <w:color w:val="auto"/>
              </w:rPr>
              <w:t>U.S. Treasury securities</w:t>
            </w:r>
          </w:p>
        </w:tc>
        <w:tc>
          <w:tcPr>
            <w:tcW w:w="156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15,579</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71</w:t>
            </w: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15,508</w:t>
            </w:r>
          </w:p>
        </w:tc>
      </w:tr>
      <w:tr>
        <w:trPr>
          <w:trHeight w:val="216"/>
        </w:trPr>
        <w:tc>
          <w:tcPr>
            <w:tcW w:w="4020" w:type="dxa"/>
            <w:vAlign w:val="bottom"/>
            <w:gridSpan w:val="3"/>
          </w:tcPr>
          <w:p>
            <w:pPr>
              <w:ind w:left="340"/>
              <w:spacing w:after="0"/>
              <w:rPr>
                <w:sz w:val="20"/>
                <w:szCs w:val="20"/>
                <w:color w:val="auto"/>
              </w:rPr>
            </w:pPr>
            <w:r>
              <w:rPr>
                <w:rFonts w:ascii="Arial" w:cs="Arial" w:eastAsia="Arial" w:hAnsi="Arial"/>
                <w:sz w:val="18"/>
                <w:szCs w:val="18"/>
                <w:color w:val="auto"/>
              </w:rPr>
              <w:t>State and political subdivisions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21,080</w:t>
            </w: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773</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21,815</w:t>
            </w:r>
          </w:p>
        </w:tc>
      </w:tr>
      <w:tr>
        <w:trPr>
          <w:trHeight w:val="216"/>
        </w:trPr>
        <w:tc>
          <w:tcPr>
            <w:tcW w:w="4020" w:type="dxa"/>
            <w:vAlign w:val="bottom"/>
            <w:gridSpan w:val="3"/>
            <w:shd w:val="clear" w:color="auto" w:fill="F0FFFF"/>
          </w:tcPr>
          <w:p>
            <w:pPr>
              <w:ind w:left="340"/>
              <w:spacing w:after="0" w:line="216" w:lineRule="exact"/>
              <w:rPr>
                <w:sz w:val="20"/>
                <w:szCs w:val="20"/>
                <w:color w:val="auto"/>
              </w:rPr>
            </w:pPr>
            <w:r>
              <w:rPr>
                <w:rFonts w:ascii="Arial" w:cs="Arial" w:eastAsia="Arial" w:hAnsi="Arial"/>
                <w:sz w:val="18"/>
                <w:szCs w:val="18"/>
                <w:color w:val="auto"/>
              </w:rPr>
              <w:t>Mortgage-backed securities</w:t>
            </w:r>
            <w:r>
              <w:rPr>
                <w:rFonts w:ascii="Arial" w:cs="Arial" w:eastAsia="Arial" w:hAnsi="Arial"/>
                <w:sz w:val="25"/>
                <w:szCs w:val="25"/>
                <w:color w:val="auto"/>
                <w:vertAlign w:val="superscript"/>
              </w:rPr>
              <w:t>(1)</w:t>
            </w:r>
          </w:p>
        </w:tc>
        <w:tc>
          <w:tcPr>
            <w:tcW w:w="14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1,068,593</w:t>
            </w: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17,470</w:t>
            </w: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8,623</w:t>
            </w: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1,077,440</w:t>
            </w:r>
          </w:p>
        </w:tc>
        <w:tc>
          <w:tcPr>
            <w:tcW w:w="120" w:type="dxa"/>
            <w:vAlign w:val="bottom"/>
            <w:shd w:val="clear" w:color="auto" w:fill="F0FFFF"/>
          </w:tcPr>
          <w:p>
            <w:pPr>
              <w:spacing w:after="0"/>
              <w:rPr>
                <w:sz w:val="18"/>
                <w:szCs w:val="18"/>
                <w:color w:val="auto"/>
              </w:rPr>
            </w:pPr>
          </w:p>
        </w:tc>
      </w:tr>
      <w:tr>
        <w:trPr>
          <w:trHeight w:val="216"/>
        </w:trPr>
        <w:tc>
          <w:tcPr>
            <w:tcW w:w="4020" w:type="dxa"/>
            <w:vAlign w:val="bottom"/>
            <w:gridSpan w:val="3"/>
          </w:tcPr>
          <w:p>
            <w:pPr>
              <w:ind w:left="340"/>
              <w:spacing w:after="0"/>
              <w:rPr>
                <w:sz w:val="20"/>
                <w:szCs w:val="20"/>
                <w:color w:val="auto"/>
              </w:rPr>
            </w:pPr>
            <w:r>
              <w:rPr>
                <w:rFonts w:ascii="Arial" w:cs="Arial" w:eastAsia="Arial" w:hAnsi="Arial"/>
                <w:sz w:val="18"/>
                <w:szCs w:val="18"/>
                <w:color w:val="auto"/>
              </w:rPr>
              <w:t>Corporate bonds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175,975</w:t>
            </w: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1,426</w:t>
            </w: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1,430</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175,971</w:t>
            </w:r>
          </w:p>
        </w:tc>
        <w:tc>
          <w:tcPr>
            <w:tcW w:w="120" w:type="dxa"/>
            <w:vAlign w:val="bottom"/>
          </w:tcPr>
          <w:p>
            <w:pPr>
              <w:spacing w:after="0"/>
              <w:rPr>
                <w:sz w:val="18"/>
                <w:szCs w:val="18"/>
                <w:color w:val="auto"/>
              </w:rPr>
            </w:pPr>
          </w:p>
        </w:tc>
      </w:tr>
      <w:tr>
        <w:trPr>
          <w:trHeight w:val="216"/>
        </w:trPr>
        <w:tc>
          <w:tcPr>
            <w:tcW w:w="4020" w:type="dxa"/>
            <w:vAlign w:val="bottom"/>
            <w:gridSpan w:val="3"/>
            <w:shd w:val="clear" w:color="auto" w:fill="F0FFFF"/>
          </w:tcPr>
          <w:p>
            <w:pPr>
              <w:ind w:left="340"/>
              <w:spacing w:after="0"/>
              <w:rPr>
                <w:sz w:val="20"/>
                <w:szCs w:val="20"/>
                <w:color w:val="auto"/>
              </w:rPr>
            </w:pPr>
            <w:r>
              <w:rPr>
                <w:rFonts w:ascii="Arial" w:cs="Arial" w:eastAsia="Arial" w:hAnsi="Arial"/>
                <w:sz w:val="18"/>
                <w:szCs w:val="18"/>
                <w:color w:val="auto"/>
              </w:rPr>
              <w:t>Asset-backed securities</w:t>
            </w:r>
          </w:p>
        </w:tc>
        <w:tc>
          <w:tcPr>
            <w:tcW w:w="14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444,910</w:t>
            </w: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3,664</w:t>
            </w: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251</w:t>
            </w: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448,323</w:t>
            </w:r>
          </w:p>
        </w:tc>
        <w:tc>
          <w:tcPr>
            <w:tcW w:w="120" w:type="dxa"/>
            <w:vAlign w:val="bottom"/>
            <w:shd w:val="clear" w:color="auto" w:fill="F0FFFF"/>
          </w:tcPr>
          <w:p>
            <w:pPr>
              <w:spacing w:after="0"/>
              <w:rPr>
                <w:sz w:val="18"/>
                <w:szCs w:val="18"/>
                <w:color w:val="auto"/>
              </w:rPr>
            </w:pPr>
          </w:p>
        </w:tc>
      </w:tr>
      <w:tr>
        <w:trPr>
          <w:trHeight w:val="223"/>
        </w:trPr>
        <w:tc>
          <w:tcPr>
            <w:tcW w:w="4020" w:type="dxa"/>
            <w:vAlign w:val="bottom"/>
            <w:gridSpan w:val="3"/>
          </w:tcPr>
          <w:p>
            <w:pPr>
              <w:ind w:left="340"/>
              <w:spacing w:after="0"/>
              <w:rPr>
                <w:sz w:val="20"/>
                <w:szCs w:val="20"/>
                <w:color w:val="auto"/>
              </w:rPr>
            </w:pPr>
            <w:r>
              <w:rPr>
                <w:rFonts w:ascii="Arial" w:cs="Arial" w:eastAsia="Arial" w:hAnsi="Arial"/>
                <w:sz w:val="18"/>
                <w:szCs w:val="18"/>
                <w:color w:val="auto"/>
              </w:rPr>
              <w:t>Other</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2,211</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2,211</w:t>
            </w:r>
          </w:p>
        </w:tc>
      </w:tr>
      <w:tr>
        <w:trPr>
          <w:trHeight w:val="216"/>
        </w:trPr>
        <w:tc>
          <w:tcPr>
            <w:tcW w:w="146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2160" w:type="dxa"/>
            <w:vAlign w:val="bottom"/>
            <w:shd w:val="clear" w:color="auto" w:fill="F0FFFF"/>
          </w:tcPr>
          <w:p>
            <w:pPr>
              <w:spacing w:after="0"/>
              <w:rPr>
                <w:sz w:val="18"/>
                <w:szCs w:val="18"/>
                <w:color w:val="auto"/>
              </w:rPr>
            </w:pPr>
          </w:p>
        </w:tc>
        <w:tc>
          <w:tcPr>
            <w:tcW w:w="144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r>
      <w:tr>
        <w:trPr>
          <w:trHeight w:val="216"/>
        </w:trPr>
        <w:tc>
          <w:tcPr>
            <w:tcW w:w="4020" w:type="dxa"/>
            <w:vAlign w:val="bottom"/>
            <w:gridSpan w:val="3"/>
          </w:tcPr>
          <w:p>
            <w:pPr>
              <w:ind w:left="500"/>
              <w:spacing w:after="0"/>
              <w:rPr>
                <w:sz w:val="20"/>
                <w:szCs w:val="20"/>
                <w:color w:val="auto"/>
              </w:rPr>
            </w:pPr>
            <w:r>
              <w:rPr>
                <w:rFonts w:ascii="Arial" w:cs="Arial" w:eastAsia="Arial" w:hAnsi="Arial"/>
                <w:sz w:val="18"/>
                <w:szCs w:val="18"/>
                <w:color w:val="auto"/>
              </w:rPr>
              <w:t>Total</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1,728,348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23,333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10,413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1,741,268</w:t>
            </w:r>
          </w:p>
        </w:tc>
        <w:tc>
          <w:tcPr>
            <w:tcW w:w="120" w:type="dxa"/>
            <w:vAlign w:val="bottom"/>
          </w:tcPr>
          <w:p>
            <w:pPr>
              <w:spacing w:after="0"/>
              <w:rPr>
                <w:sz w:val="18"/>
                <w:szCs w:val="18"/>
                <w:color w:val="auto"/>
              </w:rPr>
            </w:pPr>
          </w:p>
        </w:tc>
      </w:tr>
      <w:tr>
        <w:trPr>
          <w:trHeight w:val="21"/>
        </w:trPr>
        <w:tc>
          <w:tcPr>
            <w:tcW w:w="1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146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2160" w:type="dxa"/>
            <w:vAlign w:val="bottom"/>
            <w:shd w:val="clear" w:color="auto" w:fill="F0FFFF"/>
          </w:tcPr>
          <w:p>
            <w:pPr>
              <w:spacing w:after="0"/>
              <w:rPr>
                <w:sz w:val="18"/>
                <w:szCs w:val="18"/>
                <w:color w:val="auto"/>
              </w:rPr>
            </w:pPr>
          </w:p>
        </w:tc>
        <w:tc>
          <w:tcPr>
            <w:tcW w:w="14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r>
      <w:tr>
        <w:trPr>
          <w:trHeight w:val="176"/>
        </w:trPr>
        <w:tc>
          <w:tcPr>
            <w:tcW w:w="4020" w:type="dxa"/>
            <w:vAlign w:val="bottom"/>
            <w:gridSpan w:val="3"/>
          </w:tcPr>
          <w:p>
            <w:pPr>
              <w:spacing w:after="0" w:line="176" w:lineRule="exact"/>
              <w:rPr>
                <w:sz w:val="20"/>
                <w:szCs w:val="20"/>
                <w:color w:val="auto"/>
              </w:rPr>
            </w:pPr>
            <w:r>
              <w:rPr>
                <w:rFonts w:ascii="Arial" w:cs="Arial" w:eastAsia="Arial" w:hAnsi="Arial"/>
                <w:sz w:val="18"/>
                <w:szCs w:val="18"/>
                <w:color w:val="auto"/>
              </w:rPr>
              <w:t>As of December 31, 2013</w:t>
            </w: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
        </w:trPr>
        <w:tc>
          <w:tcPr>
            <w:tcW w:w="146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146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2160" w:type="dxa"/>
            <w:vAlign w:val="bottom"/>
            <w:shd w:val="clear" w:color="auto" w:fill="F0FFFF"/>
          </w:tcPr>
          <w:p>
            <w:pPr>
              <w:spacing w:after="0"/>
              <w:rPr>
                <w:sz w:val="18"/>
                <w:szCs w:val="18"/>
                <w:color w:val="auto"/>
              </w:rPr>
            </w:pPr>
          </w:p>
        </w:tc>
        <w:tc>
          <w:tcPr>
            <w:tcW w:w="14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r>
      <w:tr>
        <w:trPr>
          <w:trHeight w:val="216"/>
        </w:trPr>
        <w:tc>
          <w:tcPr>
            <w:tcW w:w="4020" w:type="dxa"/>
            <w:vAlign w:val="bottom"/>
            <w:gridSpan w:val="3"/>
          </w:tcPr>
          <w:p>
            <w:pPr>
              <w:ind w:left="340"/>
              <w:spacing w:after="0"/>
              <w:rPr>
                <w:sz w:val="20"/>
                <w:szCs w:val="20"/>
                <w:color w:val="auto"/>
              </w:rPr>
            </w:pPr>
            <w:r>
              <w:rPr>
                <w:rFonts w:ascii="Arial" w:cs="Arial" w:eastAsia="Arial" w:hAnsi="Arial"/>
                <w:sz w:val="18"/>
                <w:szCs w:val="18"/>
                <w:color w:val="auto"/>
              </w:rPr>
              <w:t>State and political subdivisions</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22,558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823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139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23,242</w:t>
            </w:r>
          </w:p>
        </w:tc>
      </w:tr>
      <w:tr>
        <w:trPr>
          <w:trHeight w:val="216"/>
        </w:trPr>
        <w:tc>
          <w:tcPr>
            <w:tcW w:w="4020" w:type="dxa"/>
            <w:vAlign w:val="bottom"/>
            <w:gridSpan w:val="3"/>
            <w:shd w:val="clear" w:color="auto" w:fill="F0FFFF"/>
          </w:tcPr>
          <w:p>
            <w:pPr>
              <w:ind w:left="340"/>
              <w:spacing w:after="0" w:line="216" w:lineRule="exact"/>
              <w:rPr>
                <w:sz w:val="20"/>
                <w:szCs w:val="20"/>
                <w:color w:val="auto"/>
              </w:rPr>
            </w:pPr>
            <w:r>
              <w:rPr>
                <w:rFonts w:ascii="Arial" w:cs="Arial" w:eastAsia="Arial" w:hAnsi="Arial"/>
                <w:sz w:val="18"/>
                <w:szCs w:val="18"/>
                <w:color w:val="auto"/>
              </w:rPr>
              <w:t>Mortgage-backed securities</w:t>
            </w:r>
            <w:r>
              <w:rPr>
                <w:rFonts w:ascii="Arial" w:cs="Arial" w:eastAsia="Arial" w:hAnsi="Arial"/>
                <w:sz w:val="25"/>
                <w:szCs w:val="25"/>
                <w:color w:val="auto"/>
                <w:vertAlign w:val="superscript"/>
              </w:rPr>
              <w:t>(1)</w:t>
            </w:r>
          </w:p>
        </w:tc>
        <w:tc>
          <w:tcPr>
            <w:tcW w:w="14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1,145,800</w:t>
            </w: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13,296</w:t>
            </w: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13,749</w:t>
            </w: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1,145,347</w:t>
            </w:r>
          </w:p>
        </w:tc>
        <w:tc>
          <w:tcPr>
            <w:tcW w:w="120" w:type="dxa"/>
            <w:vAlign w:val="bottom"/>
            <w:shd w:val="clear" w:color="auto" w:fill="F0FFFF"/>
          </w:tcPr>
          <w:p>
            <w:pPr>
              <w:spacing w:after="0"/>
              <w:rPr>
                <w:sz w:val="18"/>
                <w:szCs w:val="18"/>
                <w:color w:val="auto"/>
              </w:rPr>
            </w:pPr>
          </w:p>
        </w:tc>
      </w:tr>
      <w:tr>
        <w:trPr>
          <w:trHeight w:val="216"/>
        </w:trPr>
        <w:tc>
          <w:tcPr>
            <w:tcW w:w="4020" w:type="dxa"/>
            <w:vAlign w:val="bottom"/>
            <w:gridSpan w:val="3"/>
          </w:tcPr>
          <w:p>
            <w:pPr>
              <w:ind w:left="340"/>
              <w:spacing w:after="0"/>
              <w:rPr>
                <w:sz w:val="20"/>
                <w:szCs w:val="20"/>
                <w:color w:val="auto"/>
              </w:rPr>
            </w:pPr>
            <w:r>
              <w:rPr>
                <w:rFonts w:ascii="Arial" w:cs="Arial" w:eastAsia="Arial" w:hAnsi="Arial"/>
                <w:sz w:val="18"/>
                <w:szCs w:val="18"/>
                <w:color w:val="auto"/>
              </w:rPr>
              <w:t>Corporate bonds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255,316</w:t>
            </w: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1,304</w:t>
            </w: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6,324</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250,296</w:t>
            </w:r>
          </w:p>
        </w:tc>
        <w:tc>
          <w:tcPr>
            <w:tcW w:w="120" w:type="dxa"/>
            <w:vAlign w:val="bottom"/>
          </w:tcPr>
          <w:p>
            <w:pPr>
              <w:spacing w:after="0"/>
              <w:rPr>
                <w:sz w:val="18"/>
                <w:szCs w:val="18"/>
                <w:color w:val="auto"/>
              </w:rPr>
            </w:pPr>
          </w:p>
        </w:tc>
      </w:tr>
      <w:tr>
        <w:trPr>
          <w:trHeight w:val="216"/>
        </w:trPr>
        <w:tc>
          <w:tcPr>
            <w:tcW w:w="4020" w:type="dxa"/>
            <w:vAlign w:val="bottom"/>
            <w:gridSpan w:val="3"/>
            <w:shd w:val="clear" w:color="auto" w:fill="F0FFFF"/>
          </w:tcPr>
          <w:p>
            <w:pPr>
              <w:ind w:left="340"/>
              <w:spacing w:after="0"/>
              <w:rPr>
                <w:sz w:val="20"/>
                <w:szCs w:val="20"/>
                <w:color w:val="auto"/>
              </w:rPr>
            </w:pPr>
            <w:r>
              <w:rPr>
                <w:rFonts w:ascii="Arial" w:cs="Arial" w:eastAsia="Arial" w:hAnsi="Arial"/>
                <w:sz w:val="18"/>
                <w:szCs w:val="18"/>
                <w:color w:val="auto"/>
              </w:rPr>
              <w:t>Asset-backed securities</w:t>
            </w:r>
          </w:p>
        </w:tc>
        <w:tc>
          <w:tcPr>
            <w:tcW w:w="14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409,086</w:t>
            </w: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2,535</w:t>
            </w: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988</w:t>
            </w: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410,633</w:t>
            </w:r>
          </w:p>
        </w:tc>
        <w:tc>
          <w:tcPr>
            <w:tcW w:w="120" w:type="dxa"/>
            <w:vAlign w:val="bottom"/>
            <w:shd w:val="clear" w:color="auto" w:fill="F0FFFF"/>
          </w:tcPr>
          <w:p>
            <w:pPr>
              <w:spacing w:after="0"/>
              <w:rPr>
                <w:sz w:val="18"/>
                <w:szCs w:val="18"/>
                <w:color w:val="auto"/>
              </w:rPr>
            </w:pPr>
          </w:p>
        </w:tc>
      </w:tr>
      <w:tr>
        <w:trPr>
          <w:trHeight w:val="223"/>
        </w:trPr>
        <w:tc>
          <w:tcPr>
            <w:tcW w:w="4020" w:type="dxa"/>
            <w:vAlign w:val="bottom"/>
            <w:gridSpan w:val="3"/>
          </w:tcPr>
          <w:p>
            <w:pPr>
              <w:ind w:left="340"/>
              <w:spacing w:after="0"/>
              <w:rPr>
                <w:sz w:val="20"/>
                <w:szCs w:val="20"/>
                <w:color w:val="auto"/>
              </w:rPr>
            </w:pPr>
            <w:r>
              <w:rPr>
                <w:rFonts w:ascii="Arial" w:cs="Arial" w:eastAsia="Arial" w:hAnsi="Arial"/>
                <w:sz w:val="18"/>
                <w:szCs w:val="18"/>
                <w:color w:val="auto"/>
              </w:rPr>
              <w:t>Other</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2,699</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2,699</w:t>
            </w:r>
          </w:p>
        </w:tc>
        <w:tc>
          <w:tcPr>
            <w:tcW w:w="120" w:type="dxa"/>
            <w:vAlign w:val="bottom"/>
          </w:tcPr>
          <w:p>
            <w:pPr>
              <w:spacing w:after="0"/>
              <w:rPr>
                <w:sz w:val="19"/>
                <w:szCs w:val="19"/>
                <w:color w:val="auto"/>
              </w:rPr>
            </w:pPr>
          </w:p>
        </w:tc>
      </w:tr>
      <w:tr>
        <w:trPr>
          <w:trHeight w:val="216"/>
        </w:trPr>
        <w:tc>
          <w:tcPr>
            <w:tcW w:w="146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2160" w:type="dxa"/>
            <w:vAlign w:val="bottom"/>
            <w:shd w:val="clear" w:color="auto" w:fill="F0FFFF"/>
          </w:tcPr>
          <w:p>
            <w:pPr>
              <w:spacing w:after="0"/>
              <w:rPr>
                <w:sz w:val="18"/>
                <w:szCs w:val="18"/>
                <w:color w:val="auto"/>
              </w:rPr>
            </w:pPr>
          </w:p>
        </w:tc>
        <w:tc>
          <w:tcPr>
            <w:tcW w:w="144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r>
      <w:tr>
        <w:trPr>
          <w:trHeight w:val="216"/>
        </w:trPr>
        <w:tc>
          <w:tcPr>
            <w:tcW w:w="4020" w:type="dxa"/>
            <w:vAlign w:val="bottom"/>
            <w:gridSpan w:val="3"/>
          </w:tcPr>
          <w:p>
            <w:pPr>
              <w:ind w:left="500"/>
              <w:spacing w:after="0"/>
              <w:rPr>
                <w:sz w:val="20"/>
                <w:szCs w:val="20"/>
                <w:color w:val="auto"/>
              </w:rPr>
            </w:pPr>
            <w:r>
              <w:rPr>
                <w:rFonts w:ascii="Arial" w:cs="Arial" w:eastAsia="Arial" w:hAnsi="Arial"/>
                <w:sz w:val="18"/>
                <w:szCs w:val="18"/>
                <w:color w:val="auto"/>
              </w:rPr>
              <w:t>Total</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1,835,459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17,958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21,200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1,832,217</w:t>
            </w:r>
          </w:p>
        </w:tc>
        <w:tc>
          <w:tcPr>
            <w:tcW w:w="120" w:type="dxa"/>
            <w:vAlign w:val="bottom"/>
          </w:tcPr>
          <w:p>
            <w:pPr>
              <w:spacing w:after="0"/>
              <w:rPr>
                <w:sz w:val="18"/>
                <w:szCs w:val="18"/>
                <w:color w:val="auto"/>
              </w:rPr>
            </w:pPr>
          </w:p>
        </w:tc>
      </w:tr>
      <w:tr>
        <w:trPr>
          <w:trHeight w:val="21"/>
        </w:trPr>
        <w:tc>
          <w:tcPr>
            <w:tcW w:w="1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146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2160" w:type="dxa"/>
            <w:vAlign w:val="bottom"/>
            <w:shd w:val="clear" w:color="auto" w:fill="F0FFFF"/>
          </w:tcPr>
          <w:p>
            <w:pPr>
              <w:spacing w:after="0"/>
              <w:rPr>
                <w:sz w:val="18"/>
                <w:szCs w:val="18"/>
                <w:color w:val="auto"/>
              </w:rPr>
            </w:pPr>
          </w:p>
        </w:tc>
        <w:tc>
          <w:tcPr>
            <w:tcW w:w="14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r>
      <w:tr>
        <w:trPr>
          <w:trHeight w:val="176"/>
        </w:trPr>
        <w:tc>
          <w:tcPr>
            <w:tcW w:w="4020" w:type="dxa"/>
            <w:vAlign w:val="bottom"/>
            <w:gridSpan w:val="3"/>
          </w:tcPr>
          <w:p>
            <w:pPr>
              <w:spacing w:after="0" w:line="176" w:lineRule="exact"/>
              <w:rPr>
                <w:sz w:val="20"/>
                <w:szCs w:val="20"/>
                <w:color w:val="auto"/>
              </w:rPr>
            </w:pPr>
            <w:r>
              <w:rPr>
                <w:rFonts w:ascii="Arial" w:cs="Arial" w:eastAsia="Arial" w:hAnsi="Arial"/>
                <w:sz w:val="18"/>
                <w:szCs w:val="18"/>
                <w:color w:val="auto"/>
              </w:rPr>
              <w:t>As of June 30, 2013</w:t>
            </w: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
        </w:trPr>
        <w:tc>
          <w:tcPr>
            <w:tcW w:w="146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146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2160" w:type="dxa"/>
            <w:vAlign w:val="bottom"/>
            <w:shd w:val="clear" w:color="auto" w:fill="F0FFFF"/>
          </w:tcPr>
          <w:p>
            <w:pPr>
              <w:spacing w:after="0"/>
              <w:rPr>
                <w:sz w:val="18"/>
                <w:szCs w:val="18"/>
                <w:color w:val="auto"/>
              </w:rPr>
            </w:pPr>
          </w:p>
        </w:tc>
        <w:tc>
          <w:tcPr>
            <w:tcW w:w="14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r>
      <w:tr>
        <w:trPr>
          <w:trHeight w:val="216"/>
        </w:trPr>
        <w:tc>
          <w:tcPr>
            <w:tcW w:w="4020" w:type="dxa"/>
            <w:vAlign w:val="bottom"/>
            <w:gridSpan w:val="3"/>
          </w:tcPr>
          <w:p>
            <w:pPr>
              <w:ind w:left="340"/>
              <w:spacing w:after="0"/>
              <w:rPr>
                <w:sz w:val="20"/>
                <w:szCs w:val="20"/>
                <w:color w:val="auto"/>
              </w:rPr>
            </w:pPr>
            <w:r>
              <w:rPr>
                <w:rFonts w:ascii="Arial" w:cs="Arial" w:eastAsia="Arial" w:hAnsi="Arial"/>
                <w:sz w:val="18"/>
                <w:szCs w:val="18"/>
                <w:color w:val="auto"/>
              </w:rPr>
              <w:t>State and political subdivisions</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22,369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1,112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23,440</w:t>
            </w:r>
          </w:p>
        </w:tc>
      </w:tr>
      <w:tr>
        <w:trPr>
          <w:trHeight w:val="216"/>
        </w:trPr>
        <w:tc>
          <w:tcPr>
            <w:tcW w:w="4020" w:type="dxa"/>
            <w:vAlign w:val="bottom"/>
            <w:gridSpan w:val="3"/>
            <w:shd w:val="clear" w:color="auto" w:fill="F0FFFF"/>
          </w:tcPr>
          <w:p>
            <w:pPr>
              <w:ind w:left="340"/>
              <w:spacing w:after="0" w:line="216" w:lineRule="exact"/>
              <w:rPr>
                <w:sz w:val="20"/>
                <w:szCs w:val="20"/>
                <w:color w:val="auto"/>
              </w:rPr>
            </w:pPr>
            <w:r>
              <w:rPr>
                <w:rFonts w:ascii="Arial" w:cs="Arial" w:eastAsia="Arial" w:hAnsi="Arial"/>
                <w:sz w:val="18"/>
                <w:szCs w:val="18"/>
                <w:color w:val="auto"/>
              </w:rPr>
              <w:t>Mortgage-backed securities</w:t>
            </w:r>
            <w:r>
              <w:rPr>
                <w:rFonts w:ascii="Arial" w:cs="Arial" w:eastAsia="Arial" w:hAnsi="Arial"/>
                <w:sz w:val="25"/>
                <w:szCs w:val="25"/>
                <w:color w:val="auto"/>
                <w:vertAlign w:val="superscript"/>
              </w:rPr>
              <w:t>(1)</w:t>
            </w:r>
          </w:p>
        </w:tc>
        <w:tc>
          <w:tcPr>
            <w:tcW w:w="14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1,410,189</w:t>
            </w: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15,935</w:t>
            </w: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13,538</w:t>
            </w: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1,412,586</w:t>
            </w:r>
          </w:p>
        </w:tc>
        <w:tc>
          <w:tcPr>
            <w:tcW w:w="120" w:type="dxa"/>
            <w:vAlign w:val="bottom"/>
            <w:shd w:val="clear" w:color="auto" w:fill="F0FFFF"/>
          </w:tcPr>
          <w:p>
            <w:pPr>
              <w:spacing w:after="0"/>
              <w:rPr>
                <w:sz w:val="18"/>
                <w:szCs w:val="18"/>
                <w:color w:val="auto"/>
              </w:rPr>
            </w:pPr>
          </w:p>
        </w:tc>
      </w:tr>
      <w:tr>
        <w:trPr>
          <w:trHeight w:val="216"/>
        </w:trPr>
        <w:tc>
          <w:tcPr>
            <w:tcW w:w="4020" w:type="dxa"/>
            <w:vAlign w:val="bottom"/>
            <w:gridSpan w:val="3"/>
          </w:tcPr>
          <w:p>
            <w:pPr>
              <w:ind w:left="340"/>
              <w:spacing w:after="0"/>
              <w:rPr>
                <w:sz w:val="20"/>
                <w:szCs w:val="20"/>
                <w:color w:val="auto"/>
              </w:rPr>
            </w:pPr>
            <w:r>
              <w:rPr>
                <w:rFonts w:ascii="Arial" w:cs="Arial" w:eastAsia="Arial" w:hAnsi="Arial"/>
                <w:sz w:val="18"/>
                <w:szCs w:val="18"/>
                <w:color w:val="auto"/>
              </w:rPr>
              <w:t>Corporate bonds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260,464</w:t>
            </w: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1,585</w:t>
            </w:r>
          </w:p>
        </w:tc>
        <w:tc>
          <w:tcPr>
            <w:tcW w:w="12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8,181</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253,868</w:t>
            </w:r>
          </w:p>
        </w:tc>
        <w:tc>
          <w:tcPr>
            <w:tcW w:w="120" w:type="dxa"/>
            <w:vAlign w:val="bottom"/>
          </w:tcPr>
          <w:p>
            <w:pPr>
              <w:spacing w:after="0"/>
              <w:rPr>
                <w:sz w:val="18"/>
                <w:szCs w:val="18"/>
                <w:color w:val="auto"/>
              </w:rPr>
            </w:pPr>
          </w:p>
        </w:tc>
      </w:tr>
      <w:tr>
        <w:trPr>
          <w:trHeight w:val="216"/>
        </w:trPr>
        <w:tc>
          <w:tcPr>
            <w:tcW w:w="4020" w:type="dxa"/>
            <w:vAlign w:val="bottom"/>
            <w:gridSpan w:val="3"/>
            <w:shd w:val="clear" w:color="auto" w:fill="F0FFFF"/>
          </w:tcPr>
          <w:p>
            <w:pPr>
              <w:ind w:left="340"/>
              <w:spacing w:after="0"/>
              <w:rPr>
                <w:sz w:val="20"/>
                <w:szCs w:val="20"/>
                <w:color w:val="auto"/>
              </w:rPr>
            </w:pPr>
            <w:r>
              <w:rPr>
                <w:rFonts w:ascii="Arial" w:cs="Arial" w:eastAsia="Arial" w:hAnsi="Arial"/>
                <w:sz w:val="18"/>
                <w:szCs w:val="18"/>
                <w:color w:val="auto"/>
              </w:rPr>
              <w:t>Asset-backed securities</w:t>
            </w:r>
          </w:p>
        </w:tc>
        <w:tc>
          <w:tcPr>
            <w:tcW w:w="14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242,690</w:t>
            </w: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2,645</w:t>
            </w:r>
          </w:p>
        </w:tc>
        <w:tc>
          <w:tcPr>
            <w:tcW w:w="12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491</w:t>
            </w:r>
          </w:p>
        </w:tc>
        <w:tc>
          <w:tcPr>
            <w:tcW w:w="24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244,844</w:t>
            </w:r>
          </w:p>
        </w:tc>
        <w:tc>
          <w:tcPr>
            <w:tcW w:w="120" w:type="dxa"/>
            <w:vAlign w:val="bottom"/>
            <w:shd w:val="clear" w:color="auto" w:fill="F0FFFF"/>
          </w:tcPr>
          <w:p>
            <w:pPr>
              <w:spacing w:after="0"/>
              <w:rPr>
                <w:sz w:val="18"/>
                <w:szCs w:val="18"/>
                <w:color w:val="auto"/>
              </w:rPr>
            </w:pPr>
          </w:p>
        </w:tc>
      </w:tr>
      <w:tr>
        <w:trPr>
          <w:trHeight w:val="223"/>
        </w:trPr>
        <w:tc>
          <w:tcPr>
            <w:tcW w:w="4020" w:type="dxa"/>
            <w:vAlign w:val="bottom"/>
            <w:gridSpan w:val="3"/>
          </w:tcPr>
          <w:p>
            <w:pPr>
              <w:ind w:left="340"/>
              <w:spacing w:after="0"/>
              <w:rPr>
                <w:sz w:val="20"/>
                <w:szCs w:val="20"/>
                <w:color w:val="auto"/>
              </w:rPr>
            </w:pPr>
            <w:r>
              <w:rPr>
                <w:rFonts w:ascii="Arial" w:cs="Arial" w:eastAsia="Arial" w:hAnsi="Arial"/>
                <w:sz w:val="18"/>
                <w:szCs w:val="18"/>
                <w:color w:val="auto"/>
              </w:rPr>
              <w:t>Other</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2,526</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2,526</w:t>
            </w:r>
          </w:p>
        </w:tc>
        <w:tc>
          <w:tcPr>
            <w:tcW w:w="120" w:type="dxa"/>
            <w:vAlign w:val="bottom"/>
          </w:tcPr>
          <w:p>
            <w:pPr>
              <w:spacing w:after="0"/>
              <w:rPr>
                <w:sz w:val="19"/>
                <w:szCs w:val="19"/>
                <w:color w:val="auto"/>
              </w:rPr>
            </w:pPr>
          </w:p>
        </w:tc>
      </w:tr>
      <w:tr>
        <w:trPr>
          <w:trHeight w:val="216"/>
        </w:trPr>
        <w:tc>
          <w:tcPr>
            <w:tcW w:w="146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2160" w:type="dxa"/>
            <w:vAlign w:val="bottom"/>
            <w:shd w:val="clear" w:color="auto" w:fill="F0FFFF"/>
          </w:tcPr>
          <w:p>
            <w:pPr>
              <w:spacing w:after="0"/>
              <w:rPr>
                <w:sz w:val="18"/>
                <w:szCs w:val="18"/>
                <w:color w:val="auto"/>
              </w:rPr>
            </w:pPr>
          </w:p>
        </w:tc>
        <w:tc>
          <w:tcPr>
            <w:tcW w:w="144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r>
      <w:tr>
        <w:trPr>
          <w:trHeight w:val="230"/>
        </w:trPr>
        <w:tc>
          <w:tcPr>
            <w:tcW w:w="4020" w:type="dxa"/>
            <w:vAlign w:val="bottom"/>
            <w:gridSpan w:val="3"/>
          </w:tcPr>
          <w:p>
            <w:pPr>
              <w:ind w:left="500"/>
              <w:spacing w:after="0"/>
              <w:rPr>
                <w:sz w:val="20"/>
                <w:szCs w:val="20"/>
                <w:color w:val="auto"/>
              </w:rPr>
            </w:pPr>
            <w:r>
              <w:rPr>
                <w:rFonts w:ascii="Arial" w:cs="Arial" w:eastAsia="Arial" w:hAnsi="Arial"/>
                <w:sz w:val="18"/>
                <w:szCs w:val="18"/>
                <w:color w:val="auto"/>
              </w:rPr>
              <w:t>Total</w:t>
            </w:r>
          </w:p>
        </w:tc>
        <w:tc>
          <w:tcPr>
            <w:tcW w:w="15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rPr>
              <w:t>1,938,238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21,277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22,251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1,937,264</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4695825</wp:posOffset>
            </wp:positionH>
            <wp:positionV relativeFrom="paragraph">
              <wp:posOffset>-8255</wp:posOffset>
            </wp:positionV>
            <wp:extent cx="24784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ind w:left="840" w:hanging="184"/>
        <w:spacing w:after="0"/>
        <w:tabs>
          <w:tab w:leader="none" w:pos="840" w:val="left"/>
        </w:tabs>
        <w:numPr>
          <w:ilvl w:val="0"/>
          <w:numId w:val="2"/>
        </w:numPr>
        <w:rPr>
          <w:rFonts w:ascii="Arial" w:cs="Arial" w:eastAsia="Arial" w:hAnsi="Arial"/>
          <w:sz w:val="22"/>
          <w:szCs w:val="22"/>
          <w:color w:val="auto"/>
          <w:vertAlign w:val="superscript"/>
        </w:rPr>
      </w:pPr>
      <w:r>
        <w:rPr>
          <w:rFonts w:ascii="Arial" w:cs="Arial" w:eastAsia="Arial" w:hAnsi="Arial"/>
          <w:sz w:val="16"/>
          <w:szCs w:val="16"/>
          <w:color w:val="auto"/>
        </w:rPr>
        <w:t>All are residential type mortgage-backed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-145415</wp:posOffset>
            </wp:positionV>
            <wp:extent cx="33362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0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The following table summarizes available-for-sale securities in an unrealized loss position as of June 30, 2014, December 31, 2013 and June 30, 2013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60" w:type="dxa"/>
            <w:vAlign w:val="bottom"/>
            <w:gridSpan w:val="6"/>
          </w:tcPr>
          <w:p>
            <w:pPr>
              <w:ind w:left="36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20"/>
                <w:szCs w:val="20"/>
                <w:color w:val="auto"/>
              </w:rPr>
            </w:pPr>
          </w:p>
        </w:tc>
        <w:tc>
          <w:tcPr>
            <w:tcW w:w="2560" w:type="dxa"/>
            <w:vAlign w:val="bottom"/>
            <w:gridSpan w:val="6"/>
          </w:tcPr>
          <w:p>
            <w:pPr>
              <w:ind w:left="360"/>
              <w:spacing w:after="0"/>
              <w:rPr>
                <w:sz w:val="20"/>
                <w:szCs w:val="20"/>
                <w:color w:val="auto"/>
              </w:rPr>
            </w:pPr>
            <w:r>
              <w:rPr>
                <w:rFonts w:ascii="Arial" w:cs="Arial" w:eastAsia="Arial" w:hAnsi="Arial"/>
                <w:sz w:val="18"/>
                <w:szCs w:val="18"/>
                <w:b w:val="1"/>
                <w:bCs w:val="1"/>
                <w:color w:val="auto"/>
              </w:rPr>
              <w:t>12 Months or More</w:t>
            </w:r>
          </w:p>
        </w:tc>
        <w:tc>
          <w:tcPr>
            <w:tcW w:w="140" w:type="dxa"/>
            <w:vAlign w:val="bottom"/>
          </w:tcPr>
          <w:p>
            <w:pPr>
              <w:spacing w:after="0"/>
              <w:rPr>
                <w:sz w:val="20"/>
                <w:szCs w:val="20"/>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Total</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w w:val="92"/>
              </w:rPr>
              <w:t>Unrealized</w:t>
            </w:r>
          </w:p>
        </w:tc>
        <w:tc>
          <w:tcPr>
            <w:tcW w:w="0" w:type="dxa"/>
            <w:vAlign w:val="bottom"/>
          </w:tcPr>
          <w:p>
            <w:pPr>
              <w:spacing w:after="0"/>
              <w:rPr>
                <w:sz w:val="1"/>
                <w:szCs w:val="1"/>
                <w:color w:val="auto"/>
              </w:rPr>
            </w:pPr>
          </w:p>
        </w:tc>
      </w:tr>
      <w:tr>
        <w:trPr>
          <w:trHeight w:val="194"/>
        </w:trPr>
        <w:tc>
          <w:tcPr>
            <w:tcW w:w="3340" w:type="dxa"/>
            <w:vAlign w:val="bottom"/>
            <w:gridSpan w:val="4"/>
          </w:tcPr>
          <w:p>
            <w:pPr>
              <w:spacing w:after="0" w:line="194" w:lineRule="exact"/>
              <w:rPr>
                <w:sz w:val="20"/>
                <w:szCs w:val="20"/>
                <w:color w:val="auto"/>
              </w:rPr>
            </w:pPr>
            <w:r>
              <w:rPr>
                <w:rFonts w:ascii="Arial" w:cs="Arial" w:eastAsia="Arial" w:hAnsi="Arial"/>
                <w:sz w:val="18"/>
                <w:szCs w:val="18"/>
                <w:color w:val="auto"/>
              </w:rPr>
              <w:t>As of June 30, 2014</w:t>
            </w:r>
          </w:p>
        </w:tc>
        <w:tc>
          <w:tcPr>
            <w:tcW w:w="120" w:type="dxa"/>
            <w:vAlign w:val="bottom"/>
          </w:tcPr>
          <w:p>
            <w:pPr>
              <w:spacing w:after="0"/>
              <w:rPr>
                <w:sz w:val="16"/>
                <w:szCs w:val="16"/>
                <w:color w:val="auto"/>
              </w:rPr>
            </w:pPr>
          </w:p>
        </w:tc>
        <w:tc>
          <w:tcPr>
            <w:tcW w:w="116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40"/>
              <w:spacing w:after="0" w:line="194" w:lineRule="exact"/>
              <w:rPr>
                <w:sz w:val="20"/>
                <w:szCs w:val="20"/>
                <w:color w:val="auto"/>
              </w:rPr>
            </w:pPr>
            <w:r>
              <w:rPr>
                <w:rFonts w:ascii="Arial" w:cs="Arial" w:eastAsia="Arial" w:hAnsi="Arial"/>
                <w:sz w:val="18"/>
                <w:szCs w:val="18"/>
                <w:b w:val="1"/>
                <w:bCs w:val="1"/>
                <w:color w:val="auto"/>
                <w:w w:val="85"/>
              </w:rPr>
              <w:t>Loss</w:t>
            </w:r>
          </w:p>
        </w:tc>
        <w:tc>
          <w:tcPr>
            <w:tcW w:w="140" w:type="dxa"/>
            <w:vAlign w:val="bottom"/>
          </w:tcPr>
          <w:p>
            <w:pPr>
              <w:spacing w:after="0"/>
              <w:rPr>
                <w:sz w:val="16"/>
                <w:szCs w:val="16"/>
                <w:color w:val="auto"/>
              </w:rPr>
            </w:pPr>
          </w:p>
        </w:tc>
        <w:tc>
          <w:tcPr>
            <w:tcW w:w="1100" w:type="dxa"/>
            <w:vAlign w:val="bottom"/>
            <w:gridSpan w:val="2"/>
          </w:tcPr>
          <w:p>
            <w:pPr>
              <w:jc w:val="right"/>
              <w:ind w:right="260"/>
              <w:spacing w:after="0" w:line="194" w:lineRule="exact"/>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94" w:lineRule="exact"/>
              <w:rPr>
                <w:sz w:val="20"/>
                <w:szCs w:val="20"/>
                <w:color w:val="auto"/>
              </w:rPr>
            </w:pPr>
            <w:r>
              <w:rPr>
                <w:rFonts w:ascii="Arial" w:cs="Arial" w:eastAsia="Arial" w:hAnsi="Arial"/>
                <w:sz w:val="18"/>
                <w:szCs w:val="18"/>
                <w:b w:val="1"/>
                <w:bCs w:val="1"/>
                <w:color w:val="auto"/>
                <w:w w:val="85"/>
              </w:rPr>
              <w:t>Loss</w:t>
            </w:r>
          </w:p>
        </w:tc>
        <w:tc>
          <w:tcPr>
            <w:tcW w:w="140" w:type="dxa"/>
            <w:vAlign w:val="bottom"/>
          </w:tcPr>
          <w:p>
            <w:pPr>
              <w:spacing w:after="0"/>
              <w:rPr>
                <w:sz w:val="16"/>
                <w:szCs w:val="16"/>
                <w:color w:val="auto"/>
              </w:rPr>
            </w:pPr>
          </w:p>
        </w:tc>
        <w:tc>
          <w:tcPr>
            <w:tcW w:w="1100" w:type="dxa"/>
            <w:vAlign w:val="bottom"/>
            <w:gridSpan w:val="2"/>
          </w:tcPr>
          <w:p>
            <w:pPr>
              <w:jc w:val="right"/>
              <w:ind w:right="260"/>
              <w:spacing w:after="0" w:line="194" w:lineRule="exact"/>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410"/>
              <w:spacing w:after="0" w:line="194" w:lineRule="exact"/>
              <w:rPr>
                <w:sz w:val="20"/>
                <w:szCs w:val="20"/>
                <w:color w:val="auto"/>
              </w:rPr>
            </w:pPr>
            <w:r>
              <w:rPr>
                <w:rFonts w:ascii="Arial" w:cs="Arial" w:eastAsia="Arial" w:hAnsi="Arial"/>
                <w:sz w:val="18"/>
                <w:szCs w:val="18"/>
                <w:b w:val="1"/>
                <w:bCs w:val="1"/>
                <w:color w:val="auto"/>
              </w:rPr>
              <w:t>Loss</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U.S. Treasury securities</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10,508</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71</w:t>
            </w: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10,508</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State and political subdivisions</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100,949</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519</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277,556</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8,104</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378,505</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8,623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19,130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46,010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1,316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65,140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Asset-backed securities</w:t>
            </w: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83,620</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166</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11,486</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85</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95,106</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shd w:val="clear" w:color="auto" w:fill="F0FFFF"/>
          </w:tcPr>
          <w:p>
            <w:pPr>
              <w:spacing w:after="0"/>
              <w:rPr>
                <w:sz w:val="2"/>
                <w:szCs w:val="2"/>
                <w:color w:val="auto"/>
              </w:rPr>
            </w:pPr>
          </w:p>
        </w:tc>
        <w:tc>
          <w:tcPr>
            <w:tcW w:w="400" w:type="dxa"/>
            <w:vAlign w:val="bottom"/>
            <w:shd w:val="clear" w:color="auto" w:fill="F0FFFF"/>
          </w:tcPr>
          <w:p>
            <w:pPr>
              <w:spacing w:after="0"/>
              <w:rPr>
                <w:sz w:val="2"/>
                <w:szCs w:val="2"/>
                <w:color w:val="auto"/>
              </w:rPr>
            </w:pPr>
          </w:p>
        </w:tc>
        <w:tc>
          <w:tcPr>
            <w:tcW w:w="14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Total unrealized loss position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214,207</w:t>
            </w:r>
          </w:p>
        </w:tc>
        <w:tc>
          <w:tcPr>
            <w:tcW w:w="12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870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338,686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9,543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552,893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10,413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4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14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320" w:type="dxa"/>
            <w:vAlign w:val="bottom"/>
            <w:gridSpan w:val="3"/>
          </w:tcPr>
          <w:p>
            <w:pPr>
              <w:spacing w:after="0" w:line="176" w:lineRule="exact"/>
              <w:rPr>
                <w:sz w:val="20"/>
                <w:szCs w:val="20"/>
                <w:color w:val="auto"/>
              </w:rPr>
            </w:pPr>
            <w:r>
              <w:rPr>
                <w:rFonts w:ascii="Arial" w:cs="Arial" w:eastAsia="Arial" w:hAnsi="Arial"/>
                <w:sz w:val="18"/>
                <w:szCs w:val="18"/>
                <w:color w:val="auto"/>
              </w:rPr>
              <w:t>As of December 31, 2013</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14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State and political subdivisions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4,539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139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4,539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334,996</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6,480</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175,865</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7,269</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510,861</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13,749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137,318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4,494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54,130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1,830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191,448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Asset-backed securities</w:t>
            </w: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164,933</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722</w:t>
            </w:r>
          </w:p>
        </w:tc>
        <w:tc>
          <w:tcPr>
            <w:tcW w:w="2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22,370</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266</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187,303</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shd w:val="clear" w:color="auto" w:fill="F0FFFF"/>
          </w:tcPr>
          <w:p>
            <w:pPr>
              <w:spacing w:after="0"/>
              <w:rPr>
                <w:sz w:val="2"/>
                <w:szCs w:val="2"/>
                <w:color w:val="auto"/>
              </w:rPr>
            </w:pPr>
          </w:p>
        </w:tc>
        <w:tc>
          <w:tcPr>
            <w:tcW w:w="400" w:type="dxa"/>
            <w:vAlign w:val="bottom"/>
            <w:shd w:val="clear" w:color="auto" w:fill="F0FFFF"/>
          </w:tcPr>
          <w:p>
            <w:pPr>
              <w:spacing w:after="0"/>
              <w:rPr>
                <w:sz w:val="2"/>
                <w:szCs w:val="2"/>
                <w:color w:val="auto"/>
              </w:rPr>
            </w:pPr>
          </w:p>
        </w:tc>
        <w:tc>
          <w:tcPr>
            <w:tcW w:w="14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Total unrealized loss position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641,786</w:t>
            </w:r>
          </w:p>
        </w:tc>
        <w:tc>
          <w:tcPr>
            <w:tcW w:w="12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11,835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252,365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9,365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894,151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21,200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1440" w:type="dxa"/>
            <w:vAlign w:val="bottom"/>
            <w:tcBorders>
              <w:bottom w:val="single" w:sz="8" w:color="DCDCDC"/>
            </w:tcBorders>
          </w:tcPr>
          <w:p>
            <w:pPr>
              <w:spacing w:after="0"/>
              <w:rPr>
                <w:sz w:val="24"/>
                <w:szCs w:val="24"/>
                <w:color w:val="auto"/>
              </w:rPr>
            </w:pPr>
          </w:p>
        </w:tc>
        <w:tc>
          <w:tcPr>
            <w:tcW w:w="400" w:type="dxa"/>
            <w:vAlign w:val="bottom"/>
            <w:tcBorders>
              <w:bottom w:val="single" w:sz="8" w:color="DCDCDC"/>
            </w:tcBorders>
          </w:tcPr>
          <w:p>
            <w:pPr>
              <w:spacing w:after="0"/>
              <w:rPr>
                <w:sz w:val="24"/>
                <w:szCs w:val="24"/>
                <w:color w:val="auto"/>
              </w:rPr>
            </w:pPr>
          </w:p>
        </w:tc>
        <w:tc>
          <w:tcPr>
            <w:tcW w:w="14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4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40" w:type="dxa"/>
            <w:vAlign w:val="bottom"/>
            <w:tcBorders>
              <w:bottom w:val="single" w:sz="8" w:color="DCDCDC"/>
            </w:tcBorders>
          </w:tcPr>
          <w:p>
            <w:pPr>
              <w:jc w:val="right"/>
              <w:ind w:right="10"/>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12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954"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60" w:type="dxa"/>
            <w:vAlign w:val="bottom"/>
            <w:gridSpan w:val="6"/>
          </w:tcPr>
          <w:p>
            <w:pPr>
              <w:ind w:left="36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20"/>
                <w:szCs w:val="20"/>
                <w:color w:val="auto"/>
              </w:rPr>
            </w:pPr>
          </w:p>
        </w:tc>
        <w:tc>
          <w:tcPr>
            <w:tcW w:w="2560" w:type="dxa"/>
            <w:vAlign w:val="bottom"/>
            <w:gridSpan w:val="6"/>
          </w:tcPr>
          <w:p>
            <w:pPr>
              <w:ind w:left="360"/>
              <w:spacing w:after="0"/>
              <w:rPr>
                <w:sz w:val="20"/>
                <w:szCs w:val="20"/>
                <w:color w:val="auto"/>
              </w:rPr>
            </w:pPr>
            <w:r>
              <w:rPr>
                <w:rFonts w:ascii="Arial" w:cs="Arial" w:eastAsia="Arial" w:hAnsi="Arial"/>
                <w:sz w:val="18"/>
                <w:szCs w:val="18"/>
                <w:b w:val="1"/>
                <w:bCs w:val="1"/>
                <w:color w:val="auto"/>
              </w:rPr>
              <w:t>12 Months or More</w:t>
            </w:r>
          </w:p>
        </w:tc>
        <w:tc>
          <w:tcPr>
            <w:tcW w:w="140" w:type="dxa"/>
            <w:vAlign w:val="bottom"/>
          </w:tcPr>
          <w:p>
            <w:pPr>
              <w:spacing w:after="0"/>
              <w:rPr>
                <w:sz w:val="20"/>
                <w:szCs w:val="20"/>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Total</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340" w:type="dxa"/>
            <w:vAlign w:val="bottom"/>
            <w:gridSpan w:val="3"/>
          </w:tcPr>
          <w:p>
            <w:pPr>
              <w:spacing w:after="0" w:line="194" w:lineRule="exact"/>
              <w:rPr>
                <w:sz w:val="20"/>
                <w:szCs w:val="20"/>
                <w:color w:val="auto"/>
              </w:rPr>
            </w:pPr>
            <w:r>
              <w:rPr>
                <w:rFonts w:ascii="Arial" w:cs="Arial" w:eastAsia="Arial" w:hAnsi="Arial"/>
                <w:sz w:val="18"/>
                <w:szCs w:val="18"/>
                <w:color w:val="auto"/>
              </w:rPr>
              <w:t>As of June 30, 2013</w:t>
            </w:r>
          </w:p>
        </w:tc>
        <w:tc>
          <w:tcPr>
            <w:tcW w:w="120" w:type="dxa"/>
            <w:vAlign w:val="bottom"/>
          </w:tcPr>
          <w:p>
            <w:pPr>
              <w:spacing w:after="0"/>
              <w:rPr>
                <w:sz w:val="16"/>
                <w:szCs w:val="16"/>
                <w:color w:val="auto"/>
              </w:rPr>
            </w:pPr>
          </w:p>
        </w:tc>
        <w:tc>
          <w:tcPr>
            <w:tcW w:w="116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40"/>
              <w:spacing w:after="0" w:line="194" w:lineRule="exact"/>
              <w:rPr>
                <w:sz w:val="20"/>
                <w:szCs w:val="20"/>
                <w:color w:val="auto"/>
              </w:rPr>
            </w:pPr>
            <w:r>
              <w:rPr>
                <w:rFonts w:ascii="Arial" w:cs="Arial" w:eastAsia="Arial" w:hAnsi="Arial"/>
                <w:sz w:val="18"/>
                <w:szCs w:val="18"/>
                <w:b w:val="1"/>
                <w:bCs w:val="1"/>
                <w:color w:val="auto"/>
                <w:w w:val="85"/>
              </w:rPr>
              <w:t>Loss</w:t>
            </w:r>
          </w:p>
        </w:tc>
        <w:tc>
          <w:tcPr>
            <w:tcW w:w="140" w:type="dxa"/>
            <w:vAlign w:val="bottom"/>
          </w:tcPr>
          <w:p>
            <w:pPr>
              <w:spacing w:after="0"/>
              <w:rPr>
                <w:sz w:val="16"/>
                <w:szCs w:val="16"/>
                <w:color w:val="auto"/>
              </w:rPr>
            </w:pPr>
          </w:p>
        </w:tc>
        <w:tc>
          <w:tcPr>
            <w:tcW w:w="1100" w:type="dxa"/>
            <w:vAlign w:val="bottom"/>
            <w:gridSpan w:val="2"/>
          </w:tcPr>
          <w:p>
            <w:pPr>
              <w:jc w:val="right"/>
              <w:ind w:right="260"/>
              <w:spacing w:after="0" w:line="194" w:lineRule="exact"/>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94" w:lineRule="exact"/>
              <w:rPr>
                <w:sz w:val="20"/>
                <w:szCs w:val="20"/>
                <w:color w:val="auto"/>
              </w:rPr>
            </w:pPr>
            <w:r>
              <w:rPr>
                <w:rFonts w:ascii="Arial" w:cs="Arial" w:eastAsia="Arial" w:hAnsi="Arial"/>
                <w:sz w:val="18"/>
                <w:szCs w:val="18"/>
                <w:b w:val="1"/>
                <w:bCs w:val="1"/>
                <w:color w:val="auto"/>
                <w:w w:val="85"/>
              </w:rPr>
              <w:t>Loss</w:t>
            </w:r>
          </w:p>
        </w:tc>
        <w:tc>
          <w:tcPr>
            <w:tcW w:w="140" w:type="dxa"/>
            <w:vAlign w:val="bottom"/>
          </w:tcPr>
          <w:p>
            <w:pPr>
              <w:spacing w:after="0"/>
              <w:rPr>
                <w:sz w:val="16"/>
                <w:szCs w:val="16"/>
                <w:color w:val="auto"/>
              </w:rPr>
            </w:pPr>
          </w:p>
        </w:tc>
        <w:tc>
          <w:tcPr>
            <w:tcW w:w="1100" w:type="dxa"/>
            <w:vAlign w:val="bottom"/>
            <w:gridSpan w:val="2"/>
          </w:tcPr>
          <w:p>
            <w:pPr>
              <w:jc w:val="right"/>
              <w:ind w:right="260"/>
              <w:spacing w:after="0" w:line="194" w:lineRule="exact"/>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line="194" w:lineRule="exact"/>
              <w:rPr>
                <w:sz w:val="20"/>
                <w:szCs w:val="20"/>
                <w:color w:val="auto"/>
              </w:rPr>
            </w:pPr>
            <w:r>
              <w:rPr>
                <w:rFonts w:ascii="Arial" w:cs="Arial" w:eastAsia="Arial" w:hAnsi="Arial"/>
                <w:sz w:val="18"/>
                <w:szCs w:val="18"/>
                <w:b w:val="1"/>
                <w:bCs w:val="1"/>
                <w:color w:val="auto"/>
                <w:w w:val="85"/>
              </w:rPr>
              <w:t>Loss</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State and political subdivisions</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3,645</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w:t>
            </w: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3,655</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636,449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13,538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636,449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97,501</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4,635</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77,404</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3,546</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174,905</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56,817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32,495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283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89,312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Total unrealized loss position</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794,412</w:t>
            </w:r>
          </w:p>
        </w:tc>
        <w:tc>
          <w:tcPr>
            <w:tcW w:w="120" w:type="dxa"/>
            <w:vAlign w:val="bottom"/>
            <w:shd w:val="clear" w:color="auto" w:fill="F0FFFF"/>
          </w:tcPr>
          <w:p>
            <w:pPr>
              <w:spacing w:after="0"/>
              <w:rPr>
                <w:sz w:val="20"/>
                <w:szCs w:val="20"/>
                <w:color w:val="auto"/>
              </w:rPr>
            </w:pP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18,420</w:t>
            </w: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109,909</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3,831</w:t>
            </w: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904,321</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22,251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F0FFFF"/>
            </w:tcBorders>
            <w:shd w:val="clear" w:color="auto" w:fill="F0FFFF"/>
          </w:tcPr>
          <w:p>
            <w:pPr>
              <w:spacing w:after="0" w:line="20" w:lineRule="exact"/>
              <w:rPr>
                <w:sz w:val="1"/>
                <w:szCs w:val="1"/>
                <w:color w:val="auto"/>
              </w:rPr>
            </w:pPr>
          </w:p>
        </w:tc>
        <w:tc>
          <w:tcPr>
            <w:tcW w:w="188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June 30, 2014, there were 79 available-for-sale securities and 25 held-to-maturity securities that were in an unrealized loss position. United does not intend to sell nor believes it will be required to sell securities in an unrealized loss position prior to the recovery of their amortized cost basis. Unrealized losses at June 30, 2014 and December 31, 2013 were primarily attributable to changes in interest rates. Unrealized losses at June 30, 2013 were primarily related to changes in interest rates; however, the unrealized losses in corporate bonds also reflect downgrades in the underlying securities ratings since the time of acquisition. The bonds remain above investment grade and have recovered much of their initial market value loss. Therefore, United does not consider them to be impaired.</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amortized cost and fair value of held-to-maturity and available-for-sale securities at June 30, 2014, by contractual maturity, are presented in the following table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8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Available-for-Sale</w:t>
            </w:r>
          </w:p>
        </w:tc>
        <w:tc>
          <w:tcPr>
            <w:tcW w:w="360" w:type="dxa"/>
            <w:vAlign w:val="bottom"/>
          </w:tcPr>
          <w:p>
            <w:pPr>
              <w:spacing w:after="0"/>
              <w:rPr>
                <w:sz w:val="20"/>
                <w:szCs w:val="20"/>
                <w:color w:val="auto"/>
              </w:rPr>
            </w:pPr>
          </w:p>
        </w:tc>
        <w:tc>
          <w:tcPr>
            <w:tcW w:w="2320" w:type="dxa"/>
            <w:vAlign w:val="bottom"/>
            <w:gridSpan w:val="6"/>
          </w:tcPr>
          <w:p>
            <w:pPr>
              <w:ind w:left="260"/>
              <w:spacing w:after="0"/>
              <w:rPr>
                <w:sz w:val="20"/>
                <w:szCs w:val="20"/>
                <w:color w:val="auto"/>
              </w:rPr>
            </w:pPr>
            <w:r>
              <w:rPr>
                <w:rFonts w:ascii="Arial" w:cs="Arial" w:eastAsia="Arial" w:hAnsi="Arial"/>
                <w:sz w:val="18"/>
                <w:szCs w:val="18"/>
                <w:b w:val="1"/>
                <w:bCs w:val="1"/>
                <w:color w:val="auto"/>
              </w:rPr>
              <w:t>Held-to-Maturity</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Amortized Cost</w:t>
            </w: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220" w:type="dxa"/>
            <w:vAlign w:val="bottom"/>
          </w:tcPr>
          <w:p>
            <w:pPr>
              <w:spacing w:after="0"/>
              <w:rPr>
                <w:sz w:val="19"/>
                <w:szCs w:val="19"/>
                <w:color w:val="auto"/>
              </w:rPr>
            </w:pPr>
          </w:p>
        </w:tc>
        <w:tc>
          <w:tcPr>
            <w:tcW w:w="132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7"/>
              </w:rPr>
              <w:t>Amortized Cost</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F0FFFF"/>
          </w:tcPr>
          <w:p>
            <w:pPr>
              <w:spacing w:after="0"/>
              <w:rPr>
                <w:sz w:val="20"/>
                <w:szCs w:val="20"/>
                <w:color w:val="auto"/>
              </w:rPr>
            </w:pPr>
            <w:r>
              <w:rPr>
                <w:rFonts w:ascii="Arial" w:cs="Arial" w:eastAsia="Arial" w:hAnsi="Arial"/>
                <w:sz w:val="18"/>
                <w:szCs w:val="18"/>
                <w:color w:val="auto"/>
              </w:rPr>
              <w:t>U.S. Treasury Securities:</w:t>
            </w:r>
          </w:p>
        </w:tc>
        <w:tc>
          <w:tcPr>
            <w:tcW w:w="11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1 to 5 years</w:t>
            </w:r>
          </w:p>
        </w:tc>
        <w:tc>
          <w:tcPr>
            <w:tcW w:w="118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15,579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15,508</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shd w:val="clear" w:color="auto" w:fill="F0FFFF"/>
          </w:tcPr>
          <w:p>
            <w:pPr>
              <w:spacing w:after="0"/>
              <w:rPr>
                <w:sz w:val="19"/>
                <w:szCs w:val="19"/>
                <w:color w:val="auto"/>
              </w:rPr>
            </w:pPr>
          </w:p>
        </w:tc>
        <w:tc>
          <w:tcPr>
            <w:tcW w:w="118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15,579</w:t>
            </w:r>
          </w:p>
        </w:tc>
        <w:tc>
          <w:tcPr>
            <w:tcW w:w="2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15,508</w:t>
            </w:r>
          </w:p>
        </w:tc>
        <w:tc>
          <w:tcPr>
            <w:tcW w:w="360" w:type="dxa"/>
            <w:vAlign w:val="bottom"/>
            <w:shd w:val="clear" w:color="auto" w:fill="F0FFFF"/>
          </w:tcPr>
          <w:p>
            <w:pPr>
              <w:spacing w:after="0"/>
              <w:rPr>
                <w:sz w:val="19"/>
                <w:szCs w:val="19"/>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State and political subdivisions:</w:t>
            </w:r>
          </w:p>
        </w:tc>
        <w:tc>
          <w:tcPr>
            <w:tcW w:w="1180" w:type="dxa"/>
            <w:vAlign w:val="bottom"/>
            <w:tcBorders>
              <w:top w:val="single" w:sz="8" w:color="F0FF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Within 1 year</w:t>
            </w:r>
          </w:p>
        </w:tc>
        <w:tc>
          <w:tcPr>
            <w:tcW w:w="11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7,042</w:t>
            </w: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7,180</w:t>
            </w:r>
          </w:p>
        </w:tc>
        <w:tc>
          <w:tcPr>
            <w:tcW w:w="36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1 to 5 years</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11,083</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11,600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17,126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5 to 10 years</w:t>
            </w:r>
          </w:p>
        </w:tc>
        <w:tc>
          <w:tcPr>
            <w:tcW w:w="11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2,107</w:t>
            </w: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2,134</w:t>
            </w:r>
          </w:p>
        </w:tc>
        <w:tc>
          <w:tcPr>
            <w:tcW w:w="36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20,552</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22,148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More than 10 years</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901</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11,991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12,916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shd w:val="clear" w:color="auto" w:fill="F0FFFF"/>
          </w:tcPr>
          <w:p>
            <w:pPr>
              <w:spacing w:after="0"/>
              <w:rPr>
                <w:sz w:val="19"/>
                <w:szCs w:val="19"/>
                <w:color w:val="auto"/>
              </w:rPr>
            </w:pPr>
          </w:p>
        </w:tc>
        <w:tc>
          <w:tcPr>
            <w:tcW w:w="118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21,080</w:t>
            </w:r>
          </w:p>
        </w:tc>
        <w:tc>
          <w:tcPr>
            <w:tcW w:w="2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21,815</w:t>
            </w:r>
          </w:p>
        </w:tc>
        <w:tc>
          <w:tcPr>
            <w:tcW w:w="360" w:type="dxa"/>
            <w:vAlign w:val="bottom"/>
            <w:shd w:val="clear" w:color="auto" w:fill="F0FFFF"/>
          </w:tcPr>
          <w:p>
            <w:pPr>
              <w:spacing w:after="0"/>
              <w:rPr>
                <w:sz w:val="19"/>
                <w:szCs w:val="19"/>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50,669</w:t>
            </w:r>
          </w:p>
        </w:tc>
        <w:tc>
          <w:tcPr>
            <w:tcW w:w="1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54,541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Corporate bonds:</w:t>
            </w:r>
          </w:p>
        </w:tc>
        <w:tc>
          <w:tcPr>
            <w:tcW w:w="1180" w:type="dxa"/>
            <w:vAlign w:val="bottom"/>
            <w:tcBorders>
              <w:top w:val="single" w:sz="8" w:color="F0FF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1 to 5 years</w:t>
            </w:r>
          </w:p>
        </w:tc>
        <w:tc>
          <w:tcPr>
            <w:tcW w:w="11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49,010</w:t>
            </w: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48,740</w:t>
            </w:r>
          </w:p>
        </w:tc>
        <w:tc>
          <w:tcPr>
            <w:tcW w:w="36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5 to 10 years</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125,965</w:t>
            </w: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126,931</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More than 10 years</w:t>
            </w:r>
          </w:p>
        </w:tc>
        <w:tc>
          <w:tcPr>
            <w:tcW w:w="11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300</w:t>
            </w:r>
          </w:p>
        </w:tc>
        <w:tc>
          <w:tcPr>
            <w:tcW w:w="36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60" w:type="dxa"/>
            <w:vAlign w:val="bottom"/>
            <w:shd w:val="clear" w:color="auto" w:fill="F0FFFF"/>
          </w:tcPr>
          <w:p>
            <w:pPr>
              <w:spacing w:after="0"/>
              <w:rPr>
                <w:sz w:val="2"/>
                <w:szCs w:val="2"/>
                <w:color w:val="auto"/>
              </w:rPr>
            </w:pPr>
          </w:p>
        </w:tc>
        <w:tc>
          <w:tcPr>
            <w:tcW w:w="1180" w:type="dxa"/>
            <w:vAlign w:val="bottom"/>
            <w:shd w:val="clear" w:color="auto" w:fill="F0FF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175,975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175,971</w:t>
            </w:r>
          </w:p>
        </w:tc>
        <w:tc>
          <w:tcPr>
            <w:tcW w:w="3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F0FFFF"/>
          </w:tcPr>
          <w:p>
            <w:pPr>
              <w:spacing w:after="0"/>
              <w:rPr>
                <w:sz w:val="20"/>
                <w:szCs w:val="20"/>
                <w:color w:val="auto"/>
              </w:rPr>
            </w:pPr>
            <w:r>
              <w:rPr>
                <w:rFonts w:ascii="Arial" w:cs="Arial" w:eastAsia="Arial" w:hAnsi="Arial"/>
                <w:sz w:val="18"/>
                <w:szCs w:val="18"/>
                <w:color w:val="auto"/>
              </w:rPr>
              <w:t>Asset-backed securities:</w:t>
            </w:r>
          </w:p>
        </w:tc>
        <w:tc>
          <w:tcPr>
            <w:tcW w:w="1180" w:type="dxa"/>
            <w:vAlign w:val="bottom"/>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36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Within 1 year</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9,986</w:t>
            </w: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10,000</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1 to 5 years</w:t>
            </w:r>
          </w:p>
        </w:tc>
        <w:tc>
          <w:tcPr>
            <w:tcW w:w="11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72,700</w:t>
            </w: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73,966</w:t>
            </w:r>
          </w:p>
        </w:tc>
        <w:tc>
          <w:tcPr>
            <w:tcW w:w="36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5 to 10 years</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263,551</w:t>
            </w: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265,624</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More than 10 years</w:t>
            </w:r>
          </w:p>
        </w:tc>
        <w:tc>
          <w:tcPr>
            <w:tcW w:w="11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98,673</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98,733</w:t>
            </w:r>
          </w:p>
        </w:tc>
        <w:tc>
          <w:tcPr>
            <w:tcW w:w="36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60" w:type="dxa"/>
            <w:vAlign w:val="bottom"/>
            <w:shd w:val="clear" w:color="auto" w:fill="F0FFFF"/>
          </w:tcPr>
          <w:p>
            <w:pPr>
              <w:spacing w:after="0"/>
              <w:rPr>
                <w:sz w:val="2"/>
                <w:szCs w:val="2"/>
                <w:color w:val="auto"/>
              </w:rPr>
            </w:pPr>
          </w:p>
        </w:tc>
        <w:tc>
          <w:tcPr>
            <w:tcW w:w="1180" w:type="dxa"/>
            <w:vAlign w:val="bottom"/>
            <w:shd w:val="clear" w:color="auto" w:fill="F0FF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444,910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448,323</w:t>
            </w:r>
          </w:p>
        </w:tc>
        <w:tc>
          <w:tcPr>
            <w:tcW w:w="3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F0FFFF"/>
          </w:tcPr>
          <w:p>
            <w:pPr>
              <w:spacing w:after="0"/>
              <w:rPr>
                <w:sz w:val="20"/>
                <w:szCs w:val="20"/>
                <w:color w:val="auto"/>
              </w:rPr>
            </w:pPr>
            <w:r>
              <w:rPr>
                <w:rFonts w:ascii="Arial" w:cs="Arial" w:eastAsia="Arial" w:hAnsi="Arial"/>
                <w:sz w:val="18"/>
                <w:szCs w:val="18"/>
                <w:color w:val="auto"/>
              </w:rPr>
              <w:t>Other:</w:t>
            </w:r>
          </w:p>
        </w:tc>
        <w:tc>
          <w:tcPr>
            <w:tcW w:w="1180" w:type="dxa"/>
            <w:vAlign w:val="bottom"/>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36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More than 10 years</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2,211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2,211</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shd w:val="clear" w:color="auto" w:fill="F0FFFF"/>
          </w:tcPr>
          <w:p>
            <w:pPr>
              <w:spacing w:after="0"/>
              <w:rPr>
                <w:sz w:val="19"/>
                <w:szCs w:val="19"/>
                <w:color w:val="auto"/>
              </w:rPr>
            </w:pPr>
          </w:p>
        </w:tc>
        <w:tc>
          <w:tcPr>
            <w:tcW w:w="118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2,211</w:t>
            </w:r>
          </w:p>
        </w:tc>
        <w:tc>
          <w:tcPr>
            <w:tcW w:w="2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2,211</w:t>
            </w:r>
          </w:p>
        </w:tc>
        <w:tc>
          <w:tcPr>
            <w:tcW w:w="360" w:type="dxa"/>
            <w:vAlign w:val="bottom"/>
            <w:shd w:val="clear" w:color="auto" w:fill="F0FFFF"/>
          </w:tcPr>
          <w:p>
            <w:pPr>
              <w:spacing w:after="0"/>
              <w:rPr>
                <w:sz w:val="19"/>
                <w:szCs w:val="19"/>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Borders>
              <w:top w:val="single" w:sz="8" w:color="F0FFFF"/>
            </w:tcBorders>
          </w:tcPr>
          <w:p>
            <w:pPr>
              <w:spacing w:after="0"/>
              <w:rPr>
                <w:sz w:val="20"/>
                <w:szCs w:val="20"/>
                <w:color w:val="auto"/>
              </w:rPr>
            </w:pPr>
            <w:r>
              <w:rPr>
                <w:rFonts w:ascii="Arial" w:cs="Arial" w:eastAsia="Arial" w:hAnsi="Arial"/>
                <w:sz w:val="18"/>
                <w:szCs w:val="18"/>
                <w:color w:val="auto"/>
              </w:rPr>
              <w:t>Total securities other than mortgage-backed securities:</w:t>
            </w:r>
          </w:p>
        </w:tc>
        <w:tc>
          <w:tcPr>
            <w:tcW w:w="1180" w:type="dxa"/>
            <w:vAlign w:val="bottom"/>
            <w:tcBorders>
              <w:top w:val="single" w:sz="8" w:color="F0FF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Within 1 year</w:t>
            </w:r>
          </w:p>
        </w:tc>
        <w:tc>
          <w:tcPr>
            <w:tcW w:w="11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17,028</w:t>
            </w: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17,180</w:t>
            </w:r>
          </w:p>
        </w:tc>
        <w:tc>
          <w:tcPr>
            <w:tcW w:w="36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1 to 5 years</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148,372</w:t>
            </w: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149,814</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17,126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5 to 10 years</w:t>
            </w:r>
          </w:p>
        </w:tc>
        <w:tc>
          <w:tcPr>
            <w:tcW w:w="11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391,623</w:t>
            </w: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394,689</w:t>
            </w:r>
          </w:p>
        </w:tc>
        <w:tc>
          <w:tcPr>
            <w:tcW w:w="36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20,552</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22,148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More than 10 years</w:t>
            </w: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102,732</w:t>
            </w: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102,145</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11,991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12,916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shd w:val="clear" w:color="auto" w:fill="F0FFFF"/>
          </w:tcPr>
          <w:p>
            <w:pPr>
              <w:spacing w:after="0"/>
              <w:rPr>
                <w:sz w:val="18"/>
                <w:szCs w:val="18"/>
                <w:color w:val="auto"/>
              </w:rPr>
            </w:pPr>
          </w:p>
        </w:tc>
        <w:tc>
          <w:tcPr>
            <w:tcW w:w="11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1,068,593</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1,077,440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398,083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404,323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F0FFFF"/>
          </w:tcPr>
          <w:p>
            <w:pPr>
              <w:spacing w:after="0"/>
              <w:rPr>
                <w:sz w:val="18"/>
                <w:szCs w:val="18"/>
                <w:color w:val="auto"/>
              </w:rPr>
            </w:pPr>
          </w:p>
        </w:tc>
        <w:tc>
          <w:tcPr>
            <w:tcW w:w="1180" w:type="dxa"/>
            <w:vAlign w:val="bottom"/>
            <w:shd w:val="clear" w:color="auto" w:fill="F0FFFF"/>
          </w:tcPr>
          <w:p>
            <w:pPr>
              <w:spacing w:after="0"/>
              <w:rPr>
                <w:sz w:val="18"/>
                <w:szCs w:val="18"/>
                <w:color w:val="auto"/>
              </w:rPr>
            </w:pPr>
          </w:p>
        </w:tc>
        <w:tc>
          <w:tcPr>
            <w:tcW w:w="30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360" w:type="dxa"/>
            <w:vAlign w:val="bottom"/>
            <w:tcBorders>
              <w:top w:val="single" w:sz="8" w:color="auto"/>
            </w:tcBorders>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102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48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1,728,348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1,741,268</w:t>
            </w:r>
          </w:p>
        </w:tc>
        <w:tc>
          <w:tcPr>
            <w:tcW w:w="2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448,752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458,864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180" w:type="dxa"/>
            <w:vAlign w:val="bottom"/>
            <w:vMerge w:val="restart"/>
          </w:tcPr>
          <w:p>
            <w:pPr>
              <w:jc w:val="right"/>
              <w:ind w:right="70"/>
              <w:spacing w:after="0"/>
              <w:rPr>
                <w:sz w:val="20"/>
                <w:szCs w:val="20"/>
                <w:color w:val="auto"/>
              </w:rPr>
            </w:pPr>
            <w:r>
              <w:rPr>
                <w:rFonts w:ascii="Arial" w:cs="Arial" w:eastAsia="Arial" w:hAnsi="Arial"/>
                <w:sz w:val="18"/>
                <w:szCs w:val="18"/>
                <w:color w:val="auto"/>
              </w:rPr>
              <w:t>12</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4760" w:type="dxa"/>
            <w:vAlign w:val="bottom"/>
            <w:tcBorders>
              <w:bottom w:val="single" w:sz="8" w:color="DCDCDC"/>
            </w:tcBorders>
          </w:tcPr>
          <w:p>
            <w:pPr>
              <w:spacing w:after="0"/>
              <w:rPr>
                <w:sz w:val="24"/>
                <w:szCs w:val="24"/>
                <w:color w:val="auto"/>
              </w:rPr>
            </w:pPr>
          </w:p>
        </w:tc>
        <w:tc>
          <w:tcPr>
            <w:tcW w:w="1180" w:type="dxa"/>
            <w:vAlign w:val="bottom"/>
            <w:tcBorders>
              <w:bottom w:val="single" w:sz="8" w:color="DCDCDC"/>
            </w:tcBorders>
            <w:vMerge w:val="continue"/>
          </w:tcPr>
          <w:p>
            <w:pPr>
              <w:spacing w:after="0"/>
              <w:rPr>
                <w:sz w:val="24"/>
                <w:szCs w:val="24"/>
                <w:color w:val="auto"/>
              </w:rPr>
            </w:pPr>
          </w:p>
        </w:tc>
        <w:tc>
          <w:tcPr>
            <w:tcW w:w="300" w:type="dxa"/>
            <w:vAlign w:val="bottom"/>
            <w:tcBorders>
              <w:bottom w:val="single" w:sz="8" w:color="DCDCDC"/>
            </w:tcBorders>
          </w:tcPr>
          <w:p>
            <w:pPr>
              <w:spacing w:after="0"/>
              <w:rPr>
                <w:sz w:val="24"/>
                <w:szCs w:val="24"/>
                <w:color w:val="auto"/>
              </w:rPr>
            </w:pPr>
          </w:p>
        </w:tc>
        <w:tc>
          <w:tcPr>
            <w:tcW w:w="92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360" w:type="dxa"/>
            <w:vAlign w:val="bottom"/>
            <w:tcBorders>
              <w:bottom w:val="single" w:sz="8" w:color="DCDCDC"/>
            </w:tcBorders>
          </w:tcPr>
          <w:p>
            <w:pPr>
              <w:spacing w:after="0"/>
              <w:rPr>
                <w:sz w:val="24"/>
                <w:szCs w:val="24"/>
                <w:color w:val="auto"/>
              </w:rPr>
            </w:pPr>
          </w:p>
        </w:tc>
        <w:tc>
          <w:tcPr>
            <w:tcW w:w="86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8"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Expected maturities may differ from contractual maturities because issuers and borrowers may have the right to call or prepay obligations with or without call or prepayment penalties.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Realized gains and losses are derived using the specific identification method for determining the cost of securities sold. The following table summarizes securities sales activity for the three and six months ended June 30, 2014 and 2013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6"/>
          </w:tcPr>
          <w:p>
            <w:pPr>
              <w:ind w:left="3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June 30,</w:t>
            </w:r>
          </w:p>
        </w:tc>
        <w:tc>
          <w:tcPr>
            <w:tcW w:w="3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2013</w:t>
            </w:r>
          </w:p>
        </w:tc>
        <w:tc>
          <w:tcPr>
            <w:tcW w:w="3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80" w:type="dxa"/>
            <w:vAlign w:val="bottom"/>
            <w:shd w:val="clear" w:color="auto" w:fill="F0FFFF"/>
          </w:tcPr>
          <w:p>
            <w:pPr>
              <w:spacing w:after="0"/>
              <w:rPr>
                <w:sz w:val="20"/>
                <w:szCs w:val="20"/>
                <w:color w:val="auto"/>
              </w:rPr>
            </w:pPr>
            <w:r>
              <w:rPr>
                <w:rFonts w:ascii="Arial" w:cs="Arial" w:eastAsia="Arial" w:hAnsi="Arial"/>
                <w:sz w:val="18"/>
                <w:szCs w:val="18"/>
                <w:color w:val="auto"/>
              </w:rPr>
              <w:t>Proceeds from sales</w:t>
            </w:r>
          </w:p>
        </w:tc>
        <w:tc>
          <w:tcPr>
            <w:tcW w:w="12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236,911</w:t>
            </w:r>
          </w:p>
        </w:tc>
        <w:tc>
          <w:tcPr>
            <w:tcW w:w="120" w:type="dxa"/>
            <w:vAlign w:val="bottom"/>
            <w:shd w:val="clear" w:color="auto" w:fill="F0FFFF"/>
          </w:tcPr>
          <w:p>
            <w:pPr>
              <w:spacing w:after="0"/>
              <w:rPr>
                <w:sz w:val="20"/>
                <w:szCs w:val="20"/>
                <w:color w:val="auto"/>
              </w:rPr>
            </w:pPr>
          </w:p>
        </w:tc>
        <w:tc>
          <w:tcPr>
            <w:tcW w:w="940" w:type="dxa"/>
            <w:vAlign w:val="bottom"/>
            <w:gridSpan w:val="2"/>
            <w:shd w:val="clear" w:color="auto" w:fill="F0FFFF"/>
          </w:tcPr>
          <w:p>
            <w:pPr>
              <w:jc w:val="right"/>
              <w:ind w:right="670"/>
              <w:spacing w:after="0"/>
              <w:rPr>
                <w:sz w:val="20"/>
                <w:szCs w:val="20"/>
                <w:color w:val="auto"/>
              </w:rPr>
            </w:pPr>
            <w:r>
              <w:rPr>
                <w:rFonts w:ascii="Arial" w:cs="Arial" w:eastAsia="Arial" w:hAnsi="Arial"/>
                <w:sz w:val="18"/>
                <w:szCs w:val="18"/>
                <w:color w:val="auto"/>
              </w:rPr>
              <w:t>$</w:t>
            </w:r>
          </w:p>
        </w:tc>
        <w:tc>
          <w:tcPr>
            <w:tcW w:w="300" w:type="dxa"/>
            <w:vAlign w:val="bottom"/>
            <w:shd w:val="clear" w:color="auto" w:fill="F0FFFF"/>
          </w:tcPr>
          <w:p>
            <w:pPr>
              <w:ind w:left="10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390,227</w:t>
            </w:r>
          </w:p>
        </w:tc>
        <w:tc>
          <w:tcPr>
            <w:tcW w:w="140" w:type="dxa"/>
            <w:vAlign w:val="bottom"/>
            <w:shd w:val="clear" w:color="auto" w:fill="F0FFFF"/>
          </w:tcPr>
          <w:p>
            <w:pPr>
              <w:spacing w:after="0"/>
              <w:rPr>
                <w:sz w:val="20"/>
                <w:szCs w:val="20"/>
                <w:color w:val="auto"/>
              </w:rPr>
            </w:pPr>
          </w:p>
        </w:tc>
        <w:tc>
          <w:tcPr>
            <w:tcW w:w="3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15,751</w:t>
            </w:r>
          </w:p>
        </w:tc>
        <w:tc>
          <w:tcPr>
            <w:tcW w:w="12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80" w:type="dxa"/>
            <w:vAlign w:val="bottom"/>
            <w:tcBorders>
              <w:top w:val="single" w:sz="8" w:color="F0FFFF"/>
            </w:tcBorders>
            <w:shd w:val="clear" w:color="auto" w:fill="F0FFFF"/>
          </w:tcPr>
          <w:p>
            <w:pPr>
              <w:spacing w:after="0" w:line="20" w:lineRule="exact"/>
              <w:rPr>
                <w:sz w:val="1"/>
                <w:szCs w:val="1"/>
                <w:color w:val="auto"/>
              </w:rPr>
            </w:pPr>
          </w:p>
        </w:tc>
        <w:tc>
          <w:tcPr>
            <w:tcW w:w="104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Gross gains on sales</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5,374</w:t>
            </w:r>
          </w:p>
        </w:tc>
        <w:tc>
          <w:tcPr>
            <w:tcW w:w="120" w:type="dxa"/>
            <w:vAlign w:val="bottom"/>
          </w:tcPr>
          <w:p>
            <w:pPr>
              <w:spacing w:after="0"/>
              <w:rPr>
                <w:sz w:val="18"/>
                <w:szCs w:val="18"/>
                <w:color w:val="auto"/>
              </w:rPr>
            </w:pPr>
          </w:p>
        </w:tc>
        <w:tc>
          <w:tcPr>
            <w:tcW w:w="94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30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5,784</w:t>
            </w:r>
          </w:p>
        </w:tc>
        <w:tc>
          <w:tcPr>
            <w:tcW w:w="1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F0FFFF"/>
          </w:tcPr>
          <w:p>
            <w:pPr>
              <w:spacing w:after="0"/>
              <w:rPr>
                <w:sz w:val="20"/>
                <w:szCs w:val="20"/>
                <w:color w:val="auto"/>
              </w:rPr>
            </w:pPr>
            <w:r>
              <w:rPr>
                <w:rFonts w:ascii="Arial" w:cs="Arial" w:eastAsia="Arial" w:hAnsi="Arial"/>
                <w:sz w:val="18"/>
                <w:szCs w:val="18"/>
                <w:color w:val="auto"/>
              </w:rPr>
              <w:t>Gross losses on sales</w:t>
            </w:r>
          </w:p>
        </w:tc>
        <w:tc>
          <w:tcPr>
            <w:tcW w:w="10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(939)</w:t>
            </w:r>
          </w:p>
        </w:tc>
        <w:tc>
          <w:tcPr>
            <w:tcW w:w="8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300" w:type="dxa"/>
            <w:vAlign w:val="bottom"/>
            <w:shd w:val="clear" w:color="auto" w:fill="F0FFFF"/>
          </w:tcPr>
          <w:p>
            <w:pPr>
              <w:ind w:left="10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(1,132)</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80" w:type="dxa"/>
            <w:vAlign w:val="bottom"/>
            <w:shd w:val="clear" w:color="auto" w:fill="F0FFFF"/>
          </w:tcPr>
          <w:p>
            <w:pPr>
              <w:spacing w:after="0"/>
              <w:rPr>
                <w:sz w:val="2"/>
                <w:szCs w:val="2"/>
                <w:color w:val="auto"/>
              </w:rPr>
            </w:pPr>
          </w:p>
        </w:tc>
        <w:tc>
          <w:tcPr>
            <w:tcW w:w="104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40"/>
              <w:spacing w:after="0"/>
              <w:rPr>
                <w:sz w:val="20"/>
                <w:szCs w:val="20"/>
                <w:color w:val="auto"/>
              </w:rPr>
            </w:pPr>
            <w:r>
              <w:rPr>
                <w:rFonts w:ascii="Arial" w:cs="Arial" w:eastAsia="Arial" w:hAnsi="Arial"/>
                <w:sz w:val="18"/>
                <w:szCs w:val="18"/>
                <w:color w:val="auto"/>
              </w:rPr>
              <w:t>Net gains on sales of securities</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4,435</w:t>
            </w:r>
          </w:p>
        </w:tc>
        <w:tc>
          <w:tcPr>
            <w:tcW w:w="120" w:type="dxa"/>
            <w:vAlign w:val="bottom"/>
          </w:tcPr>
          <w:p>
            <w:pPr>
              <w:spacing w:after="0"/>
              <w:rPr>
                <w:sz w:val="18"/>
                <w:szCs w:val="18"/>
                <w:color w:val="auto"/>
              </w:rPr>
            </w:pPr>
          </w:p>
        </w:tc>
        <w:tc>
          <w:tcPr>
            <w:tcW w:w="94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30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4,652</w:t>
            </w:r>
          </w:p>
        </w:tc>
        <w:tc>
          <w:tcPr>
            <w:tcW w:w="1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shd w:val="clear" w:color="auto" w:fill="F0FFFF"/>
          </w:tcPr>
          <w:p>
            <w:pPr>
              <w:spacing w:after="0"/>
              <w:rPr>
                <w:sz w:val="20"/>
                <w:szCs w:val="20"/>
                <w:color w:val="auto"/>
              </w:rPr>
            </w:pPr>
            <w:r>
              <w:rPr>
                <w:rFonts w:ascii="Arial" w:cs="Arial" w:eastAsia="Arial" w:hAnsi="Arial"/>
                <w:sz w:val="18"/>
                <w:szCs w:val="18"/>
                <w:color w:val="auto"/>
              </w:rPr>
              <w:t>Income tax expense attributable to sales</w:t>
            </w:r>
          </w:p>
        </w:tc>
        <w:tc>
          <w:tcPr>
            <w:tcW w:w="12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1,725</w:t>
            </w:r>
          </w:p>
        </w:tc>
        <w:tc>
          <w:tcPr>
            <w:tcW w:w="120" w:type="dxa"/>
            <w:vAlign w:val="bottom"/>
            <w:shd w:val="clear" w:color="auto" w:fill="F0FFFF"/>
          </w:tcPr>
          <w:p>
            <w:pPr>
              <w:spacing w:after="0"/>
              <w:rPr>
                <w:sz w:val="20"/>
                <w:szCs w:val="20"/>
                <w:color w:val="auto"/>
              </w:rPr>
            </w:pPr>
          </w:p>
        </w:tc>
        <w:tc>
          <w:tcPr>
            <w:tcW w:w="940" w:type="dxa"/>
            <w:vAlign w:val="bottom"/>
            <w:gridSpan w:val="2"/>
            <w:shd w:val="clear" w:color="auto" w:fill="F0FFFF"/>
          </w:tcPr>
          <w:p>
            <w:pPr>
              <w:jc w:val="right"/>
              <w:ind w:right="670"/>
              <w:spacing w:after="0"/>
              <w:rPr>
                <w:sz w:val="20"/>
                <w:szCs w:val="20"/>
                <w:color w:val="auto"/>
              </w:rPr>
            </w:pPr>
            <w:r>
              <w:rPr>
                <w:rFonts w:ascii="Arial" w:cs="Arial" w:eastAsia="Arial" w:hAnsi="Arial"/>
                <w:sz w:val="18"/>
                <w:szCs w:val="18"/>
                <w:color w:val="auto"/>
              </w:rPr>
              <w:t>$</w:t>
            </w:r>
          </w:p>
        </w:tc>
        <w:tc>
          <w:tcPr>
            <w:tcW w:w="300" w:type="dxa"/>
            <w:vAlign w:val="bottom"/>
            <w:shd w:val="clear" w:color="auto" w:fill="F0FFFF"/>
          </w:tcPr>
          <w:p>
            <w:pPr>
              <w:ind w:left="100"/>
              <w:spacing w:after="0"/>
              <w:rPr>
                <w:sz w:val="20"/>
                <w:szCs w:val="20"/>
                <w:color w:val="auto"/>
              </w:rPr>
            </w:pPr>
            <w:r>
              <w:rPr>
                <w:rFonts w:ascii="Arial" w:cs="Arial" w:eastAsia="Arial" w:hAnsi="Arial"/>
                <w:sz w:val="18"/>
                <w:szCs w:val="18"/>
                <w:color w:val="auto"/>
                <w:w w:val="99"/>
              </w:rPr>
              <w:t>—</w:t>
            </w:r>
          </w:p>
        </w:tc>
        <w:tc>
          <w:tcPr>
            <w:tcW w:w="4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1,817</w:t>
            </w:r>
          </w:p>
        </w:tc>
        <w:tc>
          <w:tcPr>
            <w:tcW w:w="140" w:type="dxa"/>
            <w:vAlign w:val="bottom"/>
            <w:shd w:val="clear" w:color="auto" w:fill="F0FFFF"/>
          </w:tcPr>
          <w:p>
            <w:pPr>
              <w:spacing w:after="0"/>
              <w:rPr>
                <w:sz w:val="20"/>
                <w:szCs w:val="20"/>
                <w:color w:val="auto"/>
              </w:rPr>
            </w:pPr>
          </w:p>
        </w:tc>
        <w:tc>
          <w:tcPr>
            <w:tcW w:w="3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F0FFFF"/>
            </w:tcBorders>
            <w:shd w:val="clear" w:color="auto" w:fill="F0FFFF"/>
          </w:tcPr>
          <w:p>
            <w:pPr>
              <w:spacing w:after="0" w:line="20" w:lineRule="exact"/>
              <w:rPr>
                <w:sz w:val="1"/>
                <w:szCs w:val="1"/>
                <w:color w:val="auto"/>
              </w:rPr>
            </w:pPr>
          </w:p>
        </w:tc>
        <w:tc>
          <w:tcPr>
            <w:tcW w:w="104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Securities with a carrying value of $1.37 billion, $1.53 billion and $1.30 billion were pledged to secure public deposits and other secured borrowings at June 30, 2014, December 31, 2013 and June 30, 2013, respectively. Substantial borrowing capacity remains available under borrowing arrangements with the Federal Home Loan Bank of Atlanta (“FHLB”) with currently pledged securities.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Loans and Allowance for Loan Losses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Major classifications of loans as of June 30, 2014, December 31, 2013 and June 30, 2013, are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7"/>
              </w:rPr>
              <w:t>June 30,</w:t>
            </w:r>
          </w:p>
        </w:tc>
        <w:tc>
          <w:tcPr>
            <w:tcW w:w="80" w:type="dxa"/>
            <w:vAlign w:val="bottom"/>
          </w:tcPr>
          <w:p>
            <w:pPr>
              <w:spacing w:after="0"/>
              <w:rPr>
                <w:sz w:val="18"/>
                <w:szCs w:val="18"/>
                <w:color w:val="auto"/>
              </w:rPr>
            </w:pPr>
          </w:p>
        </w:tc>
        <w:tc>
          <w:tcPr>
            <w:tcW w:w="13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3"/>
              </w:rPr>
              <w:t>December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7"/>
              </w:rPr>
              <w:t>June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F0FFFF"/>
          </w:tcPr>
          <w:p>
            <w:pPr>
              <w:spacing w:after="0"/>
              <w:rPr>
                <w:sz w:val="20"/>
                <w:szCs w:val="20"/>
                <w:color w:val="auto"/>
              </w:rPr>
            </w:pPr>
            <w:r>
              <w:rPr>
                <w:rFonts w:ascii="Arial" w:cs="Arial" w:eastAsia="Arial" w:hAnsi="Arial"/>
                <w:sz w:val="18"/>
                <w:szCs w:val="18"/>
                <w:color w:val="auto"/>
              </w:rPr>
              <w:t>Owner occupied commercial real estate</w:t>
            </w:r>
          </w:p>
        </w:tc>
        <w:tc>
          <w:tcPr>
            <w:tcW w:w="18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1,163,327</w:t>
            </w:r>
          </w:p>
        </w:tc>
        <w:tc>
          <w:tcPr>
            <w:tcW w:w="140" w:type="dxa"/>
            <w:vAlign w:val="bottom"/>
            <w:shd w:val="clear" w:color="auto" w:fill="F0FFFF"/>
          </w:tcPr>
          <w:p>
            <w:pPr>
              <w:spacing w:after="0"/>
              <w:rPr>
                <w:sz w:val="18"/>
                <w:szCs w:val="18"/>
                <w:color w:val="auto"/>
              </w:rPr>
            </w:pPr>
          </w:p>
        </w:tc>
        <w:tc>
          <w:tcPr>
            <w:tcW w:w="320" w:type="dxa"/>
            <w:vAlign w:val="bottom"/>
            <w:gridSpan w:val="2"/>
            <w:shd w:val="clear" w:color="auto" w:fill="F0FF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1,133,543</w:t>
            </w:r>
          </w:p>
        </w:tc>
        <w:tc>
          <w:tcPr>
            <w:tcW w:w="140" w:type="dxa"/>
            <w:vAlign w:val="bottom"/>
            <w:shd w:val="clear" w:color="auto" w:fill="F0FFFF"/>
          </w:tcPr>
          <w:p>
            <w:pPr>
              <w:spacing w:after="0"/>
              <w:rPr>
                <w:sz w:val="18"/>
                <w:szCs w:val="18"/>
                <w:color w:val="auto"/>
              </w:rPr>
            </w:pPr>
          </w:p>
        </w:tc>
        <w:tc>
          <w:tcPr>
            <w:tcW w:w="2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1,119,016</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Income producing ommercial real estate</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598,318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623,167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629,129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16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554,089</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471,961</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436,988</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159,755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148,903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F0FFFF"/>
          </w:tcPr>
          <w:p>
            <w:pPr>
              <w:ind w:left="140"/>
              <w:spacing w:after="0"/>
              <w:rPr>
                <w:sz w:val="20"/>
                <w:szCs w:val="20"/>
                <w:color w:val="auto"/>
              </w:rPr>
            </w:pPr>
            <w:r>
              <w:rPr>
                <w:rFonts w:ascii="Arial" w:cs="Arial" w:eastAsia="Arial" w:hAnsi="Arial"/>
                <w:sz w:val="18"/>
                <w:szCs w:val="18"/>
                <w:color w:val="auto"/>
              </w:rPr>
              <w:t>Total commercial</w:t>
            </w:r>
          </w:p>
        </w:tc>
        <w:tc>
          <w:tcPr>
            <w:tcW w:w="16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2,475,489</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2,377,574</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2,317,695</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Residential mortgage</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860,525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875,077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876,608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F0FFFF"/>
          </w:tcPr>
          <w:p>
            <w:pPr>
              <w:spacing w:after="0"/>
              <w:rPr>
                <w:sz w:val="20"/>
                <w:szCs w:val="20"/>
                <w:color w:val="auto"/>
              </w:rPr>
            </w:pPr>
            <w:r>
              <w:rPr>
                <w:rFonts w:ascii="Arial" w:cs="Arial" w:eastAsia="Arial" w:hAnsi="Arial"/>
                <w:sz w:val="18"/>
                <w:szCs w:val="18"/>
                <w:color w:val="auto"/>
              </w:rPr>
              <w:t>Home equity lines of credit</w:t>
            </w:r>
          </w:p>
        </w:tc>
        <w:tc>
          <w:tcPr>
            <w:tcW w:w="16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451,435</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440,887</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401,951</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301,737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328,579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331,681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F0FFFF"/>
          </w:tcPr>
          <w:p>
            <w:pPr>
              <w:spacing w:after="0"/>
              <w:rPr>
                <w:sz w:val="20"/>
                <w:szCs w:val="20"/>
                <w:color w:val="auto"/>
              </w:rPr>
            </w:pPr>
            <w:r>
              <w:rPr>
                <w:rFonts w:ascii="Arial" w:cs="Arial" w:eastAsia="Arial" w:hAnsi="Arial"/>
                <w:sz w:val="18"/>
                <w:szCs w:val="18"/>
                <w:color w:val="auto"/>
              </w:rPr>
              <w:t>Consumer installment</w:t>
            </w:r>
          </w:p>
        </w:tc>
        <w:tc>
          <w:tcPr>
            <w:tcW w:w="16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105,160</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111,045</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109,223</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Indirect auto</w:t>
            </w:r>
          </w:p>
        </w:tc>
        <w:tc>
          <w:tcPr>
            <w:tcW w:w="1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215,939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196,104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F0FFFF"/>
          </w:tcPr>
          <w:p>
            <w:pPr>
              <w:ind w:left="140"/>
              <w:spacing w:after="0"/>
              <w:rPr>
                <w:sz w:val="20"/>
                <w:szCs w:val="20"/>
                <w:color w:val="auto"/>
              </w:rPr>
            </w:pPr>
            <w:r>
              <w:rPr>
                <w:rFonts w:ascii="Arial" w:cs="Arial" w:eastAsia="Arial" w:hAnsi="Arial"/>
                <w:sz w:val="18"/>
                <w:szCs w:val="18"/>
                <w:color w:val="auto"/>
              </w:rPr>
              <w:t>Total loans</w:t>
            </w:r>
          </w:p>
        </w:tc>
        <w:tc>
          <w:tcPr>
            <w:tcW w:w="16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4,410,285</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4,329,266</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4,189,368</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Less allowance for loan losses</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(73,248)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(76,762)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(81,845)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580" w:type="dxa"/>
            <w:vAlign w:val="bottom"/>
            <w:shd w:val="clear" w:color="auto" w:fill="F0FFFF"/>
          </w:tcPr>
          <w:p>
            <w:pPr>
              <w:ind w:left="140"/>
              <w:spacing w:after="0"/>
              <w:rPr>
                <w:sz w:val="20"/>
                <w:szCs w:val="20"/>
                <w:color w:val="auto"/>
              </w:rPr>
            </w:pPr>
            <w:r>
              <w:rPr>
                <w:rFonts w:ascii="Arial" w:cs="Arial" w:eastAsia="Arial" w:hAnsi="Arial"/>
                <w:sz w:val="18"/>
                <w:szCs w:val="18"/>
                <w:color w:val="auto"/>
              </w:rPr>
              <w:t>Loans, net</w:t>
            </w:r>
          </w:p>
        </w:tc>
        <w:tc>
          <w:tcPr>
            <w:tcW w:w="1680" w:type="dxa"/>
            <w:vAlign w:val="bottom"/>
            <w:shd w:val="clear" w:color="auto" w:fill="F0FFFF"/>
          </w:tcPr>
          <w:p>
            <w:pPr>
              <w:spacing w:after="0"/>
              <w:rPr>
                <w:sz w:val="20"/>
                <w:szCs w:val="20"/>
                <w:color w:val="auto"/>
              </w:rPr>
            </w:pP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4,337,037</w:t>
            </w:r>
          </w:p>
        </w:tc>
        <w:tc>
          <w:tcPr>
            <w:tcW w:w="140" w:type="dxa"/>
            <w:vAlign w:val="bottom"/>
            <w:shd w:val="clear" w:color="auto" w:fill="F0FFFF"/>
          </w:tcPr>
          <w:p>
            <w:pPr>
              <w:spacing w:after="0"/>
              <w:rPr>
                <w:sz w:val="20"/>
                <w:szCs w:val="20"/>
                <w:color w:val="auto"/>
              </w:rPr>
            </w:pPr>
          </w:p>
        </w:tc>
        <w:tc>
          <w:tcPr>
            <w:tcW w:w="320" w:type="dxa"/>
            <w:vAlign w:val="bottom"/>
            <w:gridSpan w:val="2"/>
            <w:shd w:val="clear" w:color="auto" w:fill="F0FF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4,252,504</w:t>
            </w:r>
          </w:p>
        </w:tc>
        <w:tc>
          <w:tcPr>
            <w:tcW w:w="140" w:type="dxa"/>
            <w:vAlign w:val="bottom"/>
            <w:shd w:val="clear" w:color="auto" w:fill="F0FFFF"/>
          </w:tcPr>
          <w:p>
            <w:pPr>
              <w:spacing w:after="0"/>
              <w:rPr>
                <w:sz w:val="20"/>
                <w:szCs w:val="20"/>
                <w:color w:val="auto"/>
              </w:rPr>
            </w:pPr>
          </w:p>
        </w:tc>
        <w:tc>
          <w:tcPr>
            <w:tcW w:w="2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4,107,523</w:t>
            </w:r>
          </w:p>
        </w:tc>
        <w:tc>
          <w:tcPr>
            <w:tcW w:w="12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F0FFFF"/>
            </w:tcBorders>
            <w:shd w:val="clear" w:color="auto" w:fill="F0FFFF"/>
          </w:tcPr>
          <w:p>
            <w:pPr>
              <w:spacing w:after="0" w:line="20" w:lineRule="exact"/>
              <w:rPr>
                <w:sz w:val="1"/>
                <w:szCs w:val="1"/>
                <w:color w:val="auto"/>
              </w:rPr>
            </w:pPr>
          </w:p>
        </w:tc>
        <w:tc>
          <w:tcPr>
            <w:tcW w:w="168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June 30, 2014, December 31, 2013 and June 30, 2013, loans with a carrying value of $2.09 billion, $1.77 billion and $2.00 billion, respectively, were pledged as collateral to secure FHLB advances and other contingent funding sources.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second quarter of 2013, United executed a plan to accelerate the disposition of classified assets including performing classified loans, nonperforming loans and foreclosed properties. The purpose of the accelerated classified asset disposition plan was to resolve legacy credit problems remaining from the recent financial crisis and to accelerate the improvement of United’s credit measures toward pre-crisis levels. The classified asset sales included individual note and foreclosed property sales and a large bulk sale of classified assets to a single investor. The bulk sale included performing and nonperforming classified loans and foreclosed properties. The assets were divided into four separate pools that were bid separately by potential buyers. A single purchaser was the high bidder for each of the four pools.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The table below shows the allocation among impaired loans, loans that were not considered impaired and foreclosed properties, including United’s recorded investment in those assets, the sales proceeds and the resulting net charge-offs of assets sold in the bulk sale transaction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4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w w:val="96"/>
              </w:rPr>
              <w:t>Recorded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Net Sales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Net</w:t>
            </w:r>
          </w:p>
        </w:tc>
      </w:tr>
      <w:tr>
        <w:trPr>
          <w:trHeight w:val="241"/>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Investment</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1"/>
              </w:rPr>
              <w:t>Proceeds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3"/>
              </w:rPr>
              <w:t>Charge-Off</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60" w:type="dxa"/>
            <w:vAlign w:val="bottom"/>
            <w:tcBorders>
              <w:right w:val="single" w:sz="8" w:color="F0FFFF"/>
            </w:tcBorders>
            <w:shd w:val="clear" w:color="auto" w:fill="F0FFFF"/>
          </w:tcPr>
          <w:p>
            <w:pPr>
              <w:spacing w:after="0"/>
              <w:rPr>
                <w:sz w:val="20"/>
                <w:szCs w:val="20"/>
                <w:color w:val="auto"/>
              </w:rPr>
            </w:pPr>
            <w:r>
              <w:rPr>
                <w:rFonts w:ascii="Arial" w:cs="Arial" w:eastAsia="Arial" w:hAnsi="Arial"/>
                <w:sz w:val="18"/>
                <w:szCs w:val="18"/>
                <w:color w:val="auto"/>
              </w:rPr>
              <w:t>Loans considered impaired</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96,829</w:t>
            </w:r>
          </w:p>
        </w:tc>
        <w:tc>
          <w:tcPr>
            <w:tcW w:w="3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56,298</w:t>
            </w:r>
          </w:p>
        </w:tc>
        <w:tc>
          <w:tcPr>
            <w:tcW w:w="3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(40,531)</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Loans not considered impaired</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25,687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15,227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(10,460)</w:t>
            </w:r>
          </w:p>
        </w:tc>
      </w:tr>
      <w:tr>
        <w:trPr>
          <w:trHeight w:val="216"/>
        </w:trPr>
        <w:tc>
          <w:tcPr>
            <w:tcW w:w="20" w:type="dxa"/>
            <w:vAlign w:val="bottom"/>
          </w:tcPr>
          <w:p>
            <w:pPr>
              <w:spacing w:after="0"/>
              <w:rPr>
                <w:sz w:val="18"/>
                <w:szCs w:val="18"/>
                <w:color w:val="auto"/>
              </w:rPr>
            </w:pPr>
          </w:p>
        </w:tc>
        <w:tc>
          <w:tcPr>
            <w:tcW w:w="5160" w:type="dxa"/>
            <w:vAlign w:val="bottom"/>
            <w:tcBorders>
              <w:right w:val="single" w:sz="8" w:color="F0FFFF"/>
            </w:tcBorders>
            <w:shd w:val="clear" w:color="auto" w:fill="F0FFFF"/>
          </w:tcPr>
          <w:p>
            <w:pPr>
              <w:spacing w:after="0"/>
              <w:rPr>
                <w:sz w:val="20"/>
                <w:szCs w:val="20"/>
                <w:color w:val="auto"/>
              </w:rPr>
            </w:pPr>
            <w:r>
              <w:rPr>
                <w:rFonts w:ascii="Arial" w:cs="Arial" w:eastAsia="Arial" w:hAnsi="Arial"/>
                <w:sz w:val="18"/>
                <w:szCs w:val="18"/>
                <w:color w:val="auto"/>
              </w:rPr>
              <w:t>Foreclosed properties</w:t>
            </w:r>
          </w:p>
        </w:tc>
        <w:tc>
          <w:tcPr>
            <w:tcW w:w="10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8,398</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5,933</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(2,465)</w:t>
            </w:r>
          </w:p>
        </w:tc>
      </w:tr>
      <w:tr>
        <w:trPr>
          <w:trHeight w:val="27"/>
        </w:trPr>
        <w:tc>
          <w:tcPr>
            <w:tcW w:w="20" w:type="dxa"/>
            <w:vAlign w:val="bottom"/>
          </w:tcPr>
          <w:p>
            <w:pPr>
              <w:spacing w:after="0"/>
              <w:rPr>
                <w:sz w:val="2"/>
                <w:szCs w:val="2"/>
                <w:color w:val="auto"/>
              </w:rPr>
            </w:pPr>
          </w:p>
        </w:tc>
        <w:tc>
          <w:tcPr>
            <w:tcW w:w="5160" w:type="dxa"/>
            <w:vAlign w:val="bottom"/>
            <w:tcBorders>
              <w:right w:val="single" w:sz="8" w:color="F0FFFF"/>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Total assets sold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130,914</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77,458</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(53,456)</w:t>
            </w:r>
          </w:p>
        </w:tc>
      </w:tr>
      <w:tr>
        <w:trPr>
          <w:trHeight w:val="21"/>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loans considered impaired in the table above were assigned specific reserves of $6.86 million in the most recent analysis of the allowance for loan losses prior to the sale. Because the assets were sold at liquidation prices in a bulk transaction with no recourse, the sales price was generally lower than the appraised value of the foreclosed properties and loan collateral. Although the classified asset sales increased charge-offs during the second quarter of 2013, they accomplished management’s goal of moving classified asset levels toward the pre-crisis range.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allowance for loan losses represents management’s estimate of probable incurred losses in the loan portfolio as of the end of the period. In 2013, United established an allowance for unfunded commitments separate from the allowance for loan losses due to significant growth in unfunded loan commitments. The allowance for unfunded commitments is included in other liabilities in the consolidated balance sheet. Combined, the allowance for loan losses and allowance for unfunded commitments are referred to as the allowance for credit losses.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presents the balance and activity in the allowance for credit losses by portfolio segment for the three and six months ended June 30, 2014 and 2013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Beginning</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Charge-</w:t>
            </w: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3"/>
          </w:tcPr>
          <w:p>
            <w:pPr>
              <w:jc w:val="center"/>
              <w:ind w:right="100"/>
              <w:spacing w:after="0" w:line="126" w:lineRule="exact"/>
              <w:rPr>
                <w:sz w:val="20"/>
                <w:szCs w:val="20"/>
                <w:color w:val="auto"/>
              </w:rPr>
            </w:pPr>
            <w:r>
              <w:rPr>
                <w:rFonts w:ascii="Arial" w:cs="Arial" w:eastAsia="Arial" w:hAnsi="Arial"/>
                <w:sz w:val="14"/>
                <w:szCs w:val="14"/>
                <w:b w:val="1"/>
                <w:bCs w:val="1"/>
                <w:color w:val="auto"/>
                <w:w w:val="94"/>
              </w:rPr>
              <w:t>Allocation</w:t>
            </w: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6"/>
              </w:rPr>
              <w:t>Ending</w:t>
            </w:r>
          </w:p>
        </w:tc>
        <w:tc>
          <w:tcPr>
            <w:tcW w:w="120" w:type="dxa"/>
            <w:vAlign w:val="bottom"/>
          </w:tcPr>
          <w:p>
            <w:pPr>
              <w:spacing w:after="0"/>
              <w:rPr>
                <w:sz w:val="10"/>
                <w:szCs w:val="10"/>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Beginning</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Charge-</w:t>
            </w: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Ending</w:t>
            </w:r>
          </w:p>
        </w:tc>
        <w:tc>
          <w:tcPr>
            <w:tcW w:w="0" w:type="dxa"/>
            <w:vAlign w:val="bottom"/>
          </w:tcPr>
          <w:p>
            <w:pPr>
              <w:spacing w:after="0"/>
              <w:rPr>
                <w:sz w:val="1"/>
                <w:szCs w:val="1"/>
                <w:color w:val="auto"/>
              </w:rPr>
            </w:pPr>
          </w:p>
        </w:tc>
      </w:tr>
      <w:tr>
        <w:trPr>
          <w:trHeight w:val="149"/>
        </w:trPr>
        <w:tc>
          <w:tcPr>
            <w:tcW w:w="2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Three Months Ended June 30,</w:t>
            </w:r>
          </w:p>
        </w:tc>
        <w:tc>
          <w:tcPr>
            <w:tcW w:w="7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5"/>
              </w:rPr>
              <w:t>Recoveries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of</w:t>
            </w:r>
          </w:p>
        </w:tc>
        <w:tc>
          <w:tcPr>
            <w:tcW w:w="8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Provision</w:t>
            </w: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4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0"/>
              </w:rPr>
              <w:t>Recoveries</w:t>
            </w:r>
          </w:p>
        </w:tc>
        <w:tc>
          <w:tcPr>
            <w:tcW w:w="80" w:type="dxa"/>
            <w:vAlign w:val="bottom"/>
          </w:tcPr>
          <w:p>
            <w:pPr>
              <w:spacing w:after="0"/>
              <w:rPr>
                <w:sz w:val="12"/>
                <w:szCs w:val="12"/>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7"/>
              </w:rPr>
              <w:t>Provision</w:t>
            </w: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2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Offs</w:t>
            </w:r>
          </w:p>
        </w:tc>
        <w:tc>
          <w:tcPr>
            <w:tcW w:w="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Unallocated</w:t>
            </w:r>
          </w:p>
        </w:tc>
        <w:tc>
          <w:tcPr>
            <w:tcW w:w="8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center"/>
              <w:ind w:right="8"/>
              <w:spacing w:after="0"/>
              <w:rPr>
                <w:sz w:val="20"/>
                <w:szCs w:val="20"/>
                <w:color w:val="auto"/>
              </w:rPr>
            </w:pPr>
            <w:r>
              <w:rPr>
                <w:rFonts w:ascii="Arial" w:cs="Arial" w:eastAsia="Arial" w:hAnsi="Arial"/>
                <w:sz w:val="14"/>
                <w:szCs w:val="14"/>
                <w:b w:val="1"/>
                <w:bCs w:val="1"/>
                <w:color w:val="auto"/>
                <w:w w:val="93"/>
              </w:rPr>
              <w:t>Balance</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center"/>
              <w:ind w:right="8"/>
              <w:spacing w:after="0"/>
              <w:rPr>
                <w:sz w:val="20"/>
                <w:szCs w:val="20"/>
                <w:color w:val="auto"/>
              </w:rPr>
            </w:pPr>
            <w:r>
              <w:rPr>
                <w:rFonts w:ascii="Arial" w:cs="Arial" w:eastAsia="Arial" w:hAnsi="Arial"/>
                <w:sz w:val="14"/>
                <w:szCs w:val="14"/>
                <w:b w:val="1"/>
                <w:bCs w:val="1"/>
                <w:color w:val="auto"/>
                <w:w w:val="93"/>
              </w:rPr>
              <w:t>Balance</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Offs</w:t>
            </w:r>
          </w:p>
        </w:tc>
        <w:tc>
          <w:tcPr>
            <w:tcW w:w="84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20" w:type="dxa"/>
            <w:vAlign w:val="bottom"/>
            <w:gridSpan w:val="2"/>
            <w:shd w:val="clear" w:color="auto" w:fill="F0FFFF"/>
          </w:tcPr>
          <w:p>
            <w:pPr>
              <w:spacing w:after="0" w:line="130" w:lineRule="exact"/>
              <w:rPr>
                <w:sz w:val="20"/>
                <w:szCs w:val="20"/>
                <w:color w:val="auto"/>
              </w:rPr>
            </w:pPr>
            <w:r>
              <w:rPr>
                <w:rFonts w:ascii="Arial" w:cs="Arial" w:eastAsia="Arial" w:hAnsi="Arial"/>
                <w:sz w:val="14"/>
                <w:szCs w:val="14"/>
                <w:color w:val="auto"/>
              </w:rPr>
              <w:t>Owner occupied commercial real</w:t>
            </w:r>
          </w:p>
        </w:tc>
        <w:tc>
          <w:tcPr>
            <w:tcW w:w="10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100" w:type="dxa"/>
            <w:vAlign w:val="bottom"/>
            <w:tcBorders>
              <w:lef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480" w:type="dxa"/>
            <w:vAlign w:val="bottom"/>
            <w:shd w:val="clear" w:color="auto" w:fill="F0FFFF"/>
          </w:tcPr>
          <w:p>
            <w:pPr>
              <w:spacing w:after="0"/>
              <w:rPr>
                <w:sz w:val="11"/>
                <w:szCs w:val="11"/>
                <w:color w:val="auto"/>
              </w:rPr>
            </w:pPr>
          </w:p>
        </w:tc>
        <w:tc>
          <w:tcPr>
            <w:tcW w:w="100" w:type="dxa"/>
            <w:vAlign w:val="bottom"/>
            <w:tcBorders>
              <w:left w:val="single" w:sz="8" w:color="F0FFFF"/>
            </w:tcBorders>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5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500" w:type="dxa"/>
            <w:vAlign w:val="bottom"/>
            <w:shd w:val="clear" w:color="auto" w:fill="F0FFFF"/>
          </w:tcPr>
          <w:p>
            <w:pPr>
              <w:spacing w:after="0"/>
              <w:rPr>
                <w:sz w:val="11"/>
                <w:szCs w:val="11"/>
                <w:color w:val="auto"/>
              </w:rPr>
            </w:pPr>
          </w:p>
        </w:tc>
        <w:tc>
          <w:tcPr>
            <w:tcW w:w="10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120" w:type="dxa"/>
            <w:vAlign w:val="bottom"/>
            <w:tcBorders>
              <w:lef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120" w:type="dxa"/>
            <w:vAlign w:val="bottom"/>
            <w:tcBorders>
              <w:lef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100" w:type="dxa"/>
            <w:vAlign w:val="bottom"/>
            <w:tcBorders>
              <w:right w:val="single" w:sz="8" w:color="F0FFFF"/>
            </w:tcBorders>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54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20" w:type="dxa"/>
            <w:vAlign w:val="bottom"/>
            <w:gridSpan w:val="2"/>
            <w:shd w:val="clear" w:color="auto" w:fill="F0FFFF"/>
          </w:tcPr>
          <w:p>
            <w:pPr>
              <w:ind w:left="160"/>
              <w:spacing w:after="0"/>
              <w:rPr>
                <w:sz w:val="20"/>
                <w:szCs w:val="20"/>
                <w:color w:val="auto"/>
              </w:rPr>
            </w:pPr>
            <w:r>
              <w:rPr>
                <w:rFonts w:ascii="Arial" w:cs="Arial" w:eastAsia="Arial" w:hAnsi="Arial"/>
                <w:sz w:val="14"/>
                <w:szCs w:val="14"/>
                <w:color w:val="auto"/>
              </w:rPr>
              <w:t>estate</w:t>
            </w:r>
          </w:p>
        </w:tc>
        <w:tc>
          <w:tcPr>
            <w:tcW w:w="10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20,292</w:t>
            </w:r>
          </w:p>
        </w:tc>
        <w:tc>
          <w:tcPr>
            <w:tcW w:w="180" w:type="dxa"/>
            <w:vAlign w:val="bottom"/>
            <w:tcBorders>
              <w:left w:val="single" w:sz="8" w:color="F0FFFF"/>
            </w:tcBorders>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(918)</w:t>
            </w:r>
          </w:p>
        </w:tc>
        <w:tc>
          <w:tcPr>
            <w:tcW w:w="220" w:type="dxa"/>
            <w:vAlign w:val="bottom"/>
            <w:shd w:val="clear" w:color="auto" w:fill="F0FFFF"/>
          </w:tcPr>
          <w:p>
            <w:pPr>
              <w:spacing w:after="0"/>
              <w:rPr>
                <w:sz w:val="20"/>
                <w:szCs w:val="20"/>
                <w:color w:val="auto"/>
              </w:rPr>
            </w:pPr>
            <w:r>
              <w:rPr>
                <w:rFonts w:ascii="Arial" w:cs="Arial" w:eastAsia="Arial" w:hAnsi="Arial"/>
                <w:sz w:val="14"/>
                <w:szCs w:val="14"/>
                <w:color w:val="auto"/>
              </w:rPr>
              <w:t>$</w:t>
            </w:r>
          </w:p>
        </w:tc>
        <w:tc>
          <w:tcPr>
            <w:tcW w:w="4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2,753</w:t>
            </w:r>
          </w:p>
        </w:tc>
        <w:tc>
          <w:tcPr>
            <w:tcW w:w="340" w:type="dxa"/>
            <w:vAlign w:val="bottom"/>
            <w:tcBorders>
              <w:left w:val="single" w:sz="8" w:color="F0FFFF"/>
            </w:tcBorders>
            <w:gridSpan w:val="2"/>
            <w:shd w:val="clear" w:color="auto" w:fill="F0FFFF"/>
          </w:tcPr>
          <w:p>
            <w:pPr>
              <w:ind w:left="1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jc w:val="right"/>
              <w:ind w:right="68"/>
              <w:spacing w:after="0"/>
              <w:rPr>
                <w:sz w:val="20"/>
                <w:szCs w:val="20"/>
                <w:color w:val="auto"/>
              </w:rPr>
            </w:pPr>
            <w:r>
              <w:rPr>
                <w:rFonts w:ascii="Arial" w:cs="Arial" w:eastAsia="Arial" w:hAnsi="Arial"/>
                <w:sz w:val="14"/>
                <w:szCs w:val="14"/>
                <w:color w:val="auto"/>
                <w:w w:val="76"/>
              </w:rPr>
              <w:t>$</w:t>
            </w:r>
          </w:p>
        </w:tc>
        <w:tc>
          <w:tcPr>
            <w:tcW w:w="600" w:type="dxa"/>
            <w:vAlign w:val="bottom"/>
            <w:tcBorders>
              <w:right w:val="single" w:sz="8" w:color="F0FFFF"/>
            </w:tcBorders>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(4,323)</w:t>
            </w:r>
          </w:p>
        </w:tc>
        <w:tc>
          <w:tcPr>
            <w:tcW w:w="10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17,804</w:t>
            </w:r>
          </w:p>
        </w:tc>
        <w:tc>
          <w:tcPr>
            <w:tcW w:w="200" w:type="dxa"/>
            <w:vAlign w:val="bottom"/>
            <w:tcBorders>
              <w:left w:val="single" w:sz="8" w:color="F0FFFF"/>
            </w:tcBorders>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19,765</w:t>
            </w:r>
          </w:p>
        </w:tc>
        <w:tc>
          <w:tcPr>
            <w:tcW w:w="200" w:type="dxa"/>
            <w:vAlign w:val="bottom"/>
            <w:tcBorders>
              <w:left w:val="single" w:sz="8" w:color="F0FFFF"/>
            </w:tcBorders>
            <w:gridSpan w:val="2"/>
            <w:shd w:val="clear" w:color="auto" w:fill="F0FFFF"/>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F0FFFF"/>
            </w:tcBorders>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(19,438)</w:t>
            </w:r>
          </w:p>
        </w:tc>
        <w:tc>
          <w:tcPr>
            <w:tcW w:w="18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1,025</w:t>
            </w:r>
          </w:p>
        </w:tc>
        <w:tc>
          <w:tcPr>
            <w:tcW w:w="80" w:type="dxa"/>
            <w:vAlign w:val="bottom"/>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14,433</w:t>
            </w:r>
          </w:p>
        </w:tc>
        <w:tc>
          <w:tcPr>
            <w:tcW w:w="10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15,785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20" w:type="dxa"/>
            <w:vAlign w:val="bottom"/>
            <w:gridSpan w:val="2"/>
          </w:tcPr>
          <w:p>
            <w:pPr>
              <w:spacing w:after="0" w:line="130" w:lineRule="exact"/>
              <w:rPr>
                <w:sz w:val="20"/>
                <w:szCs w:val="20"/>
                <w:color w:val="auto"/>
              </w:rPr>
            </w:pPr>
            <w:r>
              <w:rPr>
                <w:rFonts w:ascii="Arial" w:cs="Arial" w:eastAsia="Arial" w:hAnsi="Arial"/>
                <w:sz w:val="14"/>
                <w:szCs w:val="14"/>
                <w:color w:val="auto"/>
              </w:rPr>
              <w:t>Income producing commercial real</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20" w:type="dxa"/>
            <w:vAlign w:val="bottom"/>
            <w:gridSpan w:val="2"/>
          </w:tcPr>
          <w:p>
            <w:pPr>
              <w:ind w:left="160"/>
              <w:spacing w:after="0"/>
              <w:rPr>
                <w:sz w:val="20"/>
                <w:szCs w:val="20"/>
                <w:color w:val="auto"/>
              </w:rPr>
            </w:pPr>
            <w:r>
              <w:rPr>
                <w:rFonts w:ascii="Arial" w:cs="Arial" w:eastAsia="Arial" w:hAnsi="Arial"/>
                <w:sz w:val="14"/>
                <w:szCs w:val="14"/>
                <w:color w:val="auto"/>
              </w:rPr>
              <w:t>estate</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10,926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(632)</w:t>
            </w:r>
          </w:p>
        </w:tc>
        <w:tc>
          <w:tcPr>
            <w:tcW w:w="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1,270</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11,761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10,643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(7,302)</w:t>
            </w:r>
          </w:p>
        </w:tc>
        <w:tc>
          <w:tcPr>
            <w:tcW w:w="1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249</w:t>
            </w: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3,433</w:t>
            </w:r>
          </w:p>
        </w:tc>
        <w:tc>
          <w:tcPr>
            <w:tcW w:w="1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7,023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2"/>
            <w:shd w:val="clear" w:color="auto" w:fill="F0FFFF"/>
          </w:tcPr>
          <w:p>
            <w:pPr>
              <w:spacing w:after="0" w:line="149" w:lineRule="exact"/>
              <w:rPr>
                <w:sz w:val="20"/>
                <w:szCs w:val="20"/>
                <w:color w:val="auto"/>
              </w:rPr>
            </w:pPr>
            <w:r>
              <w:rPr>
                <w:rFonts w:ascii="Arial" w:cs="Arial" w:eastAsia="Arial" w:hAnsi="Arial"/>
                <w:sz w:val="14"/>
                <w:szCs w:val="14"/>
                <w:color w:val="auto"/>
              </w:rPr>
              <w:t>Commercial &amp; industrial</w:t>
            </w:r>
          </w:p>
        </w:tc>
        <w:tc>
          <w:tcPr>
            <w:tcW w:w="100" w:type="dxa"/>
            <w:vAlign w:val="bottom"/>
            <w:shd w:val="clear" w:color="auto" w:fill="F0FFFF"/>
          </w:tcPr>
          <w:p>
            <w:pPr>
              <w:spacing w:after="0"/>
              <w:rPr>
                <w:sz w:val="12"/>
                <w:szCs w:val="12"/>
                <w:color w:val="auto"/>
              </w:rPr>
            </w:pPr>
          </w:p>
        </w:tc>
        <w:tc>
          <w:tcPr>
            <w:tcW w:w="6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4,247</w:t>
            </w:r>
          </w:p>
        </w:tc>
        <w:tc>
          <w:tcPr>
            <w:tcW w:w="100" w:type="dxa"/>
            <w:vAlign w:val="bottom"/>
            <w:tcBorders>
              <w:lef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gridSpan w:val="2"/>
            <w:shd w:val="clear" w:color="auto" w:fill="F0FFFF"/>
          </w:tcPr>
          <w:p>
            <w:pPr>
              <w:jc w:val="right"/>
              <w:ind w:right="60"/>
              <w:spacing w:after="0" w:line="149" w:lineRule="exact"/>
              <w:rPr>
                <w:sz w:val="20"/>
                <w:szCs w:val="20"/>
                <w:color w:val="auto"/>
              </w:rPr>
            </w:pPr>
            <w:r>
              <w:rPr>
                <w:rFonts w:ascii="Arial" w:cs="Arial" w:eastAsia="Arial" w:hAnsi="Arial"/>
                <w:sz w:val="14"/>
                <w:szCs w:val="14"/>
                <w:color w:val="auto"/>
              </w:rPr>
              <w:t>(1,012)</w:t>
            </w:r>
          </w:p>
        </w:tc>
        <w:tc>
          <w:tcPr>
            <w:tcW w:w="220" w:type="dxa"/>
            <w:vAlign w:val="bottom"/>
            <w:shd w:val="clear" w:color="auto" w:fill="F0FFFF"/>
          </w:tcPr>
          <w:p>
            <w:pPr>
              <w:spacing w:after="0"/>
              <w:rPr>
                <w:sz w:val="12"/>
                <w:szCs w:val="12"/>
                <w:color w:val="auto"/>
              </w:rPr>
            </w:pPr>
          </w:p>
        </w:tc>
        <w:tc>
          <w:tcPr>
            <w:tcW w:w="4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350</w:t>
            </w:r>
          </w:p>
        </w:tc>
        <w:tc>
          <w:tcPr>
            <w:tcW w:w="100" w:type="dxa"/>
            <w:vAlign w:val="bottom"/>
            <w:tcBorders>
              <w:lef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62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2"/>
                <w:szCs w:val="12"/>
                <w:color w:val="auto"/>
              </w:rPr>
            </w:pPr>
          </w:p>
        </w:tc>
        <w:tc>
          <w:tcPr>
            <w:tcW w:w="600" w:type="dxa"/>
            <w:vAlign w:val="bottom"/>
            <w:tcBorders>
              <w:right w:val="single" w:sz="8" w:color="F0FFFF"/>
            </w:tcBorders>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300</w:t>
            </w:r>
          </w:p>
        </w:tc>
        <w:tc>
          <w:tcPr>
            <w:tcW w:w="100" w:type="dxa"/>
            <w:vAlign w:val="bottom"/>
            <w:shd w:val="clear" w:color="auto" w:fill="F0FFFF"/>
          </w:tcPr>
          <w:p>
            <w:pPr>
              <w:spacing w:after="0"/>
              <w:rPr>
                <w:sz w:val="12"/>
                <w:szCs w:val="12"/>
                <w:color w:val="auto"/>
              </w:rPr>
            </w:pPr>
          </w:p>
        </w:tc>
        <w:tc>
          <w:tcPr>
            <w:tcW w:w="6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3,885</w:t>
            </w:r>
          </w:p>
        </w:tc>
        <w:tc>
          <w:tcPr>
            <w:tcW w:w="120" w:type="dxa"/>
            <w:vAlign w:val="bottom"/>
            <w:tcBorders>
              <w:lef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5,626</w:t>
            </w:r>
          </w:p>
        </w:tc>
        <w:tc>
          <w:tcPr>
            <w:tcW w:w="120" w:type="dxa"/>
            <w:vAlign w:val="bottom"/>
            <w:tcBorders>
              <w:lef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tcBorders>
              <w:right w:val="single" w:sz="8" w:color="F0FFFF"/>
            </w:tcBorders>
            <w:gridSpan w:val="2"/>
            <w:shd w:val="clear" w:color="auto" w:fill="F0FFFF"/>
          </w:tcPr>
          <w:p>
            <w:pPr>
              <w:jc w:val="right"/>
              <w:ind w:right="60"/>
              <w:spacing w:after="0" w:line="149" w:lineRule="exact"/>
              <w:rPr>
                <w:sz w:val="20"/>
                <w:szCs w:val="20"/>
                <w:color w:val="auto"/>
              </w:rPr>
            </w:pPr>
            <w:r>
              <w:rPr>
                <w:rFonts w:ascii="Arial" w:cs="Arial" w:eastAsia="Arial" w:hAnsi="Arial"/>
                <w:sz w:val="14"/>
                <w:szCs w:val="14"/>
                <w:color w:val="auto"/>
              </w:rPr>
              <w:t>(15,932)</w:t>
            </w:r>
          </w:p>
        </w:tc>
        <w:tc>
          <w:tcPr>
            <w:tcW w:w="18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356</w:t>
            </w:r>
          </w:p>
        </w:tc>
        <w:tc>
          <w:tcPr>
            <w:tcW w:w="8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18,004</w:t>
            </w:r>
          </w:p>
        </w:tc>
        <w:tc>
          <w:tcPr>
            <w:tcW w:w="10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8,054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Commercial construction</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3,977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(131)</w:t>
            </w:r>
          </w:p>
        </w:tc>
        <w:tc>
          <w:tcPr>
            <w:tcW w:w="2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221</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4,067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8,108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(6,305)</w:t>
            </w:r>
          </w:p>
        </w:tc>
        <w:tc>
          <w:tcPr>
            <w:tcW w:w="1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2,462</w:t>
            </w: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2"/>
            <w:shd w:val="clear" w:color="auto" w:fill="F0FFFF"/>
          </w:tcPr>
          <w:p>
            <w:pPr>
              <w:spacing w:after="0" w:line="149" w:lineRule="exact"/>
              <w:rPr>
                <w:sz w:val="20"/>
                <w:szCs w:val="20"/>
                <w:color w:val="auto"/>
              </w:rPr>
            </w:pPr>
            <w:r>
              <w:rPr>
                <w:rFonts w:ascii="Arial" w:cs="Arial" w:eastAsia="Arial" w:hAnsi="Arial"/>
                <w:sz w:val="14"/>
                <w:szCs w:val="14"/>
                <w:color w:val="auto"/>
              </w:rPr>
              <w:t>Residential mortgage</w:t>
            </w:r>
          </w:p>
        </w:tc>
        <w:tc>
          <w:tcPr>
            <w:tcW w:w="100" w:type="dxa"/>
            <w:vAlign w:val="bottom"/>
            <w:shd w:val="clear" w:color="auto" w:fill="F0FFFF"/>
          </w:tcPr>
          <w:p>
            <w:pPr>
              <w:spacing w:after="0"/>
              <w:rPr>
                <w:sz w:val="12"/>
                <w:szCs w:val="12"/>
                <w:color w:val="auto"/>
              </w:rPr>
            </w:pPr>
          </w:p>
        </w:tc>
        <w:tc>
          <w:tcPr>
            <w:tcW w:w="6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15,967</w:t>
            </w:r>
          </w:p>
        </w:tc>
        <w:tc>
          <w:tcPr>
            <w:tcW w:w="100" w:type="dxa"/>
            <w:vAlign w:val="bottom"/>
            <w:tcBorders>
              <w:lef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gridSpan w:val="2"/>
            <w:shd w:val="clear" w:color="auto" w:fill="F0FFFF"/>
          </w:tcPr>
          <w:p>
            <w:pPr>
              <w:jc w:val="right"/>
              <w:ind w:right="60"/>
              <w:spacing w:after="0" w:line="149" w:lineRule="exact"/>
              <w:rPr>
                <w:sz w:val="20"/>
                <w:szCs w:val="20"/>
                <w:color w:val="auto"/>
              </w:rPr>
            </w:pPr>
            <w:r>
              <w:rPr>
                <w:rFonts w:ascii="Arial" w:cs="Arial" w:eastAsia="Arial" w:hAnsi="Arial"/>
                <w:sz w:val="14"/>
                <w:szCs w:val="14"/>
                <w:color w:val="auto"/>
              </w:rPr>
              <w:t>(2,800)</w:t>
            </w:r>
          </w:p>
        </w:tc>
        <w:tc>
          <w:tcPr>
            <w:tcW w:w="220" w:type="dxa"/>
            <w:vAlign w:val="bottom"/>
            <w:shd w:val="clear" w:color="auto" w:fill="F0FFFF"/>
          </w:tcPr>
          <w:p>
            <w:pPr>
              <w:spacing w:after="0"/>
              <w:rPr>
                <w:sz w:val="12"/>
                <w:szCs w:val="12"/>
                <w:color w:val="auto"/>
              </w:rPr>
            </w:pPr>
          </w:p>
        </w:tc>
        <w:tc>
          <w:tcPr>
            <w:tcW w:w="4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292</w:t>
            </w:r>
          </w:p>
        </w:tc>
        <w:tc>
          <w:tcPr>
            <w:tcW w:w="100" w:type="dxa"/>
            <w:vAlign w:val="bottom"/>
            <w:tcBorders>
              <w:lef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62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2"/>
                <w:szCs w:val="12"/>
                <w:color w:val="auto"/>
              </w:rPr>
            </w:pPr>
          </w:p>
        </w:tc>
        <w:tc>
          <w:tcPr>
            <w:tcW w:w="600" w:type="dxa"/>
            <w:vAlign w:val="bottom"/>
            <w:tcBorders>
              <w:right w:val="single" w:sz="8" w:color="F0FFFF"/>
            </w:tcBorders>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3,304</w:t>
            </w:r>
          </w:p>
        </w:tc>
        <w:tc>
          <w:tcPr>
            <w:tcW w:w="100" w:type="dxa"/>
            <w:vAlign w:val="bottom"/>
            <w:shd w:val="clear" w:color="auto" w:fill="F0FFFF"/>
          </w:tcPr>
          <w:p>
            <w:pPr>
              <w:spacing w:after="0"/>
              <w:rPr>
                <w:sz w:val="12"/>
                <w:szCs w:val="12"/>
                <w:color w:val="auto"/>
              </w:rPr>
            </w:pPr>
          </w:p>
        </w:tc>
        <w:tc>
          <w:tcPr>
            <w:tcW w:w="6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16,763</w:t>
            </w:r>
          </w:p>
        </w:tc>
        <w:tc>
          <w:tcPr>
            <w:tcW w:w="120" w:type="dxa"/>
            <w:vAlign w:val="bottom"/>
            <w:tcBorders>
              <w:lef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19,223</w:t>
            </w:r>
          </w:p>
        </w:tc>
        <w:tc>
          <w:tcPr>
            <w:tcW w:w="120" w:type="dxa"/>
            <w:vAlign w:val="bottom"/>
            <w:tcBorders>
              <w:lef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tcBorders>
              <w:right w:val="single" w:sz="8" w:color="F0FFFF"/>
            </w:tcBorders>
            <w:gridSpan w:val="2"/>
            <w:shd w:val="clear" w:color="auto" w:fill="F0FFFF"/>
          </w:tcPr>
          <w:p>
            <w:pPr>
              <w:jc w:val="right"/>
              <w:ind w:right="60"/>
              <w:spacing w:after="0" w:line="149" w:lineRule="exact"/>
              <w:rPr>
                <w:sz w:val="20"/>
                <w:szCs w:val="20"/>
                <w:color w:val="auto"/>
              </w:rPr>
            </w:pPr>
            <w:r>
              <w:rPr>
                <w:rFonts w:ascii="Arial" w:cs="Arial" w:eastAsia="Arial" w:hAnsi="Arial"/>
                <w:sz w:val="14"/>
                <w:szCs w:val="14"/>
                <w:color w:val="auto"/>
              </w:rPr>
              <w:t>(5,557)</w:t>
            </w:r>
          </w:p>
        </w:tc>
        <w:tc>
          <w:tcPr>
            <w:tcW w:w="18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88</w:t>
            </w:r>
          </w:p>
        </w:tc>
        <w:tc>
          <w:tcPr>
            <w:tcW w:w="8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744</w:t>
            </w:r>
          </w:p>
        </w:tc>
        <w:tc>
          <w:tcPr>
            <w:tcW w:w="10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14,498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Home equity lines of credit</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6,120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(624)</w:t>
            </w:r>
          </w:p>
        </w:tc>
        <w:tc>
          <w:tcPr>
            <w:tcW w:w="2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158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684</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6,338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7,705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(1,161)</w:t>
            </w:r>
          </w:p>
        </w:tc>
        <w:tc>
          <w:tcPr>
            <w:tcW w:w="1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121</w:t>
            </w: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(1,136)</w:t>
            </w: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5,529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2"/>
            <w:shd w:val="clear" w:color="auto" w:fill="F0FFFF"/>
          </w:tcPr>
          <w:p>
            <w:pPr>
              <w:spacing w:after="0" w:line="149" w:lineRule="exact"/>
              <w:rPr>
                <w:sz w:val="20"/>
                <w:szCs w:val="20"/>
                <w:color w:val="auto"/>
              </w:rPr>
            </w:pPr>
            <w:r>
              <w:rPr>
                <w:rFonts w:ascii="Arial" w:cs="Arial" w:eastAsia="Arial" w:hAnsi="Arial"/>
                <w:sz w:val="14"/>
                <w:szCs w:val="14"/>
                <w:color w:val="auto"/>
              </w:rPr>
              <w:t>Residential construction</w:t>
            </w:r>
          </w:p>
        </w:tc>
        <w:tc>
          <w:tcPr>
            <w:tcW w:w="100" w:type="dxa"/>
            <w:vAlign w:val="bottom"/>
            <w:shd w:val="clear" w:color="auto" w:fill="F0FFFF"/>
          </w:tcPr>
          <w:p>
            <w:pPr>
              <w:spacing w:after="0"/>
              <w:rPr>
                <w:sz w:val="12"/>
                <w:szCs w:val="12"/>
                <w:color w:val="auto"/>
              </w:rPr>
            </w:pPr>
          </w:p>
        </w:tc>
        <w:tc>
          <w:tcPr>
            <w:tcW w:w="6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12,181</w:t>
            </w:r>
          </w:p>
        </w:tc>
        <w:tc>
          <w:tcPr>
            <w:tcW w:w="100" w:type="dxa"/>
            <w:vAlign w:val="bottom"/>
            <w:tcBorders>
              <w:lef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gridSpan w:val="2"/>
            <w:shd w:val="clear" w:color="auto" w:fill="F0FFFF"/>
          </w:tcPr>
          <w:p>
            <w:pPr>
              <w:jc w:val="right"/>
              <w:ind w:right="60"/>
              <w:spacing w:after="0" w:line="149" w:lineRule="exact"/>
              <w:rPr>
                <w:sz w:val="20"/>
                <w:szCs w:val="20"/>
                <w:color w:val="auto"/>
              </w:rPr>
            </w:pPr>
            <w:r>
              <w:rPr>
                <w:rFonts w:ascii="Arial" w:cs="Arial" w:eastAsia="Arial" w:hAnsi="Arial"/>
                <w:sz w:val="14"/>
                <w:szCs w:val="14"/>
                <w:color w:val="auto"/>
              </w:rPr>
              <w:t>(1,946)</w:t>
            </w:r>
          </w:p>
        </w:tc>
        <w:tc>
          <w:tcPr>
            <w:tcW w:w="220" w:type="dxa"/>
            <w:vAlign w:val="bottom"/>
            <w:shd w:val="clear" w:color="auto" w:fill="F0FFFF"/>
          </w:tcPr>
          <w:p>
            <w:pPr>
              <w:spacing w:after="0"/>
              <w:rPr>
                <w:sz w:val="12"/>
                <w:szCs w:val="12"/>
                <w:color w:val="auto"/>
              </w:rPr>
            </w:pPr>
          </w:p>
        </w:tc>
        <w:tc>
          <w:tcPr>
            <w:tcW w:w="4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275</w:t>
            </w:r>
          </w:p>
        </w:tc>
        <w:tc>
          <w:tcPr>
            <w:tcW w:w="100" w:type="dxa"/>
            <w:vAlign w:val="bottom"/>
            <w:tcBorders>
              <w:lef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62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2"/>
                <w:szCs w:val="12"/>
                <w:color w:val="auto"/>
              </w:rPr>
            </w:pPr>
          </w:p>
        </w:tc>
        <w:tc>
          <w:tcPr>
            <w:tcW w:w="600" w:type="dxa"/>
            <w:vAlign w:val="bottom"/>
            <w:tcBorders>
              <w:right w:val="single" w:sz="8" w:color="F0FFFF"/>
            </w:tcBorders>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698</w:t>
            </w:r>
          </w:p>
        </w:tc>
        <w:tc>
          <w:tcPr>
            <w:tcW w:w="100" w:type="dxa"/>
            <w:vAlign w:val="bottom"/>
            <w:shd w:val="clear" w:color="auto" w:fill="F0FFFF"/>
          </w:tcPr>
          <w:p>
            <w:pPr>
              <w:spacing w:after="0"/>
              <w:rPr>
                <w:sz w:val="12"/>
                <w:szCs w:val="12"/>
                <w:color w:val="auto"/>
              </w:rPr>
            </w:pPr>
          </w:p>
        </w:tc>
        <w:tc>
          <w:tcPr>
            <w:tcW w:w="6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11,208</w:t>
            </w:r>
          </w:p>
        </w:tc>
        <w:tc>
          <w:tcPr>
            <w:tcW w:w="120" w:type="dxa"/>
            <w:vAlign w:val="bottom"/>
            <w:tcBorders>
              <w:lef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23,326</w:t>
            </w:r>
          </w:p>
        </w:tc>
        <w:tc>
          <w:tcPr>
            <w:tcW w:w="120" w:type="dxa"/>
            <w:vAlign w:val="bottom"/>
            <w:tcBorders>
              <w:lef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tcBorders>
              <w:right w:val="single" w:sz="8" w:color="F0FFFF"/>
            </w:tcBorders>
            <w:gridSpan w:val="2"/>
            <w:shd w:val="clear" w:color="auto" w:fill="F0FFFF"/>
          </w:tcPr>
          <w:p>
            <w:pPr>
              <w:jc w:val="right"/>
              <w:ind w:right="60"/>
              <w:spacing w:after="0" w:line="149" w:lineRule="exact"/>
              <w:rPr>
                <w:sz w:val="20"/>
                <w:szCs w:val="20"/>
                <w:color w:val="auto"/>
              </w:rPr>
            </w:pPr>
            <w:r>
              <w:rPr>
                <w:rFonts w:ascii="Arial" w:cs="Arial" w:eastAsia="Arial" w:hAnsi="Arial"/>
                <w:sz w:val="14"/>
                <w:szCs w:val="14"/>
                <w:color w:val="auto"/>
              </w:rPr>
              <w:t>(18,530)</w:t>
            </w:r>
          </w:p>
        </w:tc>
        <w:tc>
          <w:tcPr>
            <w:tcW w:w="18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24</w:t>
            </w:r>
          </w:p>
        </w:tc>
        <w:tc>
          <w:tcPr>
            <w:tcW w:w="8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12,502</w:t>
            </w:r>
          </w:p>
        </w:tc>
        <w:tc>
          <w:tcPr>
            <w:tcW w:w="10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17,322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Consumer installment</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717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(455)</w:t>
            </w:r>
          </w:p>
        </w:tc>
        <w:tc>
          <w:tcPr>
            <w:tcW w:w="2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391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(54)</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599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1,780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(511)</w:t>
            </w:r>
          </w:p>
        </w:tc>
        <w:tc>
          <w:tcPr>
            <w:tcW w:w="1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500</w:t>
            </w: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(254)</w:t>
            </w: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2"/>
            <w:shd w:val="clear" w:color="auto" w:fill="F0FFFF"/>
          </w:tcPr>
          <w:p>
            <w:pPr>
              <w:spacing w:after="0" w:line="149" w:lineRule="exact"/>
              <w:rPr>
                <w:sz w:val="20"/>
                <w:szCs w:val="20"/>
                <w:color w:val="auto"/>
              </w:rPr>
            </w:pPr>
            <w:r>
              <w:rPr>
                <w:rFonts w:ascii="Arial" w:cs="Arial" w:eastAsia="Arial" w:hAnsi="Arial"/>
                <w:sz w:val="14"/>
                <w:szCs w:val="14"/>
                <w:color w:val="auto"/>
              </w:rPr>
              <w:t>Indirect auto</w:t>
            </w:r>
          </w:p>
        </w:tc>
        <w:tc>
          <w:tcPr>
            <w:tcW w:w="100" w:type="dxa"/>
            <w:vAlign w:val="bottom"/>
            <w:shd w:val="clear" w:color="auto" w:fill="F0FFFF"/>
          </w:tcPr>
          <w:p>
            <w:pPr>
              <w:spacing w:after="0"/>
              <w:rPr>
                <w:sz w:val="12"/>
                <w:szCs w:val="12"/>
                <w:color w:val="auto"/>
              </w:rPr>
            </w:pPr>
          </w:p>
        </w:tc>
        <w:tc>
          <w:tcPr>
            <w:tcW w:w="6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796</w:t>
            </w:r>
          </w:p>
        </w:tc>
        <w:tc>
          <w:tcPr>
            <w:tcW w:w="100" w:type="dxa"/>
            <w:vAlign w:val="bottom"/>
            <w:tcBorders>
              <w:lef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gridSpan w:val="2"/>
            <w:shd w:val="clear" w:color="auto" w:fill="F0FFFF"/>
          </w:tcPr>
          <w:p>
            <w:pPr>
              <w:jc w:val="right"/>
              <w:ind w:right="60"/>
              <w:spacing w:after="0" w:line="149" w:lineRule="exact"/>
              <w:rPr>
                <w:sz w:val="20"/>
                <w:szCs w:val="20"/>
                <w:color w:val="auto"/>
              </w:rPr>
            </w:pPr>
            <w:r>
              <w:rPr>
                <w:rFonts w:ascii="Arial" w:cs="Arial" w:eastAsia="Arial" w:hAnsi="Arial"/>
                <w:sz w:val="14"/>
                <w:szCs w:val="14"/>
                <w:color w:val="auto"/>
              </w:rPr>
              <w:t>(89)</w:t>
            </w:r>
          </w:p>
        </w:tc>
        <w:tc>
          <w:tcPr>
            <w:tcW w:w="220" w:type="dxa"/>
            <w:vAlign w:val="bottom"/>
            <w:shd w:val="clear" w:color="auto" w:fill="F0FFFF"/>
          </w:tcPr>
          <w:p>
            <w:pPr>
              <w:spacing w:after="0"/>
              <w:rPr>
                <w:sz w:val="12"/>
                <w:szCs w:val="12"/>
                <w:color w:val="auto"/>
              </w:rPr>
            </w:pPr>
          </w:p>
        </w:tc>
        <w:tc>
          <w:tcPr>
            <w:tcW w:w="4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16</w:t>
            </w:r>
          </w:p>
        </w:tc>
        <w:tc>
          <w:tcPr>
            <w:tcW w:w="100" w:type="dxa"/>
            <w:vAlign w:val="bottom"/>
            <w:tcBorders>
              <w:lef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62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2"/>
                <w:szCs w:val="12"/>
                <w:color w:val="auto"/>
              </w:rPr>
            </w:pPr>
          </w:p>
        </w:tc>
        <w:tc>
          <w:tcPr>
            <w:tcW w:w="600" w:type="dxa"/>
            <w:vAlign w:val="bottom"/>
            <w:tcBorders>
              <w:right w:val="single" w:sz="8" w:color="F0FFFF"/>
            </w:tcBorders>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100" w:type="dxa"/>
            <w:vAlign w:val="bottom"/>
            <w:shd w:val="clear" w:color="auto" w:fill="F0FFFF"/>
          </w:tcPr>
          <w:p>
            <w:pPr>
              <w:spacing w:after="0"/>
              <w:rPr>
                <w:sz w:val="12"/>
                <w:szCs w:val="12"/>
                <w:color w:val="auto"/>
              </w:rPr>
            </w:pPr>
          </w:p>
        </w:tc>
        <w:tc>
          <w:tcPr>
            <w:tcW w:w="6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823</w:t>
            </w:r>
          </w:p>
        </w:tc>
        <w:tc>
          <w:tcPr>
            <w:tcW w:w="120" w:type="dxa"/>
            <w:vAlign w:val="bottom"/>
            <w:tcBorders>
              <w:lef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312</w:t>
            </w:r>
          </w:p>
        </w:tc>
        <w:tc>
          <w:tcPr>
            <w:tcW w:w="120" w:type="dxa"/>
            <w:vAlign w:val="bottom"/>
            <w:tcBorders>
              <w:lef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tcBorders>
              <w:right w:val="single" w:sz="8" w:color="F0FFFF"/>
            </w:tcBorders>
            <w:gridSpan w:val="2"/>
            <w:shd w:val="clear" w:color="auto" w:fill="F0FFFF"/>
          </w:tcPr>
          <w:p>
            <w:pPr>
              <w:jc w:val="right"/>
              <w:ind w:right="60"/>
              <w:spacing w:after="0" w:line="149" w:lineRule="exact"/>
              <w:rPr>
                <w:sz w:val="20"/>
                <w:szCs w:val="20"/>
                <w:color w:val="auto"/>
              </w:rPr>
            </w:pPr>
            <w:r>
              <w:rPr>
                <w:rFonts w:ascii="Arial" w:cs="Arial" w:eastAsia="Arial" w:hAnsi="Arial"/>
                <w:sz w:val="14"/>
                <w:szCs w:val="14"/>
                <w:color w:val="auto"/>
              </w:rPr>
              <w:t>(54)</w:t>
            </w:r>
          </w:p>
        </w:tc>
        <w:tc>
          <w:tcPr>
            <w:tcW w:w="18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9</w:t>
            </w:r>
          </w:p>
        </w:tc>
        <w:tc>
          <w:tcPr>
            <w:tcW w:w="8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608</w:t>
            </w:r>
          </w:p>
        </w:tc>
        <w:tc>
          <w:tcPr>
            <w:tcW w:w="100" w:type="dxa"/>
            <w:vAlign w:val="bottom"/>
            <w:shd w:val="clear" w:color="auto" w:fill="F0FFFF"/>
          </w:tcPr>
          <w:p>
            <w:pPr>
              <w:spacing w:after="0"/>
              <w:rPr>
                <w:sz w:val="12"/>
                <w:szCs w:val="12"/>
                <w:color w:val="auto"/>
              </w:rPr>
            </w:pPr>
          </w:p>
        </w:tc>
        <w:tc>
          <w:tcPr>
            <w:tcW w:w="66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875</w:t>
            </w: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Unallocated</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9,265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(2,296)</w:t>
            </w: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6,969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2"/>
            <w:shd w:val="clear" w:color="auto" w:fill="F0FFFF"/>
          </w:tcPr>
          <w:p>
            <w:pPr>
              <w:ind w:left="160"/>
              <w:spacing w:after="0" w:line="149" w:lineRule="exact"/>
              <w:rPr>
                <w:sz w:val="20"/>
                <w:szCs w:val="20"/>
                <w:color w:val="auto"/>
              </w:rPr>
            </w:pPr>
            <w:r>
              <w:rPr>
                <w:rFonts w:ascii="Arial" w:cs="Arial" w:eastAsia="Arial" w:hAnsi="Arial"/>
                <w:sz w:val="14"/>
                <w:szCs w:val="14"/>
                <w:color w:val="auto"/>
              </w:rPr>
              <w:t>Total allowance for loan losses</w:t>
            </w:r>
          </w:p>
        </w:tc>
        <w:tc>
          <w:tcPr>
            <w:tcW w:w="100" w:type="dxa"/>
            <w:vAlign w:val="bottom"/>
            <w:shd w:val="clear" w:color="auto" w:fill="F0FFFF"/>
          </w:tcPr>
          <w:p>
            <w:pPr>
              <w:spacing w:after="0"/>
              <w:rPr>
                <w:sz w:val="12"/>
                <w:szCs w:val="12"/>
                <w:color w:val="auto"/>
              </w:rPr>
            </w:pPr>
          </w:p>
        </w:tc>
        <w:tc>
          <w:tcPr>
            <w:tcW w:w="6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75,223</w:t>
            </w:r>
          </w:p>
        </w:tc>
        <w:tc>
          <w:tcPr>
            <w:tcW w:w="100" w:type="dxa"/>
            <w:vAlign w:val="bottom"/>
            <w:tcBorders>
              <w:lef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gridSpan w:val="2"/>
            <w:shd w:val="clear" w:color="auto" w:fill="F0FFFF"/>
          </w:tcPr>
          <w:p>
            <w:pPr>
              <w:jc w:val="right"/>
              <w:ind w:right="60"/>
              <w:spacing w:after="0" w:line="149" w:lineRule="exact"/>
              <w:rPr>
                <w:sz w:val="20"/>
                <w:szCs w:val="20"/>
                <w:color w:val="auto"/>
              </w:rPr>
            </w:pPr>
            <w:r>
              <w:rPr>
                <w:rFonts w:ascii="Arial" w:cs="Arial" w:eastAsia="Arial" w:hAnsi="Arial"/>
                <w:sz w:val="14"/>
                <w:szCs w:val="14"/>
                <w:color w:val="auto"/>
              </w:rPr>
              <w:t>(8,607)</w:t>
            </w:r>
          </w:p>
        </w:tc>
        <w:tc>
          <w:tcPr>
            <w:tcW w:w="220" w:type="dxa"/>
            <w:vAlign w:val="bottom"/>
            <w:shd w:val="clear" w:color="auto" w:fill="F0FFFF"/>
          </w:tcPr>
          <w:p>
            <w:pPr>
              <w:spacing w:after="0"/>
              <w:rPr>
                <w:sz w:val="12"/>
                <w:szCs w:val="12"/>
                <w:color w:val="auto"/>
              </w:rPr>
            </w:pPr>
          </w:p>
        </w:tc>
        <w:tc>
          <w:tcPr>
            <w:tcW w:w="4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4,432</w:t>
            </w:r>
          </w:p>
        </w:tc>
        <w:tc>
          <w:tcPr>
            <w:tcW w:w="100" w:type="dxa"/>
            <w:vAlign w:val="bottom"/>
            <w:tcBorders>
              <w:lef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62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2"/>
                <w:szCs w:val="12"/>
                <w:color w:val="auto"/>
              </w:rPr>
            </w:pPr>
          </w:p>
        </w:tc>
        <w:tc>
          <w:tcPr>
            <w:tcW w:w="600" w:type="dxa"/>
            <w:vAlign w:val="bottom"/>
            <w:tcBorders>
              <w:right w:val="single" w:sz="8" w:color="F0FFFF"/>
            </w:tcBorders>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2,200</w:t>
            </w:r>
          </w:p>
        </w:tc>
        <w:tc>
          <w:tcPr>
            <w:tcW w:w="100" w:type="dxa"/>
            <w:vAlign w:val="bottom"/>
            <w:shd w:val="clear" w:color="auto" w:fill="F0FFFF"/>
          </w:tcPr>
          <w:p>
            <w:pPr>
              <w:spacing w:after="0"/>
              <w:rPr>
                <w:sz w:val="12"/>
                <w:szCs w:val="12"/>
                <w:color w:val="auto"/>
              </w:rPr>
            </w:pPr>
          </w:p>
        </w:tc>
        <w:tc>
          <w:tcPr>
            <w:tcW w:w="6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73,248</w:t>
            </w:r>
          </w:p>
        </w:tc>
        <w:tc>
          <w:tcPr>
            <w:tcW w:w="120" w:type="dxa"/>
            <w:vAlign w:val="bottom"/>
            <w:tcBorders>
              <w:lef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105,753</w:t>
            </w:r>
          </w:p>
        </w:tc>
        <w:tc>
          <w:tcPr>
            <w:tcW w:w="120" w:type="dxa"/>
            <w:vAlign w:val="bottom"/>
            <w:tcBorders>
              <w:lef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tcBorders>
              <w:right w:val="single" w:sz="8" w:color="F0FFFF"/>
            </w:tcBorders>
            <w:gridSpan w:val="2"/>
            <w:shd w:val="clear" w:color="auto" w:fill="F0FFFF"/>
          </w:tcPr>
          <w:p>
            <w:pPr>
              <w:jc w:val="right"/>
              <w:ind w:right="60"/>
              <w:spacing w:after="0" w:line="149" w:lineRule="exact"/>
              <w:rPr>
                <w:sz w:val="20"/>
                <w:szCs w:val="20"/>
                <w:color w:val="auto"/>
              </w:rPr>
            </w:pPr>
            <w:r>
              <w:rPr>
                <w:rFonts w:ascii="Arial" w:cs="Arial" w:eastAsia="Arial" w:hAnsi="Arial"/>
                <w:sz w:val="14"/>
                <w:szCs w:val="14"/>
                <w:color w:val="auto"/>
              </w:rPr>
              <w:t>(74,790)</w:t>
            </w:r>
          </w:p>
        </w:tc>
        <w:tc>
          <w:tcPr>
            <w:tcW w:w="18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2,382</w:t>
            </w:r>
          </w:p>
        </w:tc>
        <w:tc>
          <w:tcPr>
            <w:tcW w:w="8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48,500</w:t>
            </w:r>
          </w:p>
        </w:tc>
        <w:tc>
          <w:tcPr>
            <w:tcW w:w="10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81,845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20" w:type="dxa"/>
            <w:vAlign w:val="bottom"/>
            <w:gridSpan w:val="2"/>
          </w:tcPr>
          <w:p>
            <w:pPr>
              <w:spacing w:after="0" w:line="130" w:lineRule="exact"/>
              <w:rPr>
                <w:sz w:val="20"/>
                <w:szCs w:val="20"/>
                <w:color w:val="auto"/>
              </w:rPr>
            </w:pPr>
            <w:r>
              <w:rPr>
                <w:rFonts w:ascii="Arial" w:cs="Arial" w:eastAsia="Arial" w:hAnsi="Arial"/>
                <w:sz w:val="14"/>
                <w:szCs w:val="14"/>
                <w:color w:val="auto"/>
              </w:rPr>
              <w:t>Allowance for unfunded</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20" w:type="dxa"/>
            <w:vAlign w:val="bottom"/>
            <w:gridSpan w:val="2"/>
          </w:tcPr>
          <w:p>
            <w:pPr>
              <w:ind w:left="160"/>
              <w:spacing w:after="0"/>
              <w:rPr>
                <w:sz w:val="20"/>
                <w:szCs w:val="20"/>
                <w:color w:val="auto"/>
              </w:rPr>
            </w:pPr>
            <w:r>
              <w:rPr>
                <w:rFonts w:ascii="Arial" w:cs="Arial" w:eastAsia="Arial" w:hAnsi="Arial"/>
                <w:sz w:val="14"/>
                <w:szCs w:val="14"/>
                <w:color w:val="auto"/>
              </w:rPr>
              <w:t>commitments</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2,165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2,165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20" w:type="dxa"/>
            <w:vAlign w:val="bottom"/>
            <w:gridSpan w:val="2"/>
            <w:shd w:val="clear" w:color="auto" w:fill="F0FFFF"/>
          </w:tcPr>
          <w:p>
            <w:pPr>
              <w:ind w:left="160"/>
              <w:spacing w:after="0" w:line="149" w:lineRule="exact"/>
              <w:rPr>
                <w:sz w:val="20"/>
                <w:szCs w:val="20"/>
                <w:color w:val="auto"/>
              </w:rPr>
            </w:pPr>
            <w:r>
              <w:rPr>
                <w:rFonts w:ascii="Arial" w:cs="Arial" w:eastAsia="Arial" w:hAnsi="Arial"/>
                <w:sz w:val="14"/>
                <w:szCs w:val="14"/>
                <w:color w:val="auto"/>
              </w:rPr>
              <w:t>Total allowance for credit losses</w:t>
            </w:r>
          </w:p>
        </w:tc>
        <w:tc>
          <w:tcPr>
            <w:tcW w:w="1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77,388</w:t>
            </w:r>
          </w:p>
        </w:tc>
        <w:tc>
          <w:tcPr>
            <w:tcW w:w="100" w:type="dxa"/>
            <w:vAlign w:val="bottom"/>
            <w:tcBorders>
              <w:left w:val="single" w:sz="8" w:color="F0FFFF"/>
            </w:tcBorders>
            <w:shd w:val="clear" w:color="auto" w:fill="F0FFFF"/>
          </w:tcPr>
          <w:p>
            <w:pPr>
              <w:spacing w:after="0"/>
              <w:rPr>
                <w:sz w:val="16"/>
                <w:szCs w:val="16"/>
                <w:color w:val="auto"/>
              </w:rPr>
            </w:pPr>
          </w:p>
        </w:tc>
        <w:tc>
          <w:tcPr>
            <w:tcW w:w="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3"/>
            <w:shd w:val="clear" w:color="auto" w:fill="F0FFFF"/>
          </w:tcPr>
          <w:p>
            <w:pPr>
              <w:jc w:val="right"/>
              <w:ind w:right="88"/>
              <w:spacing w:after="0" w:line="149" w:lineRule="exact"/>
              <w:rPr>
                <w:sz w:val="20"/>
                <w:szCs w:val="20"/>
                <w:color w:val="auto"/>
              </w:rPr>
            </w:pPr>
            <w:r>
              <w:rPr>
                <w:rFonts w:ascii="Arial" w:cs="Arial" w:eastAsia="Arial" w:hAnsi="Arial"/>
                <w:sz w:val="14"/>
                <w:szCs w:val="14"/>
                <w:color w:val="auto"/>
              </w:rPr>
              <w:t>(8,607) $</w:t>
            </w:r>
          </w:p>
        </w:tc>
        <w:tc>
          <w:tcPr>
            <w:tcW w:w="4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4,432</w:t>
            </w:r>
          </w:p>
        </w:tc>
        <w:tc>
          <w:tcPr>
            <w:tcW w:w="340" w:type="dxa"/>
            <w:vAlign w:val="bottom"/>
            <w:tcBorders>
              <w:left w:val="single" w:sz="8" w:color="F0FFFF"/>
            </w:tcBorders>
            <w:gridSpan w:val="2"/>
            <w:shd w:val="clear" w:color="auto" w:fill="F0FFFF"/>
          </w:tcPr>
          <w:p>
            <w:pPr>
              <w:ind w:left="1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Borders>
              <w:right w:val="single" w:sz="8" w:color="F0FFFF"/>
            </w:tcBorders>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2,200</w:t>
            </w:r>
          </w:p>
        </w:tc>
        <w:tc>
          <w:tcPr>
            <w:tcW w:w="1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75,413</w:t>
            </w:r>
          </w:p>
        </w:tc>
        <w:tc>
          <w:tcPr>
            <w:tcW w:w="200" w:type="dxa"/>
            <w:vAlign w:val="bottom"/>
            <w:tcBorders>
              <w:left w:val="single" w:sz="8" w:color="F0FFFF"/>
            </w:tcBorders>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105,753</w:t>
            </w:r>
          </w:p>
        </w:tc>
        <w:tc>
          <w:tcPr>
            <w:tcW w:w="200" w:type="dxa"/>
            <w:vAlign w:val="bottom"/>
            <w:tcBorders>
              <w:left w:val="single" w:sz="8" w:color="F0FFFF"/>
            </w:tcBorders>
            <w:gridSpan w:val="2"/>
            <w:shd w:val="clear" w:color="auto" w:fill="F0FF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F0FFFF"/>
          </w:tcPr>
          <w:p>
            <w:pPr>
              <w:jc w:val="right"/>
              <w:ind w:right="28"/>
              <w:spacing w:after="0" w:line="149" w:lineRule="exact"/>
              <w:rPr>
                <w:sz w:val="20"/>
                <w:szCs w:val="20"/>
                <w:color w:val="auto"/>
              </w:rPr>
            </w:pPr>
            <w:r>
              <w:rPr>
                <w:rFonts w:ascii="Arial" w:cs="Arial" w:eastAsia="Arial" w:hAnsi="Arial"/>
                <w:sz w:val="14"/>
                <w:szCs w:val="14"/>
                <w:color w:val="auto"/>
              </w:rPr>
              <w:t>(74,790) $</w:t>
            </w:r>
          </w:p>
        </w:tc>
        <w:tc>
          <w:tcPr>
            <w:tcW w:w="66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2,382</w:t>
            </w:r>
          </w:p>
        </w:tc>
        <w:tc>
          <w:tcPr>
            <w:tcW w:w="80" w:type="dxa"/>
            <w:vAlign w:val="bottom"/>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48,500</w:t>
            </w:r>
          </w:p>
        </w:tc>
        <w:tc>
          <w:tcPr>
            <w:tcW w:w="1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81,845</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120" w:type="dxa"/>
            <w:vAlign w:val="bottom"/>
            <w:tcBorders>
              <w:top w:val="single" w:sz="8" w:color="F0FFFF"/>
            </w:tcBorders>
          </w:tcPr>
          <w:p>
            <w:pPr>
              <w:spacing w:after="0"/>
              <w:rPr>
                <w:sz w:val="23"/>
                <w:szCs w:val="23"/>
                <w:color w:val="auto"/>
              </w:rPr>
            </w:pPr>
          </w:p>
        </w:tc>
        <w:tc>
          <w:tcPr>
            <w:tcW w:w="100" w:type="dxa"/>
            <w:vAlign w:val="bottom"/>
            <w:tcBorders>
              <w:top w:val="single" w:sz="8" w:color="F0FFFF"/>
            </w:tcBorders>
          </w:tcPr>
          <w:p>
            <w:pPr>
              <w:spacing w:after="0"/>
              <w:rPr>
                <w:sz w:val="23"/>
                <w:szCs w:val="23"/>
                <w:color w:val="auto"/>
              </w:rPr>
            </w:pPr>
          </w:p>
        </w:tc>
        <w:tc>
          <w:tcPr>
            <w:tcW w:w="72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93"/>
              </w:rPr>
              <w:t>Beginning</w:t>
            </w:r>
          </w:p>
        </w:tc>
        <w:tc>
          <w:tcPr>
            <w:tcW w:w="100" w:type="dxa"/>
            <w:vAlign w:val="bottom"/>
            <w:tcBorders>
              <w:top w:val="single" w:sz="8" w:color="F0FF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vMerge w:val="restart"/>
          </w:tcPr>
          <w:p>
            <w:pPr>
              <w:jc w:val="center"/>
              <w:ind w:right="8"/>
              <w:spacing w:after="0"/>
              <w:rPr>
                <w:sz w:val="20"/>
                <w:szCs w:val="20"/>
                <w:color w:val="auto"/>
              </w:rPr>
            </w:pPr>
            <w:r>
              <w:rPr>
                <w:rFonts w:ascii="Arial" w:cs="Arial" w:eastAsia="Arial" w:hAnsi="Arial"/>
                <w:sz w:val="14"/>
                <w:szCs w:val="14"/>
                <w:b w:val="1"/>
                <w:bCs w:val="1"/>
                <w:color w:val="auto"/>
                <w:w w:val="94"/>
              </w:rPr>
              <w:t>Charge-</w:t>
            </w:r>
          </w:p>
        </w:tc>
        <w:tc>
          <w:tcPr>
            <w:tcW w:w="120" w:type="dxa"/>
            <w:vAlign w:val="bottom"/>
            <w:tcBorders>
              <w:top w:val="single" w:sz="8" w:color="F0FFFF"/>
            </w:tcBorders>
            <w:vMerge w:val="restart"/>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100" w:type="dxa"/>
            <w:vAlign w:val="bottom"/>
            <w:tcBorders>
              <w:top w:val="single" w:sz="8" w:color="F0FFFF"/>
            </w:tcBorders>
          </w:tcPr>
          <w:p>
            <w:pPr>
              <w:spacing w:after="0"/>
              <w:rPr>
                <w:sz w:val="23"/>
                <w:szCs w:val="23"/>
                <w:color w:val="auto"/>
              </w:rPr>
            </w:pPr>
          </w:p>
        </w:tc>
        <w:tc>
          <w:tcPr>
            <w:tcW w:w="7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Allocation</w:t>
            </w:r>
          </w:p>
        </w:tc>
        <w:tc>
          <w:tcPr>
            <w:tcW w:w="100" w:type="dxa"/>
            <w:vAlign w:val="bottom"/>
            <w:tcBorders>
              <w:top w:val="single" w:sz="8" w:color="F0FFFF"/>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100" w:type="dxa"/>
            <w:vAlign w:val="bottom"/>
            <w:tcBorders>
              <w:top w:val="single" w:sz="8" w:color="F0FF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vMerge w:val="restart"/>
          </w:tcPr>
          <w:p>
            <w:pPr>
              <w:jc w:val="center"/>
              <w:ind w:right="8"/>
              <w:spacing w:after="0"/>
              <w:rPr>
                <w:sz w:val="20"/>
                <w:szCs w:val="20"/>
                <w:color w:val="auto"/>
              </w:rPr>
            </w:pPr>
            <w:r>
              <w:rPr>
                <w:rFonts w:ascii="Arial" w:cs="Arial" w:eastAsia="Arial" w:hAnsi="Arial"/>
                <w:sz w:val="14"/>
                <w:szCs w:val="14"/>
                <w:b w:val="1"/>
                <w:bCs w:val="1"/>
                <w:color w:val="auto"/>
                <w:w w:val="96"/>
              </w:rPr>
              <w:t>Ending</w:t>
            </w:r>
          </w:p>
        </w:tc>
        <w:tc>
          <w:tcPr>
            <w:tcW w:w="120" w:type="dxa"/>
            <w:vAlign w:val="bottom"/>
            <w:tcBorders>
              <w:top w:val="single" w:sz="8" w:color="F0FFFF"/>
            </w:tcBorders>
          </w:tcPr>
          <w:p>
            <w:pPr>
              <w:spacing w:after="0"/>
              <w:rPr>
                <w:sz w:val="23"/>
                <w:szCs w:val="23"/>
                <w:color w:val="auto"/>
              </w:rPr>
            </w:pPr>
          </w:p>
        </w:tc>
        <w:tc>
          <w:tcPr>
            <w:tcW w:w="70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90"/>
              </w:rPr>
              <w:t>Beginning</w:t>
            </w:r>
          </w:p>
        </w:tc>
        <w:tc>
          <w:tcPr>
            <w:tcW w:w="120" w:type="dxa"/>
            <w:vAlign w:val="bottom"/>
            <w:tcBorders>
              <w:top w:val="single" w:sz="8" w:color="F0FF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vMerge w:val="restart"/>
          </w:tcPr>
          <w:p>
            <w:pPr>
              <w:jc w:val="center"/>
              <w:ind w:right="28"/>
              <w:spacing w:after="0"/>
              <w:rPr>
                <w:sz w:val="20"/>
                <w:szCs w:val="20"/>
                <w:color w:val="auto"/>
              </w:rPr>
            </w:pPr>
            <w:r>
              <w:rPr>
                <w:rFonts w:ascii="Arial" w:cs="Arial" w:eastAsia="Arial" w:hAnsi="Arial"/>
                <w:sz w:val="14"/>
                <w:szCs w:val="14"/>
                <w:b w:val="1"/>
                <w:bCs w:val="1"/>
                <w:color w:val="auto"/>
                <w:w w:val="94"/>
              </w:rPr>
              <w:t>Charge-</w:t>
            </w:r>
          </w:p>
        </w:tc>
        <w:tc>
          <w:tcPr>
            <w:tcW w:w="100" w:type="dxa"/>
            <w:vAlign w:val="bottom"/>
            <w:tcBorders>
              <w:top w:val="single" w:sz="8" w:color="F0FFFF"/>
            </w:tcBorders>
            <w:vMerge w:val="restart"/>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540" w:type="dxa"/>
            <w:vAlign w:val="bottom"/>
            <w:tcBorders>
              <w:top w:val="single" w:sz="8" w:color="auto"/>
            </w:tcBorders>
          </w:tcPr>
          <w:p>
            <w:pPr>
              <w:spacing w:after="0"/>
              <w:rPr>
                <w:sz w:val="23"/>
                <w:szCs w:val="23"/>
                <w:color w:val="auto"/>
              </w:rPr>
            </w:pPr>
          </w:p>
        </w:tc>
        <w:tc>
          <w:tcPr>
            <w:tcW w:w="120" w:type="dxa"/>
            <w:vAlign w:val="bottom"/>
            <w:tcBorders>
              <w:top w:val="single" w:sz="8" w:color="F0FFFF"/>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tcPr>
          <w:p>
            <w:pPr>
              <w:spacing w:after="0"/>
              <w:rPr>
                <w:sz w:val="23"/>
                <w:szCs w:val="23"/>
                <w:color w:val="auto"/>
              </w:rPr>
            </w:pPr>
          </w:p>
        </w:tc>
        <w:tc>
          <w:tcPr>
            <w:tcW w:w="120" w:type="dxa"/>
            <w:vAlign w:val="bottom"/>
            <w:tcBorders>
              <w:top w:val="single" w:sz="8" w:color="F0FFFF"/>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660" w:type="dxa"/>
            <w:vAlign w:val="bottom"/>
            <w:tcBorders>
              <w:top w:val="single" w:sz="8" w:color="auto"/>
            </w:tcBorders>
            <w:vMerge w:val="restart"/>
          </w:tcPr>
          <w:p>
            <w:pPr>
              <w:jc w:val="center"/>
              <w:ind w:right="28"/>
              <w:spacing w:after="0"/>
              <w:rPr>
                <w:sz w:val="20"/>
                <w:szCs w:val="20"/>
                <w:color w:val="auto"/>
              </w:rPr>
            </w:pPr>
            <w:r>
              <w:rPr>
                <w:rFonts w:ascii="Arial" w:cs="Arial" w:eastAsia="Arial" w:hAnsi="Arial"/>
                <w:sz w:val="14"/>
                <w:szCs w:val="14"/>
                <w:b w:val="1"/>
                <w:bCs w:val="1"/>
                <w:color w:val="auto"/>
                <w:w w:val="92"/>
              </w:rPr>
              <w:t>Ending</w:t>
            </w:r>
          </w:p>
        </w:tc>
        <w:tc>
          <w:tcPr>
            <w:tcW w:w="120" w:type="dxa"/>
            <w:vAlign w:val="bottom"/>
            <w:tcBorders>
              <w:top w:val="single" w:sz="8" w:color="F0FFFF"/>
            </w:tcBorders>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2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Six Months Ended June 30,</w:t>
            </w:r>
          </w:p>
        </w:tc>
        <w:tc>
          <w:tcPr>
            <w:tcW w:w="7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5"/>
              </w:rPr>
              <w:t>Recoveries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of</w:t>
            </w:r>
          </w:p>
        </w:tc>
        <w:tc>
          <w:tcPr>
            <w:tcW w:w="8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Provision</w:t>
            </w: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84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0"/>
              </w:rPr>
              <w:t>Recoveries</w:t>
            </w:r>
          </w:p>
        </w:tc>
        <w:tc>
          <w:tcPr>
            <w:tcW w:w="80" w:type="dxa"/>
            <w:vAlign w:val="bottom"/>
          </w:tcPr>
          <w:p>
            <w:pPr>
              <w:spacing w:after="0"/>
              <w:rPr>
                <w:sz w:val="12"/>
                <w:szCs w:val="12"/>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7"/>
              </w:rPr>
              <w:t>Provision</w:t>
            </w: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2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Offs</w:t>
            </w:r>
          </w:p>
        </w:tc>
        <w:tc>
          <w:tcPr>
            <w:tcW w:w="7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Unallocated</w:t>
            </w:r>
          </w:p>
        </w:tc>
        <w:tc>
          <w:tcPr>
            <w:tcW w:w="82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center"/>
              <w:ind w:right="8"/>
              <w:spacing w:after="0"/>
              <w:rPr>
                <w:sz w:val="20"/>
                <w:szCs w:val="20"/>
                <w:color w:val="auto"/>
              </w:rPr>
            </w:pPr>
            <w:r>
              <w:rPr>
                <w:rFonts w:ascii="Arial" w:cs="Arial" w:eastAsia="Arial" w:hAnsi="Arial"/>
                <w:sz w:val="14"/>
                <w:szCs w:val="14"/>
                <w:b w:val="1"/>
                <w:bCs w:val="1"/>
                <w:color w:val="auto"/>
                <w:w w:val="93"/>
              </w:rPr>
              <w:t>Balance</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center"/>
              <w:ind w:right="8"/>
              <w:spacing w:after="0"/>
              <w:rPr>
                <w:sz w:val="20"/>
                <w:szCs w:val="20"/>
                <w:color w:val="auto"/>
              </w:rPr>
            </w:pPr>
            <w:r>
              <w:rPr>
                <w:rFonts w:ascii="Arial" w:cs="Arial" w:eastAsia="Arial" w:hAnsi="Arial"/>
                <w:sz w:val="14"/>
                <w:szCs w:val="14"/>
                <w:b w:val="1"/>
                <w:bCs w:val="1"/>
                <w:color w:val="auto"/>
                <w:w w:val="93"/>
              </w:rPr>
              <w:t>Balance</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Offs</w:t>
            </w:r>
          </w:p>
        </w:tc>
        <w:tc>
          <w:tcPr>
            <w:tcW w:w="84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220" w:type="dxa"/>
            <w:vAlign w:val="bottom"/>
            <w:gridSpan w:val="2"/>
            <w:shd w:val="clear" w:color="auto" w:fill="F0FFFF"/>
          </w:tcPr>
          <w:p>
            <w:pPr>
              <w:spacing w:after="0" w:line="130" w:lineRule="exact"/>
              <w:rPr>
                <w:sz w:val="20"/>
                <w:szCs w:val="20"/>
                <w:color w:val="auto"/>
              </w:rPr>
            </w:pPr>
            <w:r>
              <w:rPr>
                <w:rFonts w:ascii="Arial" w:cs="Arial" w:eastAsia="Arial" w:hAnsi="Arial"/>
                <w:sz w:val="14"/>
                <w:szCs w:val="14"/>
                <w:color w:val="auto"/>
              </w:rPr>
              <w:t>Owner occupied commercial real</w:t>
            </w:r>
          </w:p>
        </w:tc>
        <w:tc>
          <w:tcPr>
            <w:tcW w:w="10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100" w:type="dxa"/>
            <w:vAlign w:val="bottom"/>
            <w:tcBorders>
              <w:lef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480" w:type="dxa"/>
            <w:vAlign w:val="bottom"/>
            <w:shd w:val="clear" w:color="auto" w:fill="F0FFFF"/>
          </w:tcPr>
          <w:p>
            <w:pPr>
              <w:spacing w:after="0"/>
              <w:rPr>
                <w:sz w:val="11"/>
                <w:szCs w:val="11"/>
                <w:color w:val="auto"/>
              </w:rPr>
            </w:pPr>
          </w:p>
        </w:tc>
        <w:tc>
          <w:tcPr>
            <w:tcW w:w="100" w:type="dxa"/>
            <w:vAlign w:val="bottom"/>
            <w:tcBorders>
              <w:left w:val="single" w:sz="8" w:color="F0FFFF"/>
            </w:tcBorders>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5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220" w:type="dxa"/>
            <w:vAlign w:val="bottom"/>
            <w:shd w:val="clear" w:color="auto" w:fill="F0FFFF"/>
          </w:tcPr>
          <w:p>
            <w:pPr>
              <w:spacing w:after="0"/>
              <w:rPr>
                <w:sz w:val="11"/>
                <w:szCs w:val="11"/>
                <w:color w:val="auto"/>
              </w:rPr>
            </w:pPr>
          </w:p>
        </w:tc>
        <w:tc>
          <w:tcPr>
            <w:tcW w:w="500" w:type="dxa"/>
            <w:vAlign w:val="bottom"/>
            <w:shd w:val="clear" w:color="auto" w:fill="F0FFFF"/>
          </w:tcPr>
          <w:p>
            <w:pPr>
              <w:spacing w:after="0"/>
              <w:rPr>
                <w:sz w:val="11"/>
                <w:szCs w:val="11"/>
                <w:color w:val="auto"/>
              </w:rPr>
            </w:pPr>
          </w:p>
        </w:tc>
        <w:tc>
          <w:tcPr>
            <w:tcW w:w="10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120" w:type="dxa"/>
            <w:vAlign w:val="bottom"/>
            <w:tcBorders>
              <w:lef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20" w:type="dxa"/>
            <w:vAlign w:val="bottom"/>
            <w:shd w:val="clear" w:color="auto" w:fill="F0FFFF"/>
          </w:tcPr>
          <w:p>
            <w:pPr>
              <w:spacing w:after="0"/>
              <w:rPr>
                <w:sz w:val="11"/>
                <w:szCs w:val="11"/>
                <w:color w:val="auto"/>
              </w:rPr>
            </w:pPr>
          </w:p>
        </w:tc>
        <w:tc>
          <w:tcPr>
            <w:tcW w:w="120" w:type="dxa"/>
            <w:vAlign w:val="bottom"/>
            <w:tcBorders>
              <w:lef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100" w:type="dxa"/>
            <w:vAlign w:val="bottom"/>
            <w:tcBorders>
              <w:right w:val="single" w:sz="8" w:color="F0FFFF"/>
            </w:tcBorders>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54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20" w:type="dxa"/>
            <w:vAlign w:val="bottom"/>
            <w:gridSpan w:val="2"/>
            <w:shd w:val="clear" w:color="auto" w:fill="F0FFFF"/>
          </w:tcPr>
          <w:p>
            <w:pPr>
              <w:ind w:left="160"/>
              <w:spacing w:after="0"/>
              <w:rPr>
                <w:sz w:val="20"/>
                <w:szCs w:val="20"/>
                <w:color w:val="auto"/>
              </w:rPr>
            </w:pPr>
            <w:r>
              <w:rPr>
                <w:rFonts w:ascii="Arial" w:cs="Arial" w:eastAsia="Arial" w:hAnsi="Arial"/>
                <w:sz w:val="14"/>
                <w:szCs w:val="14"/>
                <w:color w:val="auto"/>
              </w:rPr>
              <w:t>estate</w:t>
            </w:r>
          </w:p>
        </w:tc>
        <w:tc>
          <w:tcPr>
            <w:tcW w:w="10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17,164</w:t>
            </w:r>
          </w:p>
        </w:tc>
        <w:tc>
          <w:tcPr>
            <w:tcW w:w="180" w:type="dxa"/>
            <w:vAlign w:val="bottom"/>
            <w:tcBorders>
              <w:left w:val="single" w:sz="8" w:color="F0FFFF"/>
            </w:tcBorders>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(1,284)</w:t>
            </w:r>
          </w:p>
        </w:tc>
        <w:tc>
          <w:tcPr>
            <w:tcW w:w="220" w:type="dxa"/>
            <w:vAlign w:val="bottom"/>
            <w:shd w:val="clear" w:color="auto" w:fill="F0FFFF"/>
          </w:tcPr>
          <w:p>
            <w:pPr>
              <w:spacing w:after="0"/>
              <w:rPr>
                <w:sz w:val="20"/>
                <w:szCs w:val="20"/>
                <w:color w:val="auto"/>
              </w:rPr>
            </w:pPr>
            <w:r>
              <w:rPr>
                <w:rFonts w:ascii="Arial" w:cs="Arial" w:eastAsia="Arial" w:hAnsi="Arial"/>
                <w:sz w:val="14"/>
                <w:szCs w:val="14"/>
                <w:color w:val="auto"/>
              </w:rPr>
              <w:t>$</w:t>
            </w:r>
          </w:p>
        </w:tc>
        <w:tc>
          <w:tcPr>
            <w:tcW w:w="4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2,843</w:t>
            </w:r>
          </w:p>
        </w:tc>
        <w:tc>
          <w:tcPr>
            <w:tcW w:w="340" w:type="dxa"/>
            <w:vAlign w:val="bottom"/>
            <w:tcBorders>
              <w:left w:val="single" w:sz="8" w:color="F0FFFF"/>
            </w:tcBorders>
            <w:gridSpan w:val="2"/>
            <w:shd w:val="clear" w:color="auto" w:fill="F0FFFF"/>
          </w:tcPr>
          <w:p>
            <w:pPr>
              <w:ind w:left="100"/>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1,278</w:t>
            </w:r>
          </w:p>
        </w:tc>
        <w:tc>
          <w:tcPr>
            <w:tcW w:w="220" w:type="dxa"/>
            <w:vAlign w:val="bottom"/>
            <w:shd w:val="clear" w:color="auto" w:fill="F0FFFF"/>
          </w:tcPr>
          <w:p>
            <w:pPr>
              <w:jc w:val="right"/>
              <w:ind w:right="68"/>
              <w:spacing w:after="0"/>
              <w:rPr>
                <w:sz w:val="20"/>
                <w:szCs w:val="20"/>
                <w:color w:val="auto"/>
              </w:rPr>
            </w:pPr>
            <w:r>
              <w:rPr>
                <w:rFonts w:ascii="Arial" w:cs="Arial" w:eastAsia="Arial" w:hAnsi="Arial"/>
                <w:sz w:val="14"/>
                <w:szCs w:val="14"/>
                <w:color w:val="auto"/>
                <w:w w:val="76"/>
              </w:rPr>
              <w:t>$</w:t>
            </w:r>
          </w:p>
        </w:tc>
        <w:tc>
          <w:tcPr>
            <w:tcW w:w="600" w:type="dxa"/>
            <w:vAlign w:val="bottom"/>
            <w:tcBorders>
              <w:right w:val="single" w:sz="8" w:color="F0FFFF"/>
            </w:tcBorders>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(2,197)</w:t>
            </w:r>
          </w:p>
        </w:tc>
        <w:tc>
          <w:tcPr>
            <w:tcW w:w="10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17,804</w:t>
            </w:r>
          </w:p>
        </w:tc>
        <w:tc>
          <w:tcPr>
            <w:tcW w:w="200" w:type="dxa"/>
            <w:vAlign w:val="bottom"/>
            <w:tcBorders>
              <w:left w:val="single" w:sz="8" w:color="F0FFFF"/>
            </w:tcBorders>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17,265</w:t>
            </w:r>
          </w:p>
        </w:tc>
        <w:tc>
          <w:tcPr>
            <w:tcW w:w="200" w:type="dxa"/>
            <w:vAlign w:val="bottom"/>
            <w:tcBorders>
              <w:left w:val="single" w:sz="8" w:color="F0FFFF"/>
            </w:tcBorders>
            <w:gridSpan w:val="2"/>
            <w:shd w:val="clear" w:color="auto" w:fill="F0FFFF"/>
          </w:tcPr>
          <w:p>
            <w:pPr>
              <w:jc w:val="right"/>
              <w:ind w:right="20"/>
              <w:spacing w:after="0"/>
              <w:rPr>
                <w:sz w:val="20"/>
                <w:szCs w:val="20"/>
                <w:color w:val="auto"/>
              </w:rPr>
            </w:pPr>
            <w:r>
              <w:rPr>
                <w:rFonts w:ascii="Arial" w:cs="Arial" w:eastAsia="Arial" w:hAnsi="Arial"/>
                <w:sz w:val="14"/>
                <w:szCs w:val="14"/>
                <w:color w:val="auto"/>
              </w:rPr>
              <w:t>$</w:t>
            </w:r>
          </w:p>
        </w:tc>
        <w:tc>
          <w:tcPr>
            <w:tcW w:w="740" w:type="dxa"/>
            <w:vAlign w:val="bottom"/>
            <w:tcBorders>
              <w:right w:val="single" w:sz="8" w:color="F0FFFF"/>
            </w:tcBorders>
            <w:gridSpan w:val="2"/>
            <w:shd w:val="clear" w:color="auto" w:fill="F0FFFF"/>
          </w:tcPr>
          <w:p>
            <w:pPr>
              <w:jc w:val="right"/>
              <w:ind w:right="60"/>
              <w:spacing w:after="0"/>
              <w:rPr>
                <w:sz w:val="20"/>
                <w:szCs w:val="20"/>
                <w:color w:val="auto"/>
              </w:rPr>
            </w:pPr>
            <w:r>
              <w:rPr>
                <w:rFonts w:ascii="Arial" w:cs="Arial" w:eastAsia="Arial" w:hAnsi="Arial"/>
                <w:sz w:val="14"/>
                <w:szCs w:val="14"/>
                <w:color w:val="auto"/>
              </w:rPr>
              <w:t>(21,732)</w:t>
            </w:r>
          </w:p>
        </w:tc>
        <w:tc>
          <w:tcPr>
            <w:tcW w:w="180" w:type="dxa"/>
            <w:vAlign w:val="bottom"/>
            <w:shd w:val="clear" w:color="auto" w:fill="F0FFFF"/>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1,225</w:t>
            </w:r>
          </w:p>
        </w:tc>
        <w:tc>
          <w:tcPr>
            <w:tcW w:w="80" w:type="dxa"/>
            <w:vAlign w:val="bottom"/>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19,027</w:t>
            </w:r>
          </w:p>
        </w:tc>
        <w:tc>
          <w:tcPr>
            <w:tcW w:w="10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15,785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20" w:type="dxa"/>
            <w:vAlign w:val="bottom"/>
            <w:gridSpan w:val="2"/>
          </w:tcPr>
          <w:p>
            <w:pPr>
              <w:spacing w:after="0" w:line="130" w:lineRule="exact"/>
              <w:rPr>
                <w:sz w:val="20"/>
                <w:szCs w:val="20"/>
                <w:color w:val="auto"/>
              </w:rPr>
            </w:pPr>
            <w:r>
              <w:rPr>
                <w:rFonts w:ascii="Arial" w:cs="Arial" w:eastAsia="Arial" w:hAnsi="Arial"/>
                <w:sz w:val="14"/>
                <w:szCs w:val="14"/>
                <w:color w:val="auto"/>
              </w:rPr>
              <w:t>Income producing commercial real</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20" w:type="dxa"/>
            <w:vAlign w:val="bottom"/>
            <w:gridSpan w:val="2"/>
          </w:tcPr>
          <w:p>
            <w:pPr>
              <w:ind w:left="160"/>
              <w:spacing w:after="0"/>
              <w:rPr>
                <w:sz w:val="20"/>
                <w:szCs w:val="20"/>
                <w:color w:val="auto"/>
              </w:rPr>
            </w:pPr>
            <w:r>
              <w:rPr>
                <w:rFonts w:ascii="Arial" w:cs="Arial" w:eastAsia="Arial" w:hAnsi="Arial"/>
                <w:sz w:val="14"/>
                <w:szCs w:val="14"/>
                <w:color w:val="auto"/>
              </w:rPr>
              <w:t>estate</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7,174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(837)</w:t>
            </w:r>
          </w:p>
        </w:tc>
        <w:tc>
          <w:tcPr>
            <w:tcW w:w="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197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688</w:t>
            </w:r>
          </w:p>
        </w:tc>
        <w:tc>
          <w:tcPr>
            <w:tcW w:w="22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4,539</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11,761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10,582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(10,462)</w:t>
            </w:r>
          </w:p>
        </w:tc>
        <w:tc>
          <w:tcPr>
            <w:tcW w:w="1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260</w:t>
            </w: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6,643</w:t>
            </w:r>
          </w:p>
        </w:tc>
        <w:tc>
          <w:tcPr>
            <w:tcW w:w="1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7,023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2"/>
            <w:shd w:val="clear" w:color="auto" w:fill="F0FFFF"/>
          </w:tcPr>
          <w:p>
            <w:pPr>
              <w:spacing w:after="0" w:line="149" w:lineRule="exact"/>
              <w:rPr>
                <w:sz w:val="20"/>
                <w:szCs w:val="20"/>
                <w:color w:val="auto"/>
              </w:rPr>
            </w:pPr>
            <w:r>
              <w:rPr>
                <w:rFonts w:ascii="Arial" w:cs="Arial" w:eastAsia="Arial" w:hAnsi="Arial"/>
                <w:sz w:val="14"/>
                <w:szCs w:val="14"/>
                <w:color w:val="auto"/>
              </w:rPr>
              <w:t>Commercial &amp; industrial</w:t>
            </w:r>
          </w:p>
        </w:tc>
        <w:tc>
          <w:tcPr>
            <w:tcW w:w="100" w:type="dxa"/>
            <w:vAlign w:val="bottom"/>
            <w:shd w:val="clear" w:color="auto" w:fill="F0FFFF"/>
          </w:tcPr>
          <w:p>
            <w:pPr>
              <w:spacing w:after="0"/>
              <w:rPr>
                <w:sz w:val="12"/>
                <w:szCs w:val="12"/>
                <w:color w:val="auto"/>
              </w:rPr>
            </w:pPr>
          </w:p>
        </w:tc>
        <w:tc>
          <w:tcPr>
            <w:tcW w:w="6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6,527</w:t>
            </w:r>
          </w:p>
        </w:tc>
        <w:tc>
          <w:tcPr>
            <w:tcW w:w="100" w:type="dxa"/>
            <w:vAlign w:val="bottom"/>
            <w:tcBorders>
              <w:lef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gridSpan w:val="2"/>
            <w:shd w:val="clear" w:color="auto" w:fill="F0FFFF"/>
          </w:tcPr>
          <w:p>
            <w:pPr>
              <w:jc w:val="right"/>
              <w:ind w:right="60"/>
              <w:spacing w:after="0" w:line="149" w:lineRule="exact"/>
              <w:rPr>
                <w:sz w:val="20"/>
                <w:szCs w:val="20"/>
                <w:color w:val="auto"/>
              </w:rPr>
            </w:pPr>
            <w:r>
              <w:rPr>
                <w:rFonts w:ascii="Arial" w:cs="Arial" w:eastAsia="Arial" w:hAnsi="Arial"/>
                <w:sz w:val="14"/>
                <w:szCs w:val="14"/>
                <w:color w:val="auto"/>
              </w:rPr>
              <w:t>(1,975)</w:t>
            </w:r>
          </w:p>
        </w:tc>
        <w:tc>
          <w:tcPr>
            <w:tcW w:w="220" w:type="dxa"/>
            <w:vAlign w:val="bottom"/>
            <w:shd w:val="clear" w:color="auto" w:fill="F0FFFF"/>
          </w:tcPr>
          <w:p>
            <w:pPr>
              <w:spacing w:after="0"/>
              <w:rPr>
                <w:sz w:val="12"/>
                <w:szCs w:val="12"/>
                <w:color w:val="auto"/>
              </w:rPr>
            </w:pPr>
          </w:p>
        </w:tc>
        <w:tc>
          <w:tcPr>
            <w:tcW w:w="4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891</w:t>
            </w:r>
          </w:p>
        </w:tc>
        <w:tc>
          <w:tcPr>
            <w:tcW w:w="100" w:type="dxa"/>
            <w:vAlign w:val="bottom"/>
            <w:tcBorders>
              <w:lef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62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318</w:t>
            </w:r>
          </w:p>
        </w:tc>
        <w:tc>
          <w:tcPr>
            <w:tcW w:w="220" w:type="dxa"/>
            <w:vAlign w:val="bottom"/>
            <w:shd w:val="clear" w:color="auto" w:fill="F0FFFF"/>
          </w:tcPr>
          <w:p>
            <w:pPr>
              <w:spacing w:after="0"/>
              <w:rPr>
                <w:sz w:val="12"/>
                <w:szCs w:val="12"/>
                <w:color w:val="auto"/>
              </w:rPr>
            </w:pPr>
          </w:p>
        </w:tc>
        <w:tc>
          <w:tcPr>
            <w:tcW w:w="600" w:type="dxa"/>
            <w:vAlign w:val="bottom"/>
            <w:tcBorders>
              <w:right w:val="single" w:sz="8" w:color="F0FFFF"/>
            </w:tcBorders>
            <w:gridSpan w:val="2"/>
            <w:shd w:val="clear" w:color="auto" w:fill="F0FFFF"/>
          </w:tcPr>
          <w:p>
            <w:pPr>
              <w:jc w:val="right"/>
              <w:ind w:right="60"/>
              <w:spacing w:after="0" w:line="149" w:lineRule="exact"/>
              <w:rPr>
                <w:sz w:val="20"/>
                <w:szCs w:val="20"/>
                <w:color w:val="auto"/>
              </w:rPr>
            </w:pPr>
            <w:r>
              <w:rPr>
                <w:rFonts w:ascii="Arial" w:cs="Arial" w:eastAsia="Arial" w:hAnsi="Arial"/>
                <w:sz w:val="14"/>
                <w:szCs w:val="14"/>
                <w:color w:val="auto"/>
              </w:rPr>
              <w:t>(1,876)</w:t>
            </w:r>
          </w:p>
        </w:tc>
        <w:tc>
          <w:tcPr>
            <w:tcW w:w="100" w:type="dxa"/>
            <w:vAlign w:val="bottom"/>
            <w:shd w:val="clear" w:color="auto" w:fill="F0FFFF"/>
          </w:tcPr>
          <w:p>
            <w:pPr>
              <w:spacing w:after="0"/>
              <w:rPr>
                <w:sz w:val="12"/>
                <w:szCs w:val="12"/>
                <w:color w:val="auto"/>
              </w:rPr>
            </w:pPr>
          </w:p>
        </w:tc>
        <w:tc>
          <w:tcPr>
            <w:tcW w:w="6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3,885</w:t>
            </w:r>
          </w:p>
        </w:tc>
        <w:tc>
          <w:tcPr>
            <w:tcW w:w="120" w:type="dxa"/>
            <w:vAlign w:val="bottom"/>
            <w:tcBorders>
              <w:lef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5,537</w:t>
            </w:r>
          </w:p>
        </w:tc>
        <w:tc>
          <w:tcPr>
            <w:tcW w:w="120" w:type="dxa"/>
            <w:vAlign w:val="bottom"/>
            <w:tcBorders>
              <w:lef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tcBorders>
              <w:right w:val="single" w:sz="8" w:color="F0FFFF"/>
            </w:tcBorders>
            <w:gridSpan w:val="2"/>
            <w:shd w:val="clear" w:color="auto" w:fill="F0FFFF"/>
          </w:tcPr>
          <w:p>
            <w:pPr>
              <w:jc w:val="right"/>
              <w:ind w:right="60"/>
              <w:spacing w:after="0" w:line="149" w:lineRule="exact"/>
              <w:rPr>
                <w:sz w:val="20"/>
                <w:szCs w:val="20"/>
                <w:color w:val="auto"/>
              </w:rPr>
            </w:pPr>
            <w:r>
              <w:rPr>
                <w:rFonts w:ascii="Arial" w:cs="Arial" w:eastAsia="Arial" w:hAnsi="Arial"/>
                <w:sz w:val="14"/>
                <w:szCs w:val="14"/>
                <w:color w:val="auto"/>
              </w:rPr>
              <w:t>(17,755)</w:t>
            </w:r>
          </w:p>
        </w:tc>
        <w:tc>
          <w:tcPr>
            <w:tcW w:w="18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678</w:t>
            </w:r>
          </w:p>
        </w:tc>
        <w:tc>
          <w:tcPr>
            <w:tcW w:w="8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19,594</w:t>
            </w:r>
          </w:p>
        </w:tc>
        <w:tc>
          <w:tcPr>
            <w:tcW w:w="10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8,054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Commercial construction</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3,669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(132)</w:t>
            </w:r>
          </w:p>
        </w:tc>
        <w:tc>
          <w:tcPr>
            <w:tcW w:w="2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388</w:t>
            </w:r>
          </w:p>
        </w:tc>
        <w:tc>
          <w:tcPr>
            <w:tcW w:w="2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142</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4,067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8,389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(6,350)</w:t>
            </w:r>
          </w:p>
        </w:tc>
        <w:tc>
          <w:tcPr>
            <w:tcW w:w="1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59</w:t>
            </w:r>
          </w:p>
        </w:tc>
        <w:tc>
          <w:tcPr>
            <w:tcW w:w="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2,177</w:t>
            </w: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2"/>
            <w:shd w:val="clear" w:color="auto" w:fill="F0FFFF"/>
          </w:tcPr>
          <w:p>
            <w:pPr>
              <w:spacing w:after="0" w:line="149" w:lineRule="exact"/>
              <w:rPr>
                <w:sz w:val="20"/>
                <w:szCs w:val="20"/>
                <w:color w:val="auto"/>
              </w:rPr>
            </w:pPr>
            <w:r>
              <w:rPr>
                <w:rFonts w:ascii="Arial" w:cs="Arial" w:eastAsia="Arial" w:hAnsi="Arial"/>
                <w:sz w:val="14"/>
                <w:szCs w:val="14"/>
                <w:color w:val="auto"/>
              </w:rPr>
              <w:t>Residential mortgage</w:t>
            </w:r>
          </w:p>
        </w:tc>
        <w:tc>
          <w:tcPr>
            <w:tcW w:w="100" w:type="dxa"/>
            <w:vAlign w:val="bottom"/>
            <w:shd w:val="clear" w:color="auto" w:fill="F0FFFF"/>
          </w:tcPr>
          <w:p>
            <w:pPr>
              <w:spacing w:after="0"/>
              <w:rPr>
                <w:sz w:val="12"/>
                <w:szCs w:val="12"/>
                <w:color w:val="auto"/>
              </w:rPr>
            </w:pPr>
          </w:p>
        </w:tc>
        <w:tc>
          <w:tcPr>
            <w:tcW w:w="6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15,446</w:t>
            </w:r>
          </w:p>
        </w:tc>
        <w:tc>
          <w:tcPr>
            <w:tcW w:w="100" w:type="dxa"/>
            <w:vAlign w:val="bottom"/>
            <w:tcBorders>
              <w:lef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gridSpan w:val="2"/>
            <w:shd w:val="clear" w:color="auto" w:fill="F0FFFF"/>
          </w:tcPr>
          <w:p>
            <w:pPr>
              <w:jc w:val="right"/>
              <w:ind w:right="60"/>
              <w:spacing w:after="0" w:line="149" w:lineRule="exact"/>
              <w:rPr>
                <w:sz w:val="20"/>
                <w:szCs w:val="20"/>
                <w:color w:val="auto"/>
              </w:rPr>
            </w:pPr>
            <w:r>
              <w:rPr>
                <w:rFonts w:ascii="Arial" w:cs="Arial" w:eastAsia="Arial" w:hAnsi="Arial"/>
                <w:sz w:val="14"/>
                <w:szCs w:val="14"/>
                <w:color w:val="auto"/>
              </w:rPr>
              <w:t>(4,381)</w:t>
            </w:r>
          </w:p>
        </w:tc>
        <w:tc>
          <w:tcPr>
            <w:tcW w:w="220" w:type="dxa"/>
            <w:vAlign w:val="bottom"/>
            <w:shd w:val="clear" w:color="auto" w:fill="F0FFFF"/>
          </w:tcPr>
          <w:p>
            <w:pPr>
              <w:spacing w:after="0"/>
              <w:rPr>
                <w:sz w:val="12"/>
                <w:szCs w:val="12"/>
                <w:color w:val="auto"/>
              </w:rPr>
            </w:pPr>
          </w:p>
        </w:tc>
        <w:tc>
          <w:tcPr>
            <w:tcW w:w="4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357</w:t>
            </w:r>
          </w:p>
        </w:tc>
        <w:tc>
          <w:tcPr>
            <w:tcW w:w="100" w:type="dxa"/>
            <w:vAlign w:val="bottom"/>
            <w:tcBorders>
              <w:lef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62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1,452</w:t>
            </w:r>
          </w:p>
        </w:tc>
        <w:tc>
          <w:tcPr>
            <w:tcW w:w="220" w:type="dxa"/>
            <w:vAlign w:val="bottom"/>
            <w:shd w:val="clear" w:color="auto" w:fill="F0FFFF"/>
          </w:tcPr>
          <w:p>
            <w:pPr>
              <w:spacing w:after="0"/>
              <w:rPr>
                <w:sz w:val="12"/>
                <w:szCs w:val="12"/>
                <w:color w:val="auto"/>
              </w:rPr>
            </w:pPr>
          </w:p>
        </w:tc>
        <w:tc>
          <w:tcPr>
            <w:tcW w:w="600" w:type="dxa"/>
            <w:vAlign w:val="bottom"/>
            <w:tcBorders>
              <w:right w:val="single" w:sz="8" w:color="F0FFFF"/>
            </w:tcBorders>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3,889</w:t>
            </w:r>
          </w:p>
        </w:tc>
        <w:tc>
          <w:tcPr>
            <w:tcW w:w="100" w:type="dxa"/>
            <w:vAlign w:val="bottom"/>
            <w:shd w:val="clear" w:color="auto" w:fill="F0FFFF"/>
          </w:tcPr>
          <w:p>
            <w:pPr>
              <w:spacing w:after="0"/>
              <w:rPr>
                <w:sz w:val="12"/>
                <w:szCs w:val="12"/>
                <w:color w:val="auto"/>
              </w:rPr>
            </w:pPr>
          </w:p>
        </w:tc>
        <w:tc>
          <w:tcPr>
            <w:tcW w:w="6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16,763</w:t>
            </w:r>
          </w:p>
        </w:tc>
        <w:tc>
          <w:tcPr>
            <w:tcW w:w="120" w:type="dxa"/>
            <w:vAlign w:val="bottom"/>
            <w:tcBorders>
              <w:lef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19,117</w:t>
            </w:r>
          </w:p>
        </w:tc>
        <w:tc>
          <w:tcPr>
            <w:tcW w:w="120" w:type="dxa"/>
            <w:vAlign w:val="bottom"/>
            <w:tcBorders>
              <w:lef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tcBorders>
              <w:right w:val="single" w:sz="8" w:color="F0FFFF"/>
            </w:tcBorders>
            <w:gridSpan w:val="2"/>
            <w:shd w:val="clear" w:color="auto" w:fill="F0FFFF"/>
          </w:tcPr>
          <w:p>
            <w:pPr>
              <w:jc w:val="right"/>
              <w:ind w:right="60"/>
              <w:spacing w:after="0" w:line="149" w:lineRule="exact"/>
              <w:rPr>
                <w:sz w:val="20"/>
                <w:szCs w:val="20"/>
                <w:color w:val="auto"/>
              </w:rPr>
            </w:pPr>
            <w:r>
              <w:rPr>
                <w:rFonts w:ascii="Arial" w:cs="Arial" w:eastAsia="Arial" w:hAnsi="Arial"/>
                <w:sz w:val="14"/>
                <w:szCs w:val="14"/>
                <w:color w:val="auto"/>
              </w:rPr>
              <w:t>(7,354)</w:t>
            </w:r>
          </w:p>
        </w:tc>
        <w:tc>
          <w:tcPr>
            <w:tcW w:w="18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250</w:t>
            </w:r>
          </w:p>
        </w:tc>
        <w:tc>
          <w:tcPr>
            <w:tcW w:w="8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2,485</w:t>
            </w:r>
          </w:p>
        </w:tc>
        <w:tc>
          <w:tcPr>
            <w:tcW w:w="10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14,498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Home equity lines of credit</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5,528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(1,627)</w:t>
            </w:r>
          </w:p>
        </w:tc>
        <w:tc>
          <w:tcPr>
            <w:tcW w:w="2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168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391</w:t>
            </w:r>
          </w:p>
        </w:tc>
        <w:tc>
          <w:tcPr>
            <w:tcW w:w="2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1,878</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6,338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7,525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(1,720)</w:t>
            </w:r>
          </w:p>
        </w:tc>
        <w:tc>
          <w:tcPr>
            <w:tcW w:w="1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168</w:t>
            </w: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(444)</w:t>
            </w: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5,529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2"/>
            <w:shd w:val="clear" w:color="auto" w:fill="F0FFFF"/>
          </w:tcPr>
          <w:p>
            <w:pPr>
              <w:spacing w:after="0" w:line="149" w:lineRule="exact"/>
              <w:rPr>
                <w:sz w:val="20"/>
                <w:szCs w:val="20"/>
                <w:color w:val="auto"/>
              </w:rPr>
            </w:pPr>
            <w:r>
              <w:rPr>
                <w:rFonts w:ascii="Arial" w:cs="Arial" w:eastAsia="Arial" w:hAnsi="Arial"/>
                <w:sz w:val="14"/>
                <w:szCs w:val="14"/>
                <w:color w:val="auto"/>
              </w:rPr>
              <w:t>Residential construction</w:t>
            </w:r>
          </w:p>
        </w:tc>
        <w:tc>
          <w:tcPr>
            <w:tcW w:w="100" w:type="dxa"/>
            <w:vAlign w:val="bottom"/>
            <w:shd w:val="clear" w:color="auto" w:fill="F0FFFF"/>
          </w:tcPr>
          <w:p>
            <w:pPr>
              <w:spacing w:after="0"/>
              <w:rPr>
                <w:sz w:val="12"/>
                <w:szCs w:val="12"/>
                <w:color w:val="auto"/>
              </w:rPr>
            </w:pPr>
          </w:p>
        </w:tc>
        <w:tc>
          <w:tcPr>
            <w:tcW w:w="6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12,532</w:t>
            </w:r>
          </w:p>
        </w:tc>
        <w:tc>
          <w:tcPr>
            <w:tcW w:w="100" w:type="dxa"/>
            <w:vAlign w:val="bottom"/>
            <w:tcBorders>
              <w:lef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gridSpan w:val="2"/>
            <w:shd w:val="clear" w:color="auto" w:fill="F0FFFF"/>
          </w:tcPr>
          <w:p>
            <w:pPr>
              <w:jc w:val="right"/>
              <w:ind w:right="60"/>
              <w:spacing w:after="0" w:line="149" w:lineRule="exact"/>
              <w:rPr>
                <w:sz w:val="20"/>
                <w:szCs w:val="20"/>
                <w:color w:val="auto"/>
              </w:rPr>
            </w:pPr>
            <w:r>
              <w:rPr>
                <w:rFonts w:ascii="Arial" w:cs="Arial" w:eastAsia="Arial" w:hAnsi="Arial"/>
                <w:sz w:val="14"/>
                <w:szCs w:val="14"/>
                <w:color w:val="auto"/>
              </w:rPr>
              <w:t>(2,251)</w:t>
            </w:r>
          </w:p>
        </w:tc>
        <w:tc>
          <w:tcPr>
            <w:tcW w:w="220" w:type="dxa"/>
            <w:vAlign w:val="bottom"/>
            <w:shd w:val="clear" w:color="auto" w:fill="F0FFFF"/>
          </w:tcPr>
          <w:p>
            <w:pPr>
              <w:spacing w:after="0"/>
              <w:rPr>
                <w:sz w:val="12"/>
                <w:szCs w:val="12"/>
                <w:color w:val="auto"/>
              </w:rPr>
            </w:pPr>
          </w:p>
        </w:tc>
        <w:tc>
          <w:tcPr>
            <w:tcW w:w="4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369</w:t>
            </w:r>
          </w:p>
        </w:tc>
        <w:tc>
          <w:tcPr>
            <w:tcW w:w="100" w:type="dxa"/>
            <w:vAlign w:val="bottom"/>
            <w:tcBorders>
              <w:lef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62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1,728</w:t>
            </w:r>
          </w:p>
        </w:tc>
        <w:tc>
          <w:tcPr>
            <w:tcW w:w="220" w:type="dxa"/>
            <w:vAlign w:val="bottom"/>
            <w:shd w:val="clear" w:color="auto" w:fill="F0FFFF"/>
          </w:tcPr>
          <w:p>
            <w:pPr>
              <w:spacing w:after="0"/>
              <w:rPr>
                <w:sz w:val="12"/>
                <w:szCs w:val="12"/>
                <w:color w:val="auto"/>
              </w:rPr>
            </w:pPr>
          </w:p>
        </w:tc>
        <w:tc>
          <w:tcPr>
            <w:tcW w:w="600" w:type="dxa"/>
            <w:vAlign w:val="bottom"/>
            <w:tcBorders>
              <w:right w:val="single" w:sz="8" w:color="F0FFFF"/>
            </w:tcBorders>
            <w:gridSpan w:val="2"/>
            <w:shd w:val="clear" w:color="auto" w:fill="F0FFFF"/>
          </w:tcPr>
          <w:p>
            <w:pPr>
              <w:jc w:val="right"/>
              <w:ind w:right="60"/>
              <w:spacing w:after="0" w:line="149" w:lineRule="exact"/>
              <w:rPr>
                <w:sz w:val="20"/>
                <w:szCs w:val="20"/>
                <w:color w:val="auto"/>
              </w:rPr>
            </w:pPr>
            <w:r>
              <w:rPr>
                <w:rFonts w:ascii="Arial" w:cs="Arial" w:eastAsia="Arial" w:hAnsi="Arial"/>
                <w:sz w:val="14"/>
                <w:szCs w:val="14"/>
                <w:color w:val="auto"/>
              </w:rPr>
              <w:t>(1,170)</w:t>
            </w:r>
          </w:p>
        </w:tc>
        <w:tc>
          <w:tcPr>
            <w:tcW w:w="100" w:type="dxa"/>
            <w:vAlign w:val="bottom"/>
            <w:shd w:val="clear" w:color="auto" w:fill="F0FFFF"/>
          </w:tcPr>
          <w:p>
            <w:pPr>
              <w:spacing w:after="0"/>
              <w:rPr>
                <w:sz w:val="12"/>
                <w:szCs w:val="12"/>
                <w:color w:val="auto"/>
              </w:rPr>
            </w:pPr>
          </w:p>
        </w:tc>
        <w:tc>
          <w:tcPr>
            <w:tcW w:w="6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11,208</w:t>
            </w:r>
          </w:p>
        </w:tc>
        <w:tc>
          <w:tcPr>
            <w:tcW w:w="120" w:type="dxa"/>
            <w:vAlign w:val="bottom"/>
            <w:tcBorders>
              <w:lef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26,662</w:t>
            </w:r>
          </w:p>
        </w:tc>
        <w:tc>
          <w:tcPr>
            <w:tcW w:w="120" w:type="dxa"/>
            <w:vAlign w:val="bottom"/>
            <w:tcBorders>
              <w:lef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tcBorders>
              <w:right w:val="single" w:sz="8" w:color="F0FFFF"/>
            </w:tcBorders>
            <w:gridSpan w:val="2"/>
            <w:shd w:val="clear" w:color="auto" w:fill="F0FFFF"/>
          </w:tcPr>
          <w:p>
            <w:pPr>
              <w:jc w:val="right"/>
              <w:ind w:right="60"/>
              <w:spacing w:after="0" w:line="149" w:lineRule="exact"/>
              <w:rPr>
                <w:sz w:val="20"/>
                <w:szCs w:val="20"/>
                <w:color w:val="auto"/>
              </w:rPr>
            </w:pPr>
            <w:r>
              <w:rPr>
                <w:rFonts w:ascii="Arial" w:cs="Arial" w:eastAsia="Arial" w:hAnsi="Arial"/>
                <w:sz w:val="14"/>
                <w:szCs w:val="14"/>
                <w:color w:val="auto"/>
              </w:rPr>
              <w:t>(21,512)</w:t>
            </w:r>
          </w:p>
        </w:tc>
        <w:tc>
          <w:tcPr>
            <w:tcW w:w="18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33</w:t>
            </w:r>
          </w:p>
        </w:tc>
        <w:tc>
          <w:tcPr>
            <w:tcW w:w="8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12,139</w:t>
            </w:r>
          </w:p>
        </w:tc>
        <w:tc>
          <w:tcPr>
            <w:tcW w:w="10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17,322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Consumer installment</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1,353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(1,131)</w:t>
            </w:r>
          </w:p>
        </w:tc>
        <w:tc>
          <w:tcPr>
            <w:tcW w:w="2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718</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(341)</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599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2,527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(1,176)</w:t>
            </w:r>
          </w:p>
        </w:tc>
        <w:tc>
          <w:tcPr>
            <w:tcW w:w="1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681</w:t>
            </w: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(517)</w:t>
            </w: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2"/>
            <w:shd w:val="clear" w:color="auto" w:fill="F0FFFF"/>
          </w:tcPr>
          <w:p>
            <w:pPr>
              <w:spacing w:after="0" w:line="149" w:lineRule="exact"/>
              <w:rPr>
                <w:sz w:val="20"/>
                <w:szCs w:val="20"/>
                <w:color w:val="auto"/>
              </w:rPr>
            </w:pPr>
            <w:r>
              <w:rPr>
                <w:rFonts w:ascii="Arial" w:cs="Arial" w:eastAsia="Arial" w:hAnsi="Arial"/>
                <w:sz w:val="14"/>
                <w:szCs w:val="14"/>
                <w:color w:val="auto"/>
              </w:rPr>
              <w:t>Indirect auto</w:t>
            </w:r>
          </w:p>
        </w:tc>
        <w:tc>
          <w:tcPr>
            <w:tcW w:w="100" w:type="dxa"/>
            <w:vAlign w:val="bottom"/>
            <w:shd w:val="clear" w:color="auto" w:fill="F0FFFF"/>
          </w:tcPr>
          <w:p>
            <w:pPr>
              <w:spacing w:after="0"/>
              <w:rPr>
                <w:sz w:val="12"/>
                <w:szCs w:val="12"/>
                <w:color w:val="auto"/>
              </w:rPr>
            </w:pPr>
          </w:p>
        </w:tc>
        <w:tc>
          <w:tcPr>
            <w:tcW w:w="6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1,126</w:t>
            </w:r>
          </w:p>
        </w:tc>
        <w:tc>
          <w:tcPr>
            <w:tcW w:w="100" w:type="dxa"/>
            <w:vAlign w:val="bottom"/>
            <w:tcBorders>
              <w:lef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gridSpan w:val="2"/>
            <w:shd w:val="clear" w:color="auto" w:fill="F0FFFF"/>
          </w:tcPr>
          <w:p>
            <w:pPr>
              <w:jc w:val="right"/>
              <w:ind w:right="60"/>
              <w:spacing w:after="0" w:line="149" w:lineRule="exact"/>
              <w:rPr>
                <w:sz w:val="20"/>
                <w:szCs w:val="20"/>
                <w:color w:val="auto"/>
              </w:rPr>
            </w:pPr>
            <w:r>
              <w:rPr>
                <w:rFonts w:ascii="Arial" w:cs="Arial" w:eastAsia="Arial" w:hAnsi="Arial"/>
                <w:sz w:val="14"/>
                <w:szCs w:val="14"/>
                <w:color w:val="auto"/>
              </w:rPr>
              <w:t>(166)</w:t>
            </w:r>
          </w:p>
        </w:tc>
        <w:tc>
          <w:tcPr>
            <w:tcW w:w="220" w:type="dxa"/>
            <w:vAlign w:val="bottom"/>
            <w:shd w:val="clear" w:color="auto" w:fill="F0FFFF"/>
          </w:tcPr>
          <w:p>
            <w:pPr>
              <w:spacing w:after="0"/>
              <w:rPr>
                <w:sz w:val="12"/>
                <w:szCs w:val="12"/>
                <w:color w:val="auto"/>
              </w:rPr>
            </w:pPr>
          </w:p>
        </w:tc>
        <w:tc>
          <w:tcPr>
            <w:tcW w:w="4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27</w:t>
            </w:r>
          </w:p>
        </w:tc>
        <w:tc>
          <w:tcPr>
            <w:tcW w:w="100" w:type="dxa"/>
            <w:vAlign w:val="bottom"/>
            <w:tcBorders>
              <w:lef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62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2"/>
                <w:szCs w:val="12"/>
                <w:color w:val="auto"/>
              </w:rPr>
            </w:pPr>
          </w:p>
        </w:tc>
        <w:tc>
          <w:tcPr>
            <w:tcW w:w="600" w:type="dxa"/>
            <w:vAlign w:val="bottom"/>
            <w:tcBorders>
              <w:right w:val="single" w:sz="8" w:color="F0FFFF"/>
            </w:tcBorders>
            <w:gridSpan w:val="2"/>
            <w:shd w:val="clear" w:color="auto" w:fill="F0FFFF"/>
          </w:tcPr>
          <w:p>
            <w:pPr>
              <w:jc w:val="right"/>
              <w:ind w:right="60"/>
              <w:spacing w:after="0" w:line="149" w:lineRule="exact"/>
              <w:rPr>
                <w:sz w:val="20"/>
                <w:szCs w:val="20"/>
                <w:color w:val="auto"/>
              </w:rPr>
            </w:pPr>
            <w:r>
              <w:rPr>
                <w:rFonts w:ascii="Arial" w:cs="Arial" w:eastAsia="Arial" w:hAnsi="Arial"/>
                <w:sz w:val="14"/>
                <w:szCs w:val="14"/>
                <w:color w:val="auto"/>
              </w:rPr>
              <w:t>(164)</w:t>
            </w:r>
          </w:p>
        </w:tc>
        <w:tc>
          <w:tcPr>
            <w:tcW w:w="100" w:type="dxa"/>
            <w:vAlign w:val="bottom"/>
            <w:shd w:val="clear" w:color="auto" w:fill="F0FFFF"/>
          </w:tcPr>
          <w:p>
            <w:pPr>
              <w:spacing w:after="0"/>
              <w:rPr>
                <w:sz w:val="12"/>
                <w:szCs w:val="12"/>
                <w:color w:val="auto"/>
              </w:rPr>
            </w:pPr>
          </w:p>
        </w:tc>
        <w:tc>
          <w:tcPr>
            <w:tcW w:w="6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823</w:t>
            </w:r>
          </w:p>
        </w:tc>
        <w:tc>
          <w:tcPr>
            <w:tcW w:w="120" w:type="dxa"/>
            <w:vAlign w:val="bottom"/>
            <w:tcBorders>
              <w:lef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220</w:t>
            </w:r>
          </w:p>
        </w:tc>
        <w:tc>
          <w:tcPr>
            <w:tcW w:w="120" w:type="dxa"/>
            <w:vAlign w:val="bottom"/>
            <w:tcBorders>
              <w:lef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tcBorders>
              <w:right w:val="single" w:sz="8" w:color="F0FFFF"/>
            </w:tcBorders>
            <w:gridSpan w:val="2"/>
            <w:shd w:val="clear" w:color="auto" w:fill="F0FFFF"/>
          </w:tcPr>
          <w:p>
            <w:pPr>
              <w:jc w:val="right"/>
              <w:ind w:right="60"/>
              <w:spacing w:after="0" w:line="149" w:lineRule="exact"/>
              <w:rPr>
                <w:sz w:val="20"/>
                <w:szCs w:val="20"/>
                <w:color w:val="auto"/>
              </w:rPr>
            </w:pPr>
            <w:r>
              <w:rPr>
                <w:rFonts w:ascii="Arial" w:cs="Arial" w:eastAsia="Arial" w:hAnsi="Arial"/>
                <w:sz w:val="14"/>
                <w:szCs w:val="14"/>
                <w:color w:val="auto"/>
              </w:rPr>
              <w:t>(96)</w:t>
            </w:r>
          </w:p>
        </w:tc>
        <w:tc>
          <w:tcPr>
            <w:tcW w:w="18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11</w:t>
            </w:r>
          </w:p>
        </w:tc>
        <w:tc>
          <w:tcPr>
            <w:tcW w:w="8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740</w:t>
            </w:r>
          </w:p>
        </w:tc>
        <w:tc>
          <w:tcPr>
            <w:tcW w:w="100" w:type="dxa"/>
            <w:vAlign w:val="bottom"/>
            <w:shd w:val="clear" w:color="auto" w:fill="F0FFFF"/>
          </w:tcPr>
          <w:p>
            <w:pPr>
              <w:spacing w:after="0"/>
              <w:rPr>
                <w:sz w:val="12"/>
                <w:szCs w:val="12"/>
                <w:color w:val="auto"/>
              </w:rPr>
            </w:pPr>
          </w:p>
        </w:tc>
        <w:tc>
          <w:tcPr>
            <w:tcW w:w="66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875</w:t>
            </w: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2"/>
          </w:tcPr>
          <w:p>
            <w:pPr>
              <w:spacing w:after="0" w:line="149" w:lineRule="exact"/>
              <w:rPr>
                <w:sz w:val="20"/>
                <w:szCs w:val="20"/>
                <w:color w:val="auto"/>
              </w:rPr>
            </w:pPr>
            <w:r>
              <w:rPr>
                <w:rFonts w:ascii="Arial" w:cs="Arial" w:eastAsia="Arial" w:hAnsi="Arial"/>
                <w:sz w:val="14"/>
                <w:szCs w:val="14"/>
                <w:color w:val="auto"/>
              </w:rPr>
              <w:t>Unallocated</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6,243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(6,243)</w:t>
            </w:r>
          </w:p>
        </w:tc>
        <w:tc>
          <w:tcPr>
            <w:tcW w:w="22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9,313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(2,344)</w:t>
            </w: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6,969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gridSpan w:val="2"/>
            <w:shd w:val="clear" w:color="auto" w:fill="F0FFFF"/>
          </w:tcPr>
          <w:p>
            <w:pPr>
              <w:ind w:left="160"/>
              <w:spacing w:after="0" w:line="149" w:lineRule="exact"/>
              <w:rPr>
                <w:sz w:val="20"/>
                <w:szCs w:val="20"/>
                <w:color w:val="auto"/>
              </w:rPr>
            </w:pPr>
            <w:r>
              <w:rPr>
                <w:rFonts w:ascii="Arial" w:cs="Arial" w:eastAsia="Arial" w:hAnsi="Arial"/>
                <w:sz w:val="14"/>
                <w:szCs w:val="14"/>
                <w:color w:val="auto"/>
              </w:rPr>
              <w:t>Total allowance for loan losses</w:t>
            </w:r>
          </w:p>
        </w:tc>
        <w:tc>
          <w:tcPr>
            <w:tcW w:w="100" w:type="dxa"/>
            <w:vAlign w:val="bottom"/>
            <w:shd w:val="clear" w:color="auto" w:fill="F0FFFF"/>
          </w:tcPr>
          <w:p>
            <w:pPr>
              <w:spacing w:after="0"/>
              <w:rPr>
                <w:sz w:val="12"/>
                <w:szCs w:val="12"/>
                <w:color w:val="auto"/>
              </w:rPr>
            </w:pPr>
          </w:p>
        </w:tc>
        <w:tc>
          <w:tcPr>
            <w:tcW w:w="6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76,762</w:t>
            </w:r>
          </w:p>
        </w:tc>
        <w:tc>
          <w:tcPr>
            <w:tcW w:w="100" w:type="dxa"/>
            <w:vAlign w:val="bottom"/>
            <w:tcBorders>
              <w:lef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gridSpan w:val="2"/>
            <w:shd w:val="clear" w:color="auto" w:fill="F0FFFF"/>
          </w:tcPr>
          <w:p>
            <w:pPr>
              <w:jc w:val="right"/>
              <w:ind w:right="60"/>
              <w:spacing w:after="0" w:line="149" w:lineRule="exact"/>
              <w:rPr>
                <w:sz w:val="20"/>
                <w:szCs w:val="20"/>
                <w:color w:val="auto"/>
              </w:rPr>
            </w:pPr>
            <w:r>
              <w:rPr>
                <w:rFonts w:ascii="Arial" w:cs="Arial" w:eastAsia="Arial" w:hAnsi="Arial"/>
                <w:sz w:val="14"/>
                <w:szCs w:val="14"/>
                <w:color w:val="auto"/>
              </w:rPr>
              <w:t>(13,784)</w:t>
            </w:r>
          </w:p>
        </w:tc>
        <w:tc>
          <w:tcPr>
            <w:tcW w:w="220" w:type="dxa"/>
            <w:vAlign w:val="bottom"/>
            <w:shd w:val="clear" w:color="auto" w:fill="F0FFFF"/>
          </w:tcPr>
          <w:p>
            <w:pPr>
              <w:spacing w:after="0"/>
              <w:rPr>
                <w:sz w:val="12"/>
                <w:szCs w:val="12"/>
                <w:color w:val="auto"/>
              </w:rPr>
            </w:pPr>
          </w:p>
        </w:tc>
        <w:tc>
          <w:tcPr>
            <w:tcW w:w="4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5,570</w:t>
            </w:r>
          </w:p>
        </w:tc>
        <w:tc>
          <w:tcPr>
            <w:tcW w:w="100" w:type="dxa"/>
            <w:vAlign w:val="bottom"/>
            <w:tcBorders>
              <w:left w:val="single" w:sz="8" w:color="F0FFFF"/>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62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spacing w:after="0"/>
              <w:rPr>
                <w:sz w:val="12"/>
                <w:szCs w:val="12"/>
                <w:color w:val="auto"/>
              </w:rPr>
            </w:pPr>
          </w:p>
        </w:tc>
        <w:tc>
          <w:tcPr>
            <w:tcW w:w="600" w:type="dxa"/>
            <w:vAlign w:val="bottom"/>
            <w:tcBorders>
              <w:right w:val="single" w:sz="8" w:color="F0FFFF"/>
            </w:tcBorders>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4,700</w:t>
            </w:r>
          </w:p>
        </w:tc>
        <w:tc>
          <w:tcPr>
            <w:tcW w:w="100" w:type="dxa"/>
            <w:vAlign w:val="bottom"/>
            <w:shd w:val="clear" w:color="auto" w:fill="F0FFFF"/>
          </w:tcPr>
          <w:p>
            <w:pPr>
              <w:spacing w:after="0"/>
              <w:rPr>
                <w:sz w:val="12"/>
                <w:szCs w:val="12"/>
                <w:color w:val="auto"/>
              </w:rPr>
            </w:pPr>
          </w:p>
        </w:tc>
        <w:tc>
          <w:tcPr>
            <w:tcW w:w="6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73,248</w:t>
            </w:r>
          </w:p>
        </w:tc>
        <w:tc>
          <w:tcPr>
            <w:tcW w:w="120" w:type="dxa"/>
            <w:vAlign w:val="bottom"/>
            <w:tcBorders>
              <w:lef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107,137</w:t>
            </w:r>
          </w:p>
        </w:tc>
        <w:tc>
          <w:tcPr>
            <w:tcW w:w="120" w:type="dxa"/>
            <w:vAlign w:val="bottom"/>
            <w:tcBorders>
              <w:lef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740" w:type="dxa"/>
            <w:vAlign w:val="bottom"/>
            <w:tcBorders>
              <w:right w:val="single" w:sz="8" w:color="F0FFFF"/>
            </w:tcBorders>
            <w:gridSpan w:val="2"/>
            <w:shd w:val="clear" w:color="auto" w:fill="F0FFFF"/>
          </w:tcPr>
          <w:p>
            <w:pPr>
              <w:jc w:val="right"/>
              <w:ind w:right="60"/>
              <w:spacing w:after="0" w:line="149" w:lineRule="exact"/>
              <w:rPr>
                <w:sz w:val="20"/>
                <w:szCs w:val="20"/>
                <w:color w:val="auto"/>
              </w:rPr>
            </w:pPr>
            <w:r>
              <w:rPr>
                <w:rFonts w:ascii="Arial" w:cs="Arial" w:eastAsia="Arial" w:hAnsi="Arial"/>
                <w:sz w:val="14"/>
                <w:szCs w:val="14"/>
                <w:color w:val="auto"/>
              </w:rPr>
              <w:t>(88,157)</w:t>
            </w:r>
          </w:p>
        </w:tc>
        <w:tc>
          <w:tcPr>
            <w:tcW w:w="180" w:type="dxa"/>
            <w:vAlign w:val="bottom"/>
            <w:shd w:val="clear" w:color="auto" w:fill="F0FFFF"/>
          </w:tcPr>
          <w:p>
            <w:pPr>
              <w:spacing w:after="0"/>
              <w:rPr>
                <w:sz w:val="12"/>
                <w:szCs w:val="12"/>
                <w:color w:val="auto"/>
              </w:rPr>
            </w:pPr>
          </w:p>
        </w:tc>
        <w:tc>
          <w:tcPr>
            <w:tcW w:w="66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3,365</w:t>
            </w:r>
          </w:p>
        </w:tc>
        <w:tc>
          <w:tcPr>
            <w:tcW w:w="8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59,500</w:t>
            </w:r>
          </w:p>
        </w:tc>
        <w:tc>
          <w:tcPr>
            <w:tcW w:w="100" w:type="dxa"/>
            <w:vAlign w:val="bottom"/>
            <w:shd w:val="clear" w:color="auto" w:fill="F0FFFF"/>
          </w:tcPr>
          <w:p>
            <w:pPr>
              <w:spacing w:after="0"/>
              <w:rPr>
                <w:sz w:val="12"/>
                <w:szCs w:val="12"/>
                <w:color w:val="auto"/>
              </w:rPr>
            </w:pPr>
          </w:p>
        </w:tc>
        <w:tc>
          <w:tcPr>
            <w:tcW w:w="78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81,845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220" w:type="dxa"/>
            <w:vAlign w:val="bottom"/>
            <w:gridSpan w:val="2"/>
          </w:tcPr>
          <w:p>
            <w:pPr>
              <w:spacing w:after="0" w:line="130" w:lineRule="exact"/>
              <w:rPr>
                <w:sz w:val="20"/>
                <w:szCs w:val="20"/>
                <w:color w:val="auto"/>
              </w:rPr>
            </w:pPr>
            <w:r>
              <w:rPr>
                <w:rFonts w:ascii="Arial" w:cs="Arial" w:eastAsia="Arial" w:hAnsi="Arial"/>
                <w:sz w:val="14"/>
                <w:szCs w:val="14"/>
                <w:color w:val="auto"/>
              </w:rPr>
              <w:t>Allowance for unfunded</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220" w:type="dxa"/>
            <w:vAlign w:val="bottom"/>
            <w:gridSpan w:val="2"/>
          </w:tcPr>
          <w:p>
            <w:pPr>
              <w:ind w:left="160"/>
              <w:spacing w:after="0"/>
              <w:rPr>
                <w:sz w:val="20"/>
                <w:szCs w:val="20"/>
                <w:color w:val="auto"/>
              </w:rPr>
            </w:pPr>
            <w:r>
              <w:rPr>
                <w:rFonts w:ascii="Arial" w:cs="Arial" w:eastAsia="Arial" w:hAnsi="Arial"/>
                <w:sz w:val="14"/>
                <w:szCs w:val="14"/>
                <w:color w:val="auto"/>
              </w:rPr>
              <w:t>commitments</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2,165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2,165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2220" w:type="dxa"/>
            <w:vAlign w:val="bottom"/>
            <w:gridSpan w:val="2"/>
            <w:shd w:val="clear" w:color="auto" w:fill="F0FFFF"/>
          </w:tcPr>
          <w:p>
            <w:pPr>
              <w:ind w:left="160"/>
              <w:spacing w:after="0" w:line="149" w:lineRule="exact"/>
              <w:rPr>
                <w:sz w:val="20"/>
                <w:szCs w:val="20"/>
                <w:color w:val="auto"/>
              </w:rPr>
            </w:pPr>
            <w:r>
              <w:rPr>
                <w:rFonts w:ascii="Arial" w:cs="Arial" w:eastAsia="Arial" w:hAnsi="Arial"/>
                <w:sz w:val="14"/>
                <w:szCs w:val="14"/>
                <w:color w:val="auto"/>
              </w:rPr>
              <w:t>Total allowance for credit losses</w:t>
            </w:r>
          </w:p>
        </w:tc>
        <w:tc>
          <w:tcPr>
            <w:tcW w:w="1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78,927</w:t>
            </w:r>
          </w:p>
        </w:tc>
        <w:tc>
          <w:tcPr>
            <w:tcW w:w="100" w:type="dxa"/>
            <w:vAlign w:val="bottom"/>
            <w:tcBorders>
              <w:left w:val="single" w:sz="8" w:color="F0FFFF"/>
            </w:tcBorders>
            <w:shd w:val="clear" w:color="auto" w:fill="F0FFFF"/>
          </w:tcPr>
          <w:p>
            <w:pPr>
              <w:spacing w:after="0"/>
              <w:rPr>
                <w:sz w:val="14"/>
                <w:szCs w:val="14"/>
                <w:color w:val="auto"/>
              </w:rPr>
            </w:pPr>
          </w:p>
        </w:tc>
        <w:tc>
          <w:tcPr>
            <w:tcW w:w="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3"/>
            <w:shd w:val="clear" w:color="auto" w:fill="F0FFFF"/>
          </w:tcPr>
          <w:p>
            <w:pPr>
              <w:jc w:val="right"/>
              <w:ind w:right="88"/>
              <w:spacing w:after="0" w:line="149" w:lineRule="exact"/>
              <w:rPr>
                <w:sz w:val="20"/>
                <w:szCs w:val="20"/>
                <w:color w:val="auto"/>
              </w:rPr>
            </w:pPr>
            <w:r>
              <w:rPr>
                <w:rFonts w:ascii="Arial" w:cs="Arial" w:eastAsia="Arial" w:hAnsi="Arial"/>
                <w:sz w:val="14"/>
                <w:szCs w:val="14"/>
                <w:color w:val="auto"/>
              </w:rPr>
              <w:t>(13,784) $</w:t>
            </w:r>
          </w:p>
        </w:tc>
        <w:tc>
          <w:tcPr>
            <w:tcW w:w="4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5,570</w:t>
            </w:r>
          </w:p>
        </w:tc>
        <w:tc>
          <w:tcPr>
            <w:tcW w:w="340" w:type="dxa"/>
            <w:vAlign w:val="bottom"/>
            <w:tcBorders>
              <w:left w:val="single" w:sz="8" w:color="F0FFFF"/>
            </w:tcBorders>
            <w:gridSpan w:val="2"/>
            <w:shd w:val="clear" w:color="auto" w:fill="F0FFFF"/>
          </w:tcPr>
          <w:p>
            <w:pPr>
              <w:ind w:left="1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F0FF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Borders>
              <w:right w:val="single" w:sz="8" w:color="F0FFFF"/>
            </w:tcBorders>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4,700</w:t>
            </w:r>
          </w:p>
        </w:tc>
        <w:tc>
          <w:tcPr>
            <w:tcW w:w="1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75,413</w:t>
            </w:r>
          </w:p>
        </w:tc>
        <w:tc>
          <w:tcPr>
            <w:tcW w:w="200" w:type="dxa"/>
            <w:vAlign w:val="bottom"/>
            <w:tcBorders>
              <w:left w:val="single" w:sz="8" w:color="F0FFFF"/>
            </w:tcBorders>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107,137</w:t>
            </w:r>
          </w:p>
        </w:tc>
        <w:tc>
          <w:tcPr>
            <w:tcW w:w="200" w:type="dxa"/>
            <w:vAlign w:val="bottom"/>
            <w:tcBorders>
              <w:left w:val="single" w:sz="8" w:color="F0FFFF"/>
            </w:tcBorders>
            <w:gridSpan w:val="2"/>
            <w:shd w:val="clear" w:color="auto" w:fill="F0FF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3"/>
            <w:shd w:val="clear" w:color="auto" w:fill="F0FFFF"/>
          </w:tcPr>
          <w:p>
            <w:pPr>
              <w:jc w:val="right"/>
              <w:ind w:right="28"/>
              <w:spacing w:after="0" w:line="149" w:lineRule="exact"/>
              <w:rPr>
                <w:sz w:val="20"/>
                <w:szCs w:val="20"/>
                <w:color w:val="auto"/>
              </w:rPr>
            </w:pPr>
            <w:r>
              <w:rPr>
                <w:rFonts w:ascii="Arial" w:cs="Arial" w:eastAsia="Arial" w:hAnsi="Arial"/>
                <w:sz w:val="14"/>
                <w:szCs w:val="14"/>
                <w:color w:val="auto"/>
              </w:rPr>
              <w:t>(88,157) $</w:t>
            </w:r>
          </w:p>
        </w:tc>
        <w:tc>
          <w:tcPr>
            <w:tcW w:w="66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3,365</w:t>
            </w:r>
          </w:p>
        </w:tc>
        <w:tc>
          <w:tcPr>
            <w:tcW w:w="80" w:type="dxa"/>
            <w:vAlign w:val="bottom"/>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59,500</w:t>
            </w:r>
          </w:p>
        </w:tc>
        <w:tc>
          <w:tcPr>
            <w:tcW w:w="1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81,845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left w:val="single" w:sz="8" w:color="F0FFFF"/>
            </w:tcBorders>
            <w:shd w:val="clear" w:color="auto" w:fill="F0FF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left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left w:val="single" w:sz="8" w:color="F0FFFF"/>
            </w:tcBorders>
            <w:shd w:val="clear" w:color="auto" w:fill="F0FF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left w:val="single" w:sz="8" w:color="F0FFFF"/>
            </w:tcBorders>
            <w:shd w:val="clear" w:color="auto" w:fill="F0FF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The following table represents the recorded investment in loans by portfolio segment and the balance of the allowance for loan losses assigned to each segment based on the method of evaluating the loans for impairment as of June 30, 2014, December 31, 2013 and June 30, 2013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2"/>
              </w:rPr>
              <w:t>June 30, 2014</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center"/>
              <w:ind w:right="68"/>
              <w:spacing w:after="0"/>
              <w:rPr>
                <w:sz w:val="20"/>
                <w:szCs w:val="20"/>
                <w:color w:val="auto"/>
              </w:rPr>
            </w:pPr>
            <w:r>
              <w:rPr>
                <w:rFonts w:ascii="Arial" w:cs="Arial" w:eastAsia="Arial" w:hAnsi="Arial"/>
                <w:sz w:val="14"/>
                <w:szCs w:val="14"/>
                <w:b w:val="1"/>
                <w:bCs w:val="1"/>
                <w:color w:val="auto"/>
                <w:w w:val="91"/>
              </w:rPr>
              <w:t>December 31, 2013</w:t>
            </w:r>
          </w:p>
        </w:tc>
        <w:tc>
          <w:tcPr>
            <w:tcW w:w="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8"/>
              <w:spacing w:after="0"/>
              <w:rPr>
                <w:sz w:val="20"/>
                <w:szCs w:val="20"/>
                <w:color w:val="auto"/>
              </w:rPr>
            </w:pPr>
            <w:r>
              <w:rPr>
                <w:rFonts w:ascii="Arial" w:cs="Arial" w:eastAsia="Arial" w:hAnsi="Arial"/>
                <w:sz w:val="14"/>
                <w:szCs w:val="14"/>
                <w:b w:val="1"/>
                <w:bCs w:val="1"/>
                <w:color w:val="auto"/>
                <w:w w:val="92"/>
              </w:rPr>
              <w:t>June 30, 2013</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jc w:val="center"/>
              <w:ind w:right="108"/>
              <w:spacing w:after="0" w:line="126" w:lineRule="exact"/>
              <w:rPr>
                <w:sz w:val="20"/>
                <w:szCs w:val="20"/>
                <w:color w:val="auto"/>
              </w:rPr>
            </w:pPr>
            <w:r>
              <w:rPr>
                <w:rFonts w:ascii="Arial" w:cs="Arial" w:eastAsia="Arial" w:hAnsi="Arial"/>
                <w:sz w:val="14"/>
                <w:szCs w:val="14"/>
                <w:b w:val="1"/>
                <w:bCs w:val="1"/>
                <w:color w:val="auto"/>
                <w:w w:val="96"/>
              </w:rPr>
              <w:t>Individually</w:t>
            </w:r>
          </w:p>
        </w:tc>
        <w:tc>
          <w:tcPr>
            <w:tcW w:w="100" w:type="dxa"/>
            <w:vAlign w:val="bottom"/>
          </w:tcPr>
          <w:p>
            <w:pPr>
              <w:spacing w:after="0"/>
              <w:rPr>
                <w:sz w:val="10"/>
                <w:szCs w:val="10"/>
                <w:color w:val="auto"/>
              </w:rPr>
            </w:pPr>
          </w:p>
        </w:tc>
        <w:tc>
          <w:tcPr>
            <w:tcW w:w="940" w:type="dxa"/>
            <w:vAlign w:val="bottom"/>
            <w:gridSpan w:val="2"/>
          </w:tcPr>
          <w:p>
            <w:pPr>
              <w:jc w:val="center"/>
              <w:ind w:right="180"/>
              <w:spacing w:after="0" w:line="126" w:lineRule="exact"/>
              <w:rPr>
                <w:sz w:val="20"/>
                <w:szCs w:val="20"/>
                <w:color w:val="auto"/>
              </w:rPr>
            </w:pPr>
            <w:r>
              <w:rPr>
                <w:rFonts w:ascii="Arial" w:cs="Arial" w:eastAsia="Arial" w:hAnsi="Arial"/>
                <w:sz w:val="14"/>
                <w:szCs w:val="14"/>
                <w:b w:val="1"/>
                <w:bCs w:val="1"/>
                <w:color w:val="auto"/>
                <w:w w:val="92"/>
              </w:rPr>
              <w:t>Collectively</w:t>
            </w:r>
          </w:p>
        </w:tc>
        <w:tc>
          <w:tcPr>
            <w:tcW w:w="160" w:type="dxa"/>
            <w:vAlign w:val="bottom"/>
          </w:tcPr>
          <w:p>
            <w:pPr>
              <w:spacing w:after="0"/>
              <w:rPr>
                <w:sz w:val="10"/>
                <w:szCs w:val="10"/>
                <w:color w:val="auto"/>
              </w:rPr>
            </w:pPr>
          </w:p>
        </w:tc>
        <w:tc>
          <w:tcPr>
            <w:tcW w:w="88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Ending</w:t>
            </w:r>
          </w:p>
        </w:tc>
        <w:tc>
          <w:tcPr>
            <w:tcW w:w="80" w:type="dxa"/>
            <w:vAlign w:val="bottom"/>
          </w:tcPr>
          <w:p>
            <w:pPr>
              <w:spacing w:after="0"/>
              <w:rPr>
                <w:sz w:val="10"/>
                <w:szCs w:val="10"/>
                <w:color w:val="auto"/>
              </w:rPr>
            </w:pPr>
          </w:p>
        </w:tc>
        <w:tc>
          <w:tcPr>
            <w:tcW w:w="860" w:type="dxa"/>
            <w:vAlign w:val="bottom"/>
          </w:tcPr>
          <w:p>
            <w:pPr>
              <w:jc w:val="center"/>
              <w:ind w:right="8"/>
              <w:spacing w:after="0" w:line="126" w:lineRule="exact"/>
              <w:rPr>
                <w:sz w:val="20"/>
                <w:szCs w:val="20"/>
                <w:color w:val="auto"/>
              </w:rPr>
            </w:pPr>
            <w:r>
              <w:rPr>
                <w:rFonts w:ascii="Arial" w:cs="Arial" w:eastAsia="Arial" w:hAnsi="Arial"/>
                <w:sz w:val="14"/>
                <w:szCs w:val="14"/>
                <w:b w:val="1"/>
                <w:bCs w:val="1"/>
                <w:color w:val="auto"/>
                <w:w w:val="96"/>
              </w:rPr>
              <w:t>Individually</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jc w:val="center"/>
              <w:ind w:right="108"/>
              <w:spacing w:after="0" w:line="126" w:lineRule="exact"/>
              <w:rPr>
                <w:sz w:val="20"/>
                <w:szCs w:val="20"/>
                <w:color w:val="auto"/>
              </w:rPr>
            </w:pPr>
            <w:r>
              <w:rPr>
                <w:rFonts w:ascii="Arial" w:cs="Arial" w:eastAsia="Arial" w:hAnsi="Arial"/>
                <w:sz w:val="14"/>
                <w:szCs w:val="14"/>
                <w:b w:val="1"/>
                <w:bCs w:val="1"/>
                <w:color w:val="auto"/>
                <w:w w:val="92"/>
              </w:rPr>
              <w:t>Collectively</w:t>
            </w:r>
          </w:p>
        </w:tc>
        <w:tc>
          <w:tcPr>
            <w:tcW w:w="160" w:type="dxa"/>
            <w:vAlign w:val="bottom"/>
          </w:tcPr>
          <w:p>
            <w:pPr>
              <w:spacing w:after="0"/>
              <w:rPr>
                <w:sz w:val="10"/>
                <w:szCs w:val="10"/>
                <w:color w:val="auto"/>
              </w:rPr>
            </w:pPr>
          </w:p>
        </w:tc>
        <w:tc>
          <w:tcPr>
            <w:tcW w:w="9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Ending</w:t>
            </w:r>
          </w:p>
        </w:tc>
        <w:tc>
          <w:tcPr>
            <w:tcW w:w="80" w:type="dxa"/>
            <w:vAlign w:val="bottom"/>
          </w:tcPr>
          <w:p>
            <w:pPr>
              <w:spacing w:after="0"/>
              <w:rPr>
                <w:sz w:val="10"/>
                <w:szCs w:val="10"/>
                <w:color w:val="auto"/>
              </w:rPr>
            </w:pPr>
          </w:p>
        </w:tc>
        <w:tc>
          <w:tcPr>
            <w:tcW w:w="980" w:type="dxa"/>
            <w:vAlign w:val="bottom"/>
          </w:tcPr>
          <w:p>
            <w:pPr>
              <w:jc w:val="center"/>
              <w:ind w:right="128"/>
              <w:spacing w:after="0" w:line="126" w:lineRule="exact"/>
              <w:rPr>
                <w:sz w:val="20"/>
                <w:szCs w:val="20"/>
                <w:color w:val="auto"/>
              </w:rPr>
            </w:pPr>
            <w:r>
              <w:rPr>
                <w:rFonts w:ascii="Arial" w:cs="Arial" w:eastAsia="Arial" w:hAnsi="Arial"/>
                <w:sz w:val="14"/>
                <w:szCs w:val="14"/>
                <w:b w:val="1"/>
                <w:bCs w:val="1"/>
                <w:color w:val="auto"/>
                <w:w w:val="96"/>
              </w:rPr>
              <w:t>Individually</w:t>
            </w:r>
          </w:p>
        </w:tc>
        <w:tc>
          <w:tcPr>
            <w:tcW w:w="80" w:type="dxa"/>
            <w:vAlign w:val="bottom"/>
          </w:tcPr>
          <w:p>
            <w:pPr>
              <w:spacing w:after="0"/>
              <w:rPr>
                <w:sz w:val="10"/>
                <w:szCs w:val="10"/>
                <w:color w:val="auto"/>
              </w:rPr>
            </w:pPr>
          </w:p>
        </w:tc>
        <w:tc>
          <w:tcPr>
            <w:tcW w:w="960" w:type="dxa"/>
            <w:vAlign w:val="bottom"/>
          </w:tcPr>
          <w:p>
            <w:pPr>
              <w:jc w:val="center"/>
              <w:ind w:right="128"/>
              <w:spacing w:after="0" w:line="126" w:lineRule="exact"/>
              <w:rPr>
                <w:sz w:val="20"/>
                <w:szCs w:val="20"/>
                <w:color w:val="auto"/>
              </w:rPr>
            </w:pPr>
            <w:r>
              <w:rPr>
                <w:rFonts w:ascii="Arial" w:cs="Arial" w:eastAsia="Arial" w:hAnsi="Arial"/>
                <w:sz w:val="14"/>
                <w:szCs w:val="14"/>
                <w:b w:val="1"/>
                <w:bCs w:val="1"/>
                <w:color w:val="auto"/>
                <w:w w:val="92"/>
              </w:rPr>
              <w:t>Collectively</w:t>
            </w:r>
          </w:p>
        </w:tc>
        <w:tc>
          <w:tcPr>
            <w:tcW w:w="160" w:type="dxa"/>
            <w:vAlign w:val="bottom"/>
          </w:tcPr>
          <w:p>
            <w:pPr>
              <w:spacing w:after="0"/>
              <w:rPr>
                <w:sz w:val="10"/>
                <w:szCs w:val="10"/>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49"/>
        </w:trPr>
        <w:tc>
          <w:tcPr>
            <w:tcW w:w="1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Allowance for Loan Losses</w:t>
            </w:r>
          </w:p>
        </w:tc>
        <w:tc>
          <w:tcPr>
            <w:tcW w:w="100" w:type="dxa"/>
            <w:vAlign w:val="bottom"/>
          </w:tcPr>
          <w:p>
            <w:pPr>
              <w:spacing w:after="0"/>
              <w:rPr>
                <w:sz w:val="12"/>
                <w:szCs w:val="12"/>
                <w:color w:val="auto"/>
              </w:rPr>
            </w:pPr>
          </w:p>
        </w:tc>
        <w:tc>
          <w:tcPr>
            <w:tcW w:w="1040" w:type="dxa"/>
            <w:vAlign w:val="bottom"/>
            <w:gridSpan w:val="2"/>
          </w:tcPr>
          <w:p>
            <w:pPr>
              <w:jc w:val="center"/>
              <w:ind w:right="28"/>
              <w:spacing w:after="0" w:line="149" w:lineRule="exact"/>
              <w:rPr>
                <w:sz w:val="20"/>
                <w:szCs w:val="20"/>
                <w:color w:val="auto"/>
              </w:rPr>
            </w:pPr>
            <w:r>
              <w:rPr>
                <w:rFonts w:ascii="Arial" w:cs="Arial" w:eastAsia="Arial" w:hAnsi="Arial"/>
                <w:sz w:val="14"/>
                <w:szCs w:val="14"/>
                <w:b w:val="1"/>
                <w:bCs w:val="1"/>
                <w:color w:val="auto"/>
                <w:w w:val="94"/>
              </w:rPr>
              <w:t>evaluated for</w:t>
            </w:r>
          </w:p>
        </w:tc>
        <w:tc>
          <w:tcPr>
            <w:tcW w:w="10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evaluated for</w:t>
            </w: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evaluated for</w:t>
            </w:r>
          </w:p>
        </w:tc>
        <w:tc>
          <w:tcPr>
            <w:tcW w:w="100" w:type="dxa"/>
            <w:vAlign w:val="bottom"/>
          </w:tcPr>
          <w:p>
            <w:pPr>
              <w:spacing w:after="0"/>
              <w:rPr>
                <w:sz w:val="12"/>
                <w:szCs w:val="12"/>
                <w:color w:val="auto"/>
              </w:rPr>
            </w:pPr>
          </w:p>
        </w:tc>
        <w:tc>
          <w:tcPr>
            <w:tcW w:w="1040" w:type="dxa"/>
            <w:vAlign w:val="bottom"/>
            <w:gridSpan w:val="2"/>
          </w:tcPr>
          <w:p>
            <w:pPr>
              <w:jc w:val="center"/>
              <w:ind w:right="28"/>
              <w:spacing w:after="0" w:line="149" w:lineRule="exact"/>
              <w:rPr>
                <w:sz w:val="20"/>
                <w:szCs w:val="20"/>
                <w:color w:val="auto"/>
              </w:rPr>
            </w:pPr>
            <w:r>
              <w:rPr>
                <w:rFonts w:ascii="Arial" w:cs="Arial" w:eastAsia="Arial" w:hAnsi="Arial"/>
                <w:sz w:val="14"/>
                <w:szCs w:val="14"/>
                <w:b w:val="1"/>
                <w:bCs w:val="1"/>
                <w:color w:val="auto"/>
                <w:w w:val="94"/>
              </w:rPr>
              <w:t>evaluated for</w:t>
            </w: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60" w:type="dxa"/>
            <w:vAlign w:val="bottom"/>
            <w:gridSpan w:val="2"/>
          </w:tcPr>
          <w:p>
            <w:pPr>
              <w:jc w:val="center"/>
              <w:ind w:right="48"/>
              <w:spacing w:after="0" w:line="149" w:lineRule="exact"/>
              <w:rPr>
                <w:sz w:val="20"/>
                <w:szCs w:val="20"/>
                <w:color w:val="auto"/>
              </w:rPr>
            </w:pPr>
            <w:r>
              <w:rPr>
                <w:rFonts w:ascii="Arial" w:cs="Arial" w:eastAsia="Arial" w:hAnsi="Arial"/>
                <w:sz w:val="14"/>
                <w:szCs w:val="14"/>
                <w:b w:val="1"/>
                <w:bCs w:val="1"/>
                <w:color w:val="auto"/>
                <w:w w:val="94"/>
              </w:rPr>
              <w:t>evaluated for</w:t>
            </w:r>
          </w:p>
        </w:tc>
        <w:tc>
          <w:tcPr>
            <w:tcW w:w="1040" w:type="dxa"/>
            <w:vAlign w:val="bottom"/>
            <w:gridSpan w:val="2"/>
          </w:tcPr>
          <w:p>
            <w:pPr>
              <w:jc w:val="center"/>
              <w:ind w:right="28"/>
              <w:spacing w:after="0" w:line="149" w:lineRule="exact"/>
              <w:rPr>
                <w:sz w:val="20"/>
                <w:szCs w:val="20"/>
                <w:color w:val="auto"/>
              </w:rPr>
            </w:pPr>
            <w:r>
              <w:rPr>
                <w:rFonts w:ascii="Arial" w:cs="Arial" w:eastAsia="Arial" w:hAnsi="Arial"/>
                <w:sz w:val="14"/>
                <w:szCs w:val="14"/>
                <w:b w:val="1"/>
                <w:bCs w:val="1"/>
                <w:color w:val="auto"/>
                <w:w w:val="94"/>
              </w:rPr>
              <w:t>evaluated for</w:t>
            </w: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center"/>
              <w:ind w:right="108"/>
              <w:spacing w:after="0"/>
              <w:rPr>
                <w:sz w:val="20"/>
                <w:szCs w:val="20"/>
                <w:color w:val="auto"/>
              </w:rPr>
            </w:pPr>
            <w:r>
              <w:rPr>
                <w:rFonts w:ascii="Arial" w:cs="Arial" w:eastAsia="Arial" w:hAnsi="Arial"/>
                <w:sz w:val="14"/>
                <w:szCs w:val="14"/>
                <w:b w:val="1"/>
                <w:bCs w:val="1"/>
                <w:color w:val="auto"/>
                <w:w w:val="98"/>
              </w:rPr>
              <w:t>impairment</w:t>
            </w:r>
          </w:p>
        </w:tc>
        <w:tc>
          <w:tcPr>
            <w:tcW w:w="10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impairment</w:t>
            </w:r>
          </w:p>
        </w:tc>
        <w:tc>
          <w:tcPr>
            <w:tcW w:w="160" w:type="dxa"/>
            <w:vAlign w:val="bottom"/>
          </w:tcPr>
          <w:p>
            <w:pPr>
              <w:spacing w:after="0"/>
              <w:rPr>
                <w:sz w:val="15"/>
                <w:szCs w:val="15"/>
                <w:color w:val="auto"/>
              </w:rPr>
            </w:pPr>
          </w:p>
        </w:tc>
        <w:tc>
          <w:tcPr>
            <w:tcW w:w="880" w:type="dxa"/>
            <w:vAlign w:val="bottom"/>
          </w:tcPr>
          <w:p>
            <w:pPr>
              <w:jc w:val="right"/>
              <w:ind w:right="248"/>
              <w:spacing w:after="0"/>
              <w:rPr>
                <w:sz w:val="20"/>
                <w:szCs w:val="20"/>
                <w:color w:val="auto"/>
              </w:rPr>
            </w:pPr>
            <w:r>
              <w:rPr>
                <w:rFonts w:ascii="Arial" w:cs="Arial" w:eastAsia="Arial" w:hAnsi="Arial"/>
                <w:sz w:val="14"/>
                <w:szCs w:val="14"/>
                <w:b w:val="1"/>
                <w:bCs w:val="1"/>
                <w:color w:val="auto"/>
              </w:rPr>
              <w:t>Balance</w:t>
            </w:r>
          </w:p>
        </w:tc>
        <w:tc>
          <w:tcPr>
            <w:tcW w:w="80" w:type="dxa"/>
            <w:vAlign w:val="bottom"/>
          </w:tcPr>
          <w:p>
            <w:pPr>
              <w:spacing w:after="0"/>
              <w:rPr>
                <w:sz w:val="15"/>
                <w:szCs w:val="15"/>
                <w:color w:val="auto"/>
              </w:rPr>
            </w:pPr>
          </w:p>
        </w:tc>
        <w:tc>
          <w:tcPr>
            <w:tcW w:w="860" w:type="dxa"/>
            <w:vAlign w:val="bottom"/>
          </w:tcPr>
          <w:p>
            <w:pPr>
              <w:jc w:val="center"/>
              <w:ind w:right="8"/>
              <w:spacing w:after="0"/>
              <w:rPr>
                <w:sz w:val="20"/>
                <w:szCs w:val="20"/>
                <w:color w:val="auto"/>
              </w:rPr>
            </w:pPr>
            <w:r>
              <w:rPr>
                <w:rFonts w:ascii="Arial" w:cs="Arial" w:eastAsia="Arial" w:hAnsi="Arial"/>
                <w:sz w:val="14"/>
                <w:szCs w:val="14"/>
                <w:b w:val="1"/>
                <w:bCs w:val="1"/>
                <w:color w:val="auto"/>
                <w:w w:val="98"/>
              </w:rPr>
              <w:t>impairment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center"/>
              <w:ind w:right="128"/>
              <w:spacing w:after="0"/>
              <w:rPr>
                <w:sz w:val="20"/>
                <w:szCs w:val="20"/>
                <w:color w:val="auto"/>
              </w:rPr>
            </w:pPr>
            <w:r>
              <w:rPr>
                <w:rFonts w:ascii="Arial" w:cs="Arial" w:eastAsia="Arial" w:hAnsi="Arial"/>
                <w:sz w:val="14"/>
                <w:szCs w:val="14"/>
                <w:b w:val="1"/>
                <w:bCs w:val="1"/>
                <w:color w:val="auto"/>
                <w:w w:val="98"/>
              </w:rPr>
              <w:t>impairment</w:t>
            </w:r>
          </w:p>
        </w:tc>
        <w:tc>
          <w:tcPr>
            <w:tcW w:w="160" w:type="dxa"/>
            <w:vAlign w:val="bottom"/>
          </w:tcPr>
          <w:p>
            <w:pPr>
              <w:spacing w:after="0"/>
              <w:rPr>
                <w:sz w:val="15"/>
                <w:szCs w:val="15"/>
                <w:color w:val="auto"/>
              </w:rPr>
            </w:pPr>
          </w:p>
        </w:tc>
        <w:tc>
          <w:tcPr>
            <w:tcW w:w="900" w:type="dxa"/>
            <w:vAlign w:val="bottom"/>
          </w:tcPr>
          <w:p>
            <w:pPr>
              <w:jc w:val="right"/>
              <w:ind w:right="268"/>
              <w:spacing w:after="0"/>
              <w:rPr>
                <w:sz w:val="20"/>
                <w:szCs w:val="20"/>
                <w:color w:val="auto"/>
              </w:rPr>
            </w:pPr>
            <w:r>
              <w:rPr>
                <w:rFonts w:ascii="Arial" w:cs="Arial" w:eastAsia="Arial" w:hAnsi="Arial"/>
                <w:sz w:val="14"/>
                <w:szCs w:val="14"/>
                <w:b w:val="1"/>
                <w:bCs w:val="1"/>
                <w:color w:val="auto"/>
              </w:rPr>
              <w:t>Balance</w:t>
            </w:r>
          </w:p>
        </w:tc>
        <w:tc>
          <w:tcPr>
            <w:tcW w:w="80" w:type="dxa"/>
            <w:vAlign w:val="bottom"/>
          </w:tcPr>
          <w:p>
            <w:pPr>
              <w:spacing w:after="0"/>
              <w:rPr>
                <w:sz w:val="15"/>
                <w:szCs w:val="15"/>
                <w:color w:val="auto"/>
              </w:rPr>
            </w:pPr>
          </w:p>
        </w:tc>
        <w:tc>
          <w:tcPr>
            <w:tcW w:w="980" w:type="dxa"/>
            <w:vAlign w:val="bottom"/>
          </w:tcPr>
          <w:p>
            <w:pPr>
              <w:jc w:val="center"/>
              <w:ind w:right="128"/>
              <w:spacing w:after="0"/>
              <w:rPr>
                <w:sz w:val="20"/>
                <w:szCs w:val="20"/>
                <w:color w:val="auto"/>
              </w:rPr>
            </w:pPr>
            <w:r>
              <w:rPr>
                <w:rFonts w:ascii="Arial" w:cs="Arial" w:eastAsia="Arial" w:hAnsi="Arial"/>
                <w:sz w:val="14"/>
                <w:szCs w:val="14"/>
                <w:b w:val="1"/>
                <w:bCs w:val="1"/>
                <w:color w:val="auto"/>
                <w:w w:val="98"/>
              </w:rPr>
              <w:t>impairment</w:t>
            </w:r>
          </w:p>
        </w:tc>
        <w:tc>
          <w:tcPr>
            <w:tcW w:w="80" w:type="dxa"/>
            <w:vAlign w:val="bottom"/>
          </w:tcPr>
          <w:p>
            <w:pPr>
              <w:spacing w:after="0"/>
              <w:rPr>
                <w:sz w:val="15"/>
                <w:szCs w:val="15"/>
                <w:color w:val="auto"/>
              </w:rPr>
            </w:pPr>
          </w:p>
        </w:tc>
        <w:tc>
          <w:tcPr>
            <w:tcW w:w="960" w:type="dxa"/>
            <w:vAlign w:val="bottom"/>
          </w:tcPr>
          <w:p>
            <w:pPr>
              <w:jc w:val="center"/>
              <w:ind w:right="128"/>
              <w:spacing w:after="0"/>
              <w:rPr>
                <w:sz w:val="20"/>
                <w:szCs w:val="20"/>
                <w:color w:val="auto"/>
              </w:rPr>
            </w:pPr>
            <w:r>
              <w:rPr>
                <w:rFonts w:ascii="Arial" w:cs="Arial" w:eastAsia="Arial" w:hAnsi="Arial"/>
                <w:sz w:val="14"/>
                <w:szCs w:val="14"/>
                <w:b w:val="1"/>
                <w:bCs w:val="1"/>
                <w:color w:val="auto"/>
                <w:w w:val="95"/>
              </w:rPr>
              <w:t>impairment</w:t>
            </w:r>
          </w:p>
        </w:tc>
        <w:tc>
          <w:tcPr>
            <w:tcW w:w="16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40" w:type="dxa"/>
            <w:vAlign w:val="bottom"/>
            <w:shd w:val="clear" w:color="auto" w:fill="F0FFFF"/>
          </w:tcPr>
          <w:p>
            <w:pPr>
              <w:ind w:left="160"/>
              <w:spacing w:after="0" w:line="130" w:lineRule="exact"/>
              <w:rPr>
                <w:sz w:val="20"/>
                <w:szCs w:val="20"/>
                <w:color w:val="auto"/>
              </w:rPr>
            </w:pPr>
            <w:r>
              <w:rPr>
                <w:rFonts w:ascii="Arial" w:cs="Arial" w:eastAsia="Arial" w:hAnsi="Arial"/>
                <w:sz w:val="14"/>
                <w:szCs w:val="14"/>
                <w:color w:val="auto"/>
                <w:w w:val="93"/>
              </w:rPr>
              <w:t>Owner occupied commercial</w:t>
            </w:r>
          </w:p>
        </w:tc>
        <w:tc>
          <w:tcPr>
            <w:tcW w:w="10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96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8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880" w:type="dxa"/>
            <w:vAlign w:val="bottom"/>
            <w:tcBorders>
              <w:righ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940" w:type="dxa"/>
            <w:vAlign w:val="bottom"/>
            <w:tcBorders>
              <w:right w:val="single" w:sz="8" w:color="F0FFFF"/>
            </w:tcBorders>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900" w:type="dxa"/>
            <w:vAlign w:val="bottom"/>
            <w:tcBorders>
              <w:righ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980" w:type="dxa"/>
            <w:vAlign w:val="bottom"/>
            <w:tcBorders>
              <w:righ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960" w:type="dxa"/>
            <w:vAlign w:val="bottom"/>
            <w:tcBorders>
              <w:right w:val="single" w:sz="8" w:color="F0FFFF"/>
            </w:tcBorders>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8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40" w:type="dxa"/>
            <w:vAlign w:val="bottom"/>
            <w:shd w:val="clear" w:color="auto" w:fill="F0FFFF"/>
          </w:tcPr>
          <w:p>
            <w:pPr>
              <w:ind w:left="320"/>
              <w:spacing w:after="0"/>
              <w:rPr>
                <w:sz w:val="20"/>
                <w:szCs w:val="20"/>
                <w:color w:val="auto"/>
              </w:rPr>
            </w:pPr>
            <w:r>
              <w:rPr>
                <w:rFonts w:ascii="Arial" w:cs="Arial" w:eastAsia="Arial" w:hAnsi="Arial"/>
                <w:sz w:val="14"/>
                <w:szCs w:val="14"/>
                <w:color w:val="auto"/>
              </w:rPr>
              <w:t>real estate</w:t>
            </w: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F0FFFF"/>
            </w:tcBorders>
            <w:shd w:val="clear" w:color="auto" w:fill="F0FFFF"/>
          </w:tcPr>
          <w:p>
            <w:pPr>
              <w:jc w:val="right"/>
              <w:ind w:right="28"/>
              <w:spacing w:after="0"/>
              <w:rPr>
                <w:sz w:val="20"/>
                <w:szCs w:val="20"/>
                <w:color w:val="auto"/>
              </w:rPr>
            </w:pPr>
            <w:r>
              <w:rPr>
                <w:rFonts w:ascii="Arial" w:cs="Arial" w:eastAsia="Arial" w:hAnsi="Arial"/>
                <w:sz w:val="14"/>
                <w:szCs w:val="14"/>
                <w:color w:val="auto"/>
              </w:rPr>
              <w:t>2,483</w:t>
            </w:r>
          </w:p>
        </w:tc>
        <w:tc>
          <w:tcPr>
            <w:tcW w:w="10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15,321</w:t>
            </w:r>
          </w:p>
        </w:tc>
        <w:tc>
          <w:tcPr>
            <w:tcW w:w="1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tcBorders>
              <w:right w:val="single" w:sz="8" w:color="F0FFFF"/>
            </w:tcBorders>
            <w:shd w:val="clear" w:color="auto" w:fill="F0FFFF"/>
          </w:tcPr>
          <w:p>
            <w:pPr>
              <w:jc w:val="right"/>
              <w:ind w:right="28"/>
              <w:spacing w:after="0"/>
              <w:rPr>
                <w:sz w:val="20"/>
                <w:szCs w:val="20"/>
                <w:color w:val="auto"/>
              </w:rPr>
            </w:pPr>
            <w:r>
              <w:rPr>
                <w:rFonts w:ascii="Arial" w:cs="Arial" w:eastAsia="Arial" w:hAnsi="Arial"/>
                <w:sz w:val="14"/>
                <w:szCs w:val="14"/>
                <w:color w:val="auto"/>
              </w:rPr>
              <w:t>17,804</w:t>
            </w:r>
          </w:p>
        </w:tc>
        <w:tc>
          <w:tcPr>
            <w:tcW w:w="8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1,023</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F0FFFF"/>
            </w:tcBorders>
            <w:shd w:val="clear" w:color="auto" w:fill="F0FFFF"/>
          </w:tcPr>
          <w:p>
            <w:pPr>
              <w:jc w:val="right"/>
              <w:ind w:right="28"/>
              <w:spacing w:after="0"/>
              <w:rPr>
                <w:sz w:val="20"/>
                <w:szCs w:val="20"/>
                <w:color w:val="auto"/>
              </w:rPr>
            </w:pPr>
            <w:r>
              <w:rPr>
                <w:rFonts w:ascii="Arial" w:cs="Arial" w:eastAsia="Arial" w:hAnsi="Arial"/>
                <w:sz w:val="14"/>
                <w:szCs w:val="14"/>
                <w:color w:val="auto"/>
              </w:rPr>
              <w:t>16,141</w:t>
            </w:r>
          </w:p>
        </w:tc>
        <w:tc>
          <w:tcPr>
            <w:tcW w:w="1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w w:val="76"/>
              </w:rPr>
              <w:t>$</w:t>
            </w:r>
          </w:p>
        </w:tc>
        <w:tc>
          <w:tcPr>
            <w:tcW w:w="900" w:type="dxa"/>
            <w:vAlign w:val="bottom"/>
            <w:tcBorders>
              <w:right w:val="single" w:sz="8" w:color="F0FFFF"/>
            </w:tcBorders>
            <w:shd w:val="clear" w:color="auto" w:fill="F0FFFF"/>
          </w:tcPr>
          <w:p>
            <w:pPr>
              <w:jc w:val="right"/>
              <w:ind w:right="28"/>
              <w:spacing w:after="0"/>
              <w:rPr>
                <w:sz w:val="20"/>
                <w:szCs w:val="20"/>
                <w:color w:val="auto"/>
              </w:rPr>
            </w:pPr>
            <w:r>
              <w:rPr>
                <w:rFonts w:ascii="Arial" w:cs="Arial" w:eastAsia="Arial" w:hAnsi="Arial"/>
                <w:sz w:val="14"/>
                <w:szCs w:val="14"/>
                <w:color w:val="auto"/>
              </w:rPr>
              <w:t>17,164</w:t>
            </w:r>
          </w:p>
        </w:tc>
        <w:tc>
          <w:tcPr>
            <w:tcW w:w="8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right w:val="single" w:sz="8" w:color="F0FFFF"/>
            </w:tcBorders>
            <w:shd w:val="clear" w:color="auto" w:fill="F0FFFF"/>
          </w:tcPr>
          <w:p>
            <w:pPr>
              <w:jc w:val="right"/>
              <w:ind w:right="48"/>
              <w:spacing w:after="0"/>
              <w:rPr>
                <w:sz w:val="20"/>
                <w:szCs w:val="20"/>
                <w:color w:val="auto"/>
              </w:rPr>
            </w:pPr>
            <w:r>
              <w:rPr>
                <w:rFonts w:ascii="Arial" w:cs="Arial" w:eastAsia="Arial" w:hAnsi="Arial"/>
                <w:sz w:val="14"/>
                <w:szCs w:val="14"/>
                <w:color w:val="auto"/>
              </w:rPr>
              <w:t>1,364</w:t>
            </w:r>
          </w:p>
        </w:tc>
        <w:tc>
          <w:tcPr>
            <w:tcW w:w="80" w:type="dxa"/>
            <w:vAlign w:val="bottom"/>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right w:val="single" w:sz="8" w:color="F0FFFF"/>
            </w:tcBorders>
            <w:shd w:val="clear" w:color="auto" w:fill="F0FFFF"/>
          </w:tcPr>
          <w:p>
            <w:pPr>
              <w:jc w:val="right"/>
              <w:ind w:right="28"/>
              <w:spacing w:after="0"/>
              <w:rPr>
                <w:sz w:val="20"/>
                <w:szCs w:val="20"/>
                <w:color w:val="auto"/>
              </w:rPr>
            </w:pPr>
            <w:r>
              <w:rPr>
                <w:rFonts w:ascii="Arial" w:cs="Arial" w:eastAsia="Arial" w:hAnsi="Arial"/>
                <w:sz w:val="14"/>
                <w:szCs w:val="14"/>
                <w:color w:val="auto"/>
              </w:rPr>
              <w:t>14,421</w:t>
            </w:r>
          </w:p>
        </w:tc>
        <w:tc>
          <w:tcPr>
            <w:tcW w:w="1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15,785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40" w:type="dxa"/>
            <w:vAlign w:val="bottom"/>
          </w:tcPr>
          <w:p>
            <w:pPr>
              <w:ind w:left="160"/>
              <w:spacing w:after="0" w:line="130" w:lineRule="exact"/>
              <w:rPr>
                <w:sz w:val="20"/>
                <w:szCs w:val="20"/>
                <w:color w:val="auto"/>
              </w:rPr>
            </w:pPr>
            <w:r>
              <w:rPr>
                <w:rFonts w:ascii="Arial" w:cs="Arial" w:eastAsia="Arial" w:hAnsi="Arial"/>
                <w:sz w:val="14"/>
                <w:szCs w:val="14"/>
                <w:color w:val="auto"/>
              </w:rPr>
              <w:t>Income producing</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40" w:type="dxa"/>
            <w:vAlign w:val="bottom"/>
          </w:tcPr>
          <w:p>
            <w:pPr>
              <w:ind w:left="320"/>
              <w:spacing w:after="0"/>
              <w:rPr>
                <w:sz w:val="20"/>
                <w:szCs w:val="20"/>
                <w:color w:val="auto"/>
              </w:rPr>
            </w:pPr>
            <w:r>
              <w:rPr>
                <w:rFonts w:ascii="Arial" w:cs="Arial" w:eastAsia="Arial" w:hAnsi="Arial"/>
                <w:sz w:val="14"/>
                <w:szCs w:val="14"/>
                <w:color w:val="auto"/>
              </w:rPr>
              <w:t>commercial real estate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1,404</w:t>
            </w:r>
          </w:p>
        </w:tc>
        <w:tc>
          <w:tcPr>
            <w:tcW w:w="1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10,357</w:t>
            </w:r>
          </w:p>
        </w:tc>
        <w:tc>
          <w:tcPr>
            <w:tcW w:w="1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11,761</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990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6,184</w:t>
            </w:r>
          </w:p>
        </w:tc>
        <w:tc>
          <w:tcPr>
            <w:tcW w:w="16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7,174</w:t>
            </w:r>
          </w:p>
        </w:tc>
        <w:tc>
          <w:tcPr>
            <w:tcW w:w="8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1,498</w:t>
            </w:r>
          </w:p>
        </w:tc>
        <w:tc>
          <w:tcPr>
            <w:tcW w:w="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5,525</w:t>
            </w:r>
          </w:p>
        </w:tc>
        <w:tc>
          <w:tcPr>
            <w:tcW w:w="16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7,023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shd w:val="clear" w:color="auto" w:fill="F0FFFF"/>
          </w:tcPr>
          <w:p>
            <w:pPr>
              <w:ind w:left="160"/>
              <w:spacing w:after="0" w:line="149" w:lineRule="exact"/>
              <w:rPr>
                <w:sz w:val="20"/>
                <w:szCs w:val="20"/>
                <w:color w:val="auto"/>
              </w:rPr>
            </w:pPr>
            <w:r>
              <w:rPr>
                <w:rFonts w:ascii="Arial" w:cs="Arial" w:eastAsia="Arial" w:hAnsi="Arial"/>
                <w:sz w:val="14"/>
                <w:szCs w:val="14"/>
                <w:color w:val="auto"/>
              </w:rPr>
              <w:t>Commercial &amp; industrial</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60" w:type="dxa"/>
            <w:vAlign w:val="bottom"/>
            <w:tcBorders>
              <w:right w:val="single" w:sz="8" w:color="F0FFFF"/>
            </w:tcBorders>
            <w:shd w:val="clear" w:color="auto" w:fill="F0FFFF"/>
          </w:tcPr>
          <w:p>
            <w:pPr>
              <w:jc w:val="right"/>
              <w:ind w:right="28"/>
              <w:spacing w:after="0" w:line="149" w:lineRule="exact"/>
              <w:rPr>
                <w:sz w:val="20"/>
                <w:szCs w:val="20"/>
                <w:color w:val="auto"/>
              </w:rPr>
            </w:pPr>
            <w:r>
              <w:rPr>
                <w:rFonts w:ascii="Arial" w:cs="Arial" w:eastAsia="Arial" w:hAnsi="Arial"/>
                <w:sz w:val="14"/>
                <w:szCs w:val="14"/>
                <w:color w:val="auto"/>
              </w:rPr>
              <w:t>399</w:t>
            </w:r>
          </w:p>
        </w:tc>
        <w:tc>
          <w:tcPr>
            <w:tcW w:w="100" w:type="dxa"/>
            <w:vAlign w:val="bottom"/>
            <w:shd w:val="clear" w:color="auto" w:fill="F0FFFF"/>
          </w:tcPr>
          <w:p>
            <w:pPr>
              <w:spacing w:after="0"/>
              <w:rPr>
                <w:sz w:val="12"/>
                <w:szCs w:val="12"/>
                <w:color w:val="auto"/>
              </w:rPr>
            </w:pPr>
          </w:p>
        </w:tc>
        <w:tc>
          <w:tcPr>
            <w:tcW w:w="94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3,486</w:t>
            </w:r>
          </w:p>
        </w:tc>
        <w:tc>
          <w:tcPr>
            <w:tcW w:w="160" w:type="dxa"/>
            <w:vAlign w:val="bottom"/>
            <w:shd w:val="clear" w:color="auto" w:fill="F0FFFF"/>
          </w:tcPr>
          <w:p>
            <w:pPr>
              <w:spacing w:after="0"/>
              <w:rPr>
                <w:sz w:val="12"/>
                <w:szCs w:val="12"/>
                <w:color w:val="auto"/>
              </w:rPr>
            </w:pPr>
          </w:p>
        </w:tc>
        <w:tc>
          <w:tcPr>
            <w:tcW w:w="880" w:type="dxa"/>
            <w:vAlign w:val="bottom"/>
            <w:tcBorders>
              <w:right w:val="single" w:sz="8" w:color="F0FFFF"/>
            </w:tcBorders>
            <w:shd w:val="clear" w:color="auto" w:fill="F0FFFF"/>
          </w:tcPr>
          <w:p>
            <w:pPr>
              <w:jc w:val="right"/>
              <w:ind w:right="28"/>
              <w:spacing w:after="0" w:line="149" w:lineRule="exact"/>
              <w:rPr>
                <w:sz w:val="20"/>
                <w:szCs w:val="20"/>
                <w:color w:val="auto"/>
              </w:rPr>
            </w:pPr>
            <w:r>
              <w:rPr>
                <w:rFonts w:ascii="Arial" w:cs="Arial" w:eastAsia="Arial" w:hAnsi="Arial"/>
                <w:sz w:val="14"/>
                <w:szCs w:val="14"/>
                <w:color w:val="auto"/>
              </w:rPr>
              <w:t>3,885</w:t>
            </w:r>
          </w:p>
        </w:tc>
        <w:tc>
          <w:tcPr>
            <w:tcW w:w="80" w:type="dxa"/>
            <w:vAlign w:val="bottom"/>
            <w:shd w:val="clear" w:color="auto" w:fill="F0FFFF"/>
          </w:tcPr>
          <w:p>
            <w:pPr>
              <w:spacing w:after="0"/>
              <w:rPr>
                <w:sz w:val="12"/>
                <w:szCs w:val="12"/>
                <w:color w:val="auto"/>
              </w:rPr>
            </w:pPr>
          </w:p>
        </w:tc>
        <w:tc>
          <w:tcPr>
            <w:tcW w:w="86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66</w:t>
            </w: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940" w:type="dxa"/>
            <w:vAlign w:val="bottom"/>
            <w:tcBorders>
              <w:right w:val="single" w:sz="8" w:color="F0FFFF"/>
            </w:tcBorders>
            <w:shd w:val="clear" w:color="auto" w:fill="F0FFFF"/>
          </w:tcPr>
          <w:p>
            <w:pPr>
              <w:jc w:val="right"/>
              <w:ind w:right="28"/>
              <w:spacing w:after="0" w:line="149" w:lineRule="exact"/>
              <w:rPr>
                <w:sz w:val="20"/>
                <w:szCs w:val="20"/>
                <w:color w:val="auto"/>
              </w:rPr>
            </w:pPr>
            <w:r>
              <w:rPr>
                <w:rFonts w:ascii="Arial" w:cs="Arial" w:eastAsia="Arial" w:hAnsi="Arial"/>
                <w:sz w:val="14"/>
                <w:szCs w:val="14"/>
                <w:color w:val="auto"/>
              </w:rPr>
              <w:t>6,461</w:t>
            </w:r>
          </w:p>
        </w:tc>
        <w:tc>
          <w:tcPr>
            <w:tcW w:w="160" w:type="dxa"/>
            <w:vAlign w:val="bottom"/>
            <w:shd w:val="clear" w:color="auto" w:fill="F0FFFF"/>
          </w:tcPr>
          <w:p>
            <w:pPr>
              <w:spacing w:after="0"/>
              <w:rPr>
                <w:sz w:val="12"/>
                <w:szCs w:val="12"/>
                <w:color w:val="auto"/>
              </w:rPr>
            </w:pPr>
          </w:p>
        </w:tc>
        <w:tc>
          <w:tcPr>
            <w:tcW w:w="900" w:type="dxa"/>
            <w:vAlign w:val="bottom"/>
            <w:tcBorders>
              <w:right w:val="single" w:sz="8" w:color="F0FFFF"/>
            </w:tcBorders>
            <w:shd w:val="clear" w:color="auto" w:fill="F0FFFF"/>
          </w:tcPr>
          <w:p>
            <w:pPr>
              <w:jc w:val="right"/>
              <w:ind w:right="28"/>
              <w:spacing w:after="0" w:line="149" w:lineRule="exact"/>
              <w:rPr>
                <w:sz w:val="20"/>
                <w:szCs w:val="20"/>
                <w:color w:val="auto"/>
              </w:rPr>
            </w:pPr>
            <w:r>
              <w:rPr>
                <w:rFonts w:ascii="Arial" w:cs="Arial" w:eastAsia="Arial" w:hAnsi="Arial"/>
                <w:sz w:val="14"/>
                <w:szCs w:val="14"/>
                <w:color w:val="auto"/>
              </w:rPr>
              <w:t>6,527</w:t>
            </w:r>
          </w:p>
        </w:tc>
        <w:tc>
          <w:tcPr>
            <w:tcW w:w="80" w:type="dxa"/>
            <w:vAlign w:val="bottom"/>
            <w:shd w:val="clear" w:color="auto" w:fill="F0FFFF"/>
          </w:tcPr>
          <w:p>
            <w:pPr>
              <w:spacing w:after="0"/>
              <w:rPr>
                <w:sz w:val="12"/>
                <w:szCs w:val="12"/>
                <w:color w:val="auto"/>
              </w:rPr>
            </w:pPr>
          </w:p>
        </w:tc>
        <w:tc>
          <w:tcPr>
            <w:tcW w:w="980" w:type="dxa"/>
            <w:vAlign w:val="bottom"/>
            <w:tcBorders>
              <w:right w:val="single" w:sz="8" w:color="F0FFFF"/>
            </w:tcBorders>
            <w:shd w:val="clear" w:color="auto" w:fill="F0FFFF"/>
          </w:tcPr>
          <w:p>
            <w:pPr>
              <w:jc w:val="right"/>
              <w:ind w:right="48"/>
              <w:spacing w:after="0" w:line="149" w:lineRule="exact"/>
              <w:rPr>
                <w:sz w:val="20"/>
                <w:szCs w:val="20"/>
                <w:color w:val="auto"/>
              </w:rPr>
            </w:pPr>
            <w:r>
              <w:rPr>
                <w:rFonts w:ascii="Arial" w:cs="Arial" w:eastAsia="Arial" w:hAnsi="Arial"/>
                <w:sz w:val="14"/>
                <w:szCs w:val="14"/>
                <w:color w:val="auto"/>
              </w:rPr>
              <w:t>129</w:t>
            </w:r>
          </w:p>
        </w:tc>
        <w:tc>
          <w:tcPr>
            <w:tcW w:w="80" w:type="dxa"/>
            <w:vAlign w:val="bottom"/>
            <w:shd w:val="clear" w:color="auto" w:fill="F0FFFF"/>
          </w:tcPr>
          <w:p>
            <w:pPr>
              <w:spacing w:after="0"/>
              <w:rPr>
                <w:sz w:val="12"/>
                <w:szCs w:val="12"/>
                <w:color w:val="auto"/>
              </w:rPr>
            </w:pPr>
          </w:p>
        </w:tc>
        <w:tc>
          <w:tcPr>
            <w:tcW w:w="960" w:type="dxa"/>
            <w:vAlign w:val="bottom"/>
            <w:tcBorders>
              <w:right w:val="single" w:sz="8" w:color="F0FFFF"/>
            </w:tcBorders>
            <w:shd w:val="clear" w:color="auto" w:fill="F0FFFF"/>
          </w:tcPr>
          <w:p>
            <w:pPr>
              <w:jc w:val="right"/>
              <w:ind w:right="28"/>
              <w:spacing w:after="0" w:line="149" w:lineRule="exact"/>
              <w:rPr>
                <w:sz w:val="20"/>
                <w:szCs w:val="20"/>
                <w:color w:val="auto"/>
              </w:rPr>
            </w:pPr>
            <w:r>
              <w:rPr>
                <w:rFonts w:ascii="Arial" w:cs="Arial" w:eastAsia="Arial" w:hAnsi="Arial"/>
                <w:sz w:val="14"/>
                <w:szCs w:val="14"/>
                <w:color w:val="auto"/>
              </w:rPr>
              <w:t>7,925</w:t>
            </w:r>
          </w:p>
        </w:tc>
        <w:tc>
          <w:tcPr>
            <w:tcW w:w="160" w:type="dxa"/>
            <w:vAlign w:val="bottom"/>
            <w:shd w:val="clear" w:color="auto" w:fill="F0FFFF"/>
          </w:tcPr>
          <w:p>
            <w:pPr>
              <w:spacing w:after="0"/>
              <w:rPr>
                <w:sz w:val="12"/>
                <w:szCs w:val="12"/>
                <w:color w:val="auto"/>
              </w:rPr>
            </w:pPr>
          </w:p>
        </w:tc>
        <w:tc>
          <w:tcPr>
            <w:tcW w:w="94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8,054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160"/>
              <w:spacing w:after="0" w:line="149" w:lineRule="exact"/>
              <w:rPr>
                <w:sz w:val="20"/>
                <w:szCs w:val="20"/>
                <w:color w:val="auto"/>
              </w:rPr>
            </w:pPr>
            <w:r>
              <w:rPr>
                <w:rFonts w:ascii="Arial" w:cs="Arial" w:eastAsia="Arial" w:hAnsi="Arial"/>
                <w:sz w:val="14"/>
                <w:szCs w:val="14"/>
                <w:color w:val="auto"/>
              </w:rPr>
              <w:t>Commercial construction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412</w:t>
            </w:r>
          </w:p>
        </w:tc>
        <w:tc>
          <w:tcPr>
            <w:tcW w:w="1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3,655</w:t>
            </w:r>
          </w:p>
        </w:tc>
        <w:tc>
          <w:tcPr>
            <w:tcW w:w="160" w:type="dxa"/>
            <w:vAlign w:val="bottom"/>
          </w:tcPr>
          <w:p>
            <w:pPr>
              <w:spacing w:after="0"/>
              <w:rPr>
                <w:sz w:val="12"/>
                <w:szCs w:val="12"/>
                <w:color w:val="auto"/>
              </w:rPr>
            </w:pPr>
          </w:p>
        </w:tc>
        <w:tc>
          <w:tcPr>
            <w:tcW w:w="8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4,067</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112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3,557</w:t>
            </w:r>
          </w:p>
        </w:tc>
        <w:tc>
          <w:tcPr>
            <w:tcW w:w="160" w:type="dxa"/>
            <w:vAlign w:val="bottom"/>
          </w:tcPr>
          <w:p>
            <w:pPr>
              <w:spacing w:after="0"/>
              <w:rPr>
                <w:sz w:val="12"/>
                <w:szCs w:val="12"/>
                <w:color w:val="auto"/>
              </w:rPr>
            </w:pPr>
          </w:p>
        </w:tc>
        <w:tc>
          <w:tcPr>
            <w:tcW w:w="9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3,669</w:t>
            </w:r>
          </w:p>
        </w:tc>
        <w:tc>
          <w:tcPr>
            <w:tcW w:w="80" w:type="dxa"/>
            <w:vAlign w:val="bottom"/>
          </w:tcPr>
          <w:p>
            <w:pPr>
              <w:spacing w:after="0"/>
              <w:rPr>
                <w:sz w:val="12"/>
                <w:szCs w:val="12"/>
                <w:color w:val="auto"/>
              </w:rPr>
            </w:pP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440</w:t>
            </w:r>
          </w:p>
        </w:tc>
        <w:tc>
          <w:tcPr>
            <w:tcW w:w="80" w:type="dxa"/>
            <w:vAlign w:val="bottom"/>
          </w:tcPr>
          <w:p>
            <w:pPr>
              <w:spacing w:after="0"/>
              <w:rPr>
                <w:sz w:val="12"/>
                <w:szCs w:val="12"/>
                <w:color w:val="auto"/>
              </w:rPr>
            </w:pPr>
          </w:p>
        </w:tc>
        <w:tc>
          <w:tcPr>
            <w:tcW w:w="9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3,835</w:t>
            </w:r>
          </w:p>
        </w:tc>
        <w:tc>
          <w:tcPr>
            <w:tcW w:w="16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shd w:val="clear" w:color="auto" w:fill="F0FFFF"/>
          </w:tcPr>
          <w:p>
            <w:pPr>
              <w:ind w:left="160"/>
              <w:spacing w:after="0" w:line="149" w:lineRule="exact"/>
              <w:rPr>
                <w:sz w:val="20"/>
                <w:szCs w:val="20"/>
                <w:color w:val="auto"/>
              </w:rPr>
            </w:pPr>
            <w:r>
              <w:rPr>
                <w:rFonts w:ascii="Arial" w:cs="Arial" w:eastAsia="Arial" w:hAnsi="Arial"/>
                <w:sz w:val="14"/>
                <w:szCs w:val="14"/>
                <w:color w:val="auto"/>
              </w:rPr>
              <w:t>Residential mortgage</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60" w:type="dxa"/>
            <w:vAlign w:val="bottom"/>
            <w:tcBorders>
              <w:right w:val="single" w:sz="8" w:color="F0FFFF"/>
            </w:tcBorders>
            <w:shd w:val="clear" w:color="auto" w:fill="F0FFFF"/>
          </w:tcPr>
          <w:p>
            <w:pPr>
              <w:jc w:val="right"/>
              <w:ind w:right="28"/>
              <w:spacing w:after="0" w:line="149" w:lineRule="exact"/>
              <w:rPr>
                <w:sz w:val="20"/>
                <w:szCs w:val="20"/>
                <w:color w:val="auto"/>
              </w:rPr>
            </w:pPr>
            <w:r>
              <w:rPr>
                <w:rFonts w:ascii="Arial" w:cs="Arial" w:eastAsia="Arial" w:hAnsi="Arial"/>
                <w:sz w:val="14"/>
                <w:szCs w:val="14"/>
                <w:color w:val="auto"/>
              </w:rPr>
              <w:t>3,117</w:t>
            </w:r>
          </w:p>
        </w:tc>
        <w:tc>
          <w:tcPr>
            <w:tcW w:w="100" w:type="dxa"/>
            <w:vAlign w:val="bottom"/>
            <w:shd w:val="clear" w:color="auto" w:fill="F0FFFF"/>
          </w:tcPr>
          <w:p>
            <w:pPr>
              <w:spacing w:after="0"/>
              <w:rPr>
                <w:sz w:val="12"/>
                <w:szCs w:val="12"/>
                <w:color w:val="auto"/>
              </w:rPr>
            </w:pPr>
          </w:p>
        </w:tc>
        <w:tc>
          <w:tcPr>
            <w:tcW w:w="94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13,646</w:t>
            </w:r>
          </w:p>
        </w:tc>
        <w:tc>
          <w:tcPr>
            <w:tcW w:w="160" w:type="dxa"/>
            <w:vAlign w:val="bottom"/>
            <w:shd w:val="clear" w:color="auto" w:fill="F0FFFF"/>
          </w:tcPr>
          <w:p>
            <w:pPr>
              <w:spacing w:after="0"/>
              <w:rPr>
                <w:sz w:val="12"/>
                <w:szCs w:val="12"/>
                <w:color w:val="auto"/>
              </w:rPr>
            </w:pPr>
          </w:p>
        </w:tc>
        <w:tc>
          <w:tcPr>
            <w:tcW w:w="880" w:type="dxa"/>
            <w:vAlign w:val="bottom"/>
            <w:tcBorders>
              <w:right w:val="single" w:sz="8" w:color="F0FFFF"/>
            </w:tcBorders>
            <w:shd w:val="clear" w:color="auto" w:fill="F0FFFF"/>
          </w:tcPr>
          <w:p>
            <w:pPr>
              <w:jc w:val="right"/>
              <w:ind w:right="28"/>
              <w:spacing w:after="0" w:line="149" w:lineRule="exact"/>
              <w:rPr>
                <w:sz w:val="20"/>
                <w:szCs w:val="20"/>
                <w:color w:val="auto"/>
              </w:rPr>
            </w:pPr>
            <w:r>
              <w:rPr>
                <w:rFonts w:ascii="Arial" w:cs="Arial" w:eastAsia="Arial" w:hAnsi="Arial"/>
                <w:sz w:val="14"/>
                <w:szCs w:val="14"/>
                <w:color w:val="auto"/>
              </w:rPr>
              <w:t>16,763</w:t>
            </w:r>
          </w:p>
        </w:tc>
        <w:tc>
          <w:tcPr>
            <w:tcW w:w="80" w:type="dxa"/>
            <w:vAlign w:val="bottom"/>
            <w:shd w:val="clear" w:color="auto" w:fill="F0FFFF"/>
          </w:tcPr>
          <w:p>
            <w:pPr>
              <w:spacing w:after="0"/>
              <w:rPr>
                <w:sz w:val="12"/>
                <w:szCs w:val="12"/>
                <w:color w:val="auto"/>
              </w:rPr>
            </w:pPr>
          </w:p>
        </w:tc>
        <w:tc>
          <w:tcPr>
            <w:tcW w:w="86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2,914</w:t>
            </w: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940" w:type="dxa"/>
            <w:vAlign w:val="bottom"/>
            <w:tcBorders>
              <w:right w:val="single" w:sz="8" w:color="F0FFFF"/>
            </w:tcBorders>
            <w:shd w:val="clear" w:color="auto" w:fill="F0FFFF"/>
          </w:tcPr>
          <w:p>
            <w:pPr>
              <w:jc w:val="right"/>
              <w:ind w:right="28"/>
              <w:spacing w:after="0" w:line="149" w:lineRule="exact"/>
              <w:rPr>
                <w:sz w:val="20"/>
                <w:szCs w:val="20"/>
                <w:color w:val="auto"/>
              </w:rPr>
            </w:pPr>
            <w:r>
              <w:rPr>
                <w:rFonts w:ascii="Arial" w:cs="Arial" w:eastAsia="Arial" w:hAnsi="Arial"/>
                <w:sz w:val="14"/>
                <w:szCs w:val="14"/>
                <w:color w:val="auto"/>
              </w:rPr>
              <w:t>12,532</w:t>
            </w:r>
          </w:p>
        </w:tc>
        <w:tc>
          <w:tcPr>
            <w:tcW w:w="160" w:type="dxa"/>
            <w:vAlign w:val="bottom"/>
            <w:shd w:val="clear" w:color="auto" w:fill="F0FFFF"/>
          </w:tcPr>
          <w:p>
            <w:pPr>
              <w:spacing w:after="0"/>
              <w:rPr>
                <w:sz w:val="12"/>
                <w:szCs w:val="12"/>
                <w:color w:val="auto"/>
              </w:rPr>
            </w:pPr>
          </w:p>
        </w:tc>
        <w:tc>
          <w:tcPr>
            <w:tcW w:w="900" w:type="dxa"/>
            <w:vAlign w:val="bottom"/>
            <w:tcBorders>
              <w:right w:val="single" w:sz="8" w:color="F0FFFF"/>
            </w:tcBorders>
            <w:shd w:val="clear" w:color="auto" w:fill="F0FFFF"/>
          </w:tcPr>
          <w:p>
            <w:pPr>
              <w:jc w:val="right"/>
              <w:ind w:right="28"/>
              <w:spacing w:after="0" w:line="149" w:lineRule="exact"/>
              <w:rPr>
                <w:sz w:val="20"/>
                <w:szCs w:val="20"/>
                <w:color w:val="auto"/>
              </w:rPr>
            </w:pPr>
            <w:r>
              <w:rPr>
                <w:rFonts w:ascii="Arial" w:cs="Arial" w:eastAsia="Arial" w:hAnsi="Arial"/>
                <w:sz w:val="14"/>
                <w:szCs w:val="14"/>
                <w:color w:val="auto"/>
              </w:rPr>
              <w:t>15,446</w:t>
            </w:r>
          </w:p>
        </w:tc>
        <w:tc>
          <w:tcPr>
            <w:tcW w:w="80" w:type="dxa"/>
            <w:vAlign w:val="bottom"/>
            <w:shd w:val="clear" w:color="auto" w:fill="F0FFFF"/>
          </w:tcPr>
          <w:p>
            <w:pPr>
              <w:spacing w:after="0"/>
              <w:rPr>
                <w:sz w:val="12"/>
                <w:szCs w:val="12"/>
                <w:color w:val="auto"/>
              </w:rPr>
            </w:pPr>
          </w:p>
        </w:tc>
        <w:tc>
          <w:tcPr>
            <w:tcW w:w="980" w:type="dxa"/>
            <w:vAlign w:val="bottom"/>
            <w:tcBorders>
              <w:right w:val="single" w:sz="8" w:color="F0FFFF"/>
            </w:tcBorders>
            <w:shd w:val="clear" w:color="auto" w:fill="F0FFFF"/>
          </w:tcPr>
          <w:p>
            <w:pPr>
              <w:jc w:val="right"/>
              <w:ind w:right="48"/>
              <w:spacing w:after="0" w:line="149" w:lineRule="exact"/>
              <w:rPr>
                <w:sz w:val="20"/>
                <w:szCs w:val="20"/>
                <w:color w:val="auto"/>
              </w:rPr>
            </w:pPr>
            <w:r>
              <w:rPr>
                <w:rFonts w:ascii="Arial" w:cs="Arial" w:eastAsia="Arial" w:hAnsi="Arial"/>
                <w:sz w:val="14"/>
                <w:szCs w:val="14"/>
                <w:color w:val="auto"/>
              </w:rPr>
              <w:t>1,197</w:t>
            </w:r>
          </w:p>
        </w:tc>
        <w:tc>
          <w:tcPr>
            <w:tcW w:w="80" w:type="dxa"/>
            <w:vAlign w:val="bottom"/>
            <w:shd w:val="clear" w:color="auto" w:fill="F0FFFF"/>
          </w:tcPr>
          <w:p>
            <w:pPr>
              <w:spacing w:after="0"/>
              <w:rPr>
                <w:sz w:val="12"/>
                <w:szCs w:val="12"/>
                <w:color w:val="auto"/>
              </w:rPr>
            </w:pPr>
          </w:p>
        </w:tc>
        <w:tc>
          <w:tcPr>
            <w:tcW w:w="960" w:type="dxa"/>
            <w:vAlign w:val="bottom"/>
            <w:tcBorders>
              <w:right w:val="single" w:sz="8" w:color="F0FFFF"/>
            </w:tcBorders>
            <w:shd w:val="clear" w:color="auto" w:fill="F0FFFF"/>
          </w:tcPr>
          <w:p>
            <w:pPr>
              <w:jc w:val="right"/>
              <w:ind w:right="28"/>
              <w:spacing w:after="0" w:line="149" w:lineRule="exact"/>
              <w:rPr>
                <w:sz w:val="20"/>
                <w:szCs w:val="20"/>
                <w:color w:val="auto"/>
              </w:rPr>
            </w:pPr>
            <w:r>
              <w:rPr>
                <w:rFonts w:ascii="Arial" w:cs="Arial" w:eastAsia="Arial" w:hAnsi="Arial"/>
                <w:sz w:val="14"/>
                <w:szCs w:val="14"/>
                <w:color w:val="auto"/>
              </w:rPr>
              <w:t>13,301</w:t>
            </w:r>
          </w:p>
        </w:tc>
        <w:tc>
          <w:tcPr>
            <w:tcW w:w="160" w:type="dxa"/>
            <w:vAlign w:val="bottom"/>
            <w:shd w:val="clear" w:color="auto" w:fill="F0FFFF"/>
          </w:tcPr>
          <w:p>
            <w:pPr>
              <w:spacing w:after="0"/>
              <w:rPr>
                <w:sz w:val="12"/>
                <w:szCs w:val="12"/>
                <w:color w:val="auto"/>
              </w:rPr>
            </w:pPr>
          </w:p>
        </w:tc>
        <w:tc>
          <w:tcPr>
            <w:tcW w:w="94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14,498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160"/>
              <w:spacing w:after="0" w:line="149" w:lineRule="exact"/>
              <w:rPr>
                <w:sz w:val="20"/>
                <w:szCs w:val="20"/>
                <w:color w:val="auto"/>
              </w:rPr>
            </w:pPr>
            <w:r>
              <w:rPr>
                <w:rFonts w:ascii="Arial" w:cs="Arial" w:eastAsia="Arial" w:hAnsi="Arial"/>
                <w:sz w:val="14"/>
                <w:szCs w:val="14"/>
                <w:color w:val="auto"/>
              </w:rPr>
              <w:t>Home equity lines of credit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115</w:t>
            </w:r>
          </w:p>
        </w:tc>
        <w:tc>
          <w:tcPr>
            <w:tcW w:w="1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6,223</w:t>
            </w:r>
          </w:p>
        </w:tc>
        <w:tc>
          <w:tcPr>
            <w:tcW w:w="160" w:type="dxa"/>
            <w:vAlign w:val="bottom"/>
          </w:tcPr>
          <w:p>
            <w:pPr>
              <w:spacing w:after="0"/>
              <w:rPr>
                <w:sz w:val="12"/>
                <w:szCs w:val="12"/>
                <w:color w:val="auto"/>
              </w:rPr>
            </w:pPr>
          </w:p>
        </w:tc>
        <w:tc>
          <w:tcPr>
            <w:tcW w:w="8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6,338</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5,523</w:t>
            </w:r>
          </w:p>
        </w:tc>
        <w:tc>
          <w:tcPr>
            <w:tcW w:w="160" w:type="dxa"/>
            <w:vAlign w:val="bottom"/>
          </w:tcPr>
          <w:p>
            <w:pPr>
              <w:spacing w:after="0"/>
              <w:rPr>
                <w:sz w:val="12"/>
                <w:szCs w:val="12"/>
                <w:color w:val="auto"/>
              </w:rPr>
            </w:pPr>
          </w:p>
        </w:tc>
        <w:tc>
          <w:tcPr>
            <w:tcW w:w="9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5,528</w:t>
            </w:r>
          </w:p>
        </w:tc>
        <w:tc>
          <w:tcPr>
            <w:tcW w:w="80" w:type="dxa"/>
            <w:vAlign w:val="bottom"/>
          </w:tcPr>
          <w:p>
            <w:pPr>
              <w:spacing w:after="0"/>
              <w:rPr>
                <w:sz w:val="12"/>
                <w:szCs w:val="12"/>
                <w:color w:val="auto"/>
              </w:rPr>
            </w:pP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5,529</w:t>
            </w:r>
          </w:p>
        </w:tc>
        <w:tc>
          <w:tcPr>
            <w:tcW w:w="16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5,529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shd w:val="clear" w:color="auto" w:fill="F0FFFF"/>
          </w:tcPr>
          <w:p>
            <w:pPr>
              <w:ind w:left="160"/>
              <w:spacing w:after="0" w:line="149" w:lineRule="exact"/>
              <w:rPr>
                <w:sz w:val="20"/>
                <w:szCs w:val="20"/>
                <w:color w:val="auto"/>
              </w:rPr>
            </w:pPr>
            <w:r>
              <w:rPr>
                <w:rFonts w:ascii="Arial" w:cs="Arial" w:eastAsia="Arial" w:hAnsi="Arial"/>
                <w:sz w:val="14"/>
                <w:szCs w:val="14"/>
                <w:color w:val="auto"/>
              </w:rPr>
              <w:t>Residential construction</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60" w:type="dxa"/>
            <w:vAlign w:val="bottom"/>
            <w:tcBorders>
              <w:right w:val="single" w:sz="8" w:color="F0FFFF"/>
            </w:tcBorders>
            <w:shd w:val="clear" w:color="auto" w:fill="F0FFFF"/>
          </w:tcPr>
          <w:p>
            <w:pPr>
              <w:jc w:val="right"/>
              <w:ind w:right="28"/>
              <w:spacing w:after="0" w:line="149" w:lineRule="exact"/>
              <w:rPr>
                <w:sz w:val="20"/>
                <w:szCs w:val="20"/>
                <w:color w:val="auto"/>
              </w:rPr>
            </w:pPr>
            <w:r>
              <w:rPr>
                <w:rFonts w:ascii="Arial" w:cs="Arial" w:eastAsia="Arial" w:hAnsi="Arial"/>
                <w:sz w:val="14"/>
                <w:szCs w:val="14"/>
                <w:color w:val="auto"/>
              </w:rPr>
              <w:t>1,054</w:t>
            </w:r>
          </w:p>
        </w:tc>
        <w:tc>
          <w:tcPr>
            <w:tcW w:w="100" w:type="dxa"/>
            <w:vAlign w:val="bottom"/>
            <w:shd w:val="clear" w:color="auto" w:fill="F0FFFF"/>
          </w:tcPr>
          <w:p>
            <w:pPr>
              <w:spacing w:after="0"/>
              <w:rPr>
                <w:sz w:val="12"/>
                <w:szCs w:val="12"/>
                <w:color w:val="auto"/>
              </w:rPr>
            </w:pPr>
          </w:p>
        </w:tc>
        <w:tc>
          <w:tcPr>
            <w:tcW w:w="94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10,154</w:t>
            </w:r>
          </w:p>
        </w:tc>
        <w:tc>
          <w:tcPr>
            <w:tcW w:w="160" w:type="dxa"/>
            <w:vAlign w:val="bottom"/>
            <w:shd w:val="clear" w:color="auto" w:fill="F0FFFF"/>
          </w:tcPr>
          <w:p>
            <w:pPr>
              <w:spacing w:after="0"/>
              <w:rPr>
                <w:sz w:val="12"/>
                <w:szCs w:val="12"/>
                <w:color w:val="auto"/>
              </w:rPr>
            </w:pPr>
          </w:p>
        </w:tc>
        <w:tc>
          <w:tcPr>
            <w:tcW w:w="880" w:type="dxa"/>
            <w:vAlign w:val="bottom"/>
            <w:tcBorders>
              <w:right w:val="single" w:sz="8" w:color="F0FFFF"/>
            </w:tcBorders>
            <w:shd w:val="clear" w:color="auto" w:fill="F0FFFF"/>
          </w:tcPr>
          <w:p>
            <w:pPr>
              <w:jc w:val="right"/>
              <w:ind w:right="28"/>
              <w:spacing w:after="0" w:line="149" w:lineRule="exact"/>
              <w:rPr>
                <w:sz w:val="20"/>
                <w:szCs w:val="20"/>
                <w:color w:val="auto"/>
              </w:rPr>
            </w:pPr>
            <w:r>
              <w:rPr>
                <w:rFonts w:ascii="Arial" w:cs="Arial" w:eastAsia="Arial" w:hAnsi="Arial"/>
                <w:sz w:val="14"/>
                <w:szCs w:val="14"/>
                <w:color w:val="auto"/>
              </w:rPr>
              <w:t>11,208</w:t>
            </w:r>
          </w:p>
        </w:tc>
        <w:tc>
          <w:tcPr>
            <w:tcW w:w="80" w:type="dxa"/>
            <w:vAlign w:val="bottom"/>
            <w:shd w:val="clear" w:color="auto" w:fill="F0FFFF"/>
          </w:tcPr>
          <w:p>
            <w:pPr>
              <w:spacing w:after="0"/>
              <w:rPr>
                <w:sz w:val="12"/>
                <w:szCs w:val="12"/>
                <w:color w:val="auto"/>
              </w:rPr>
            </w:pPr>
          </w:p>
        </w:tc>
        <w:tc>
          <w:tcPr>
            <w:tcW w:w="86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688</w:t>
            </w: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940" w:type="dxa"/>
            <w:vAlign w:val="bottom"/>
            <w:tcBorders>
              <w:right w:val="single" w:sz="8" w:color="F0FFFF"/>
            </w:tcBorders>
            <w:shd w:val="clear" w:color="auto" w:fill="F0FFFF"/>
          </w:tcPr>
          <w:p>
            <w:pPr>
              <w:jc w:val="right"/>
              <w:ind w:right="28"/>
              <w:spacing w:after="0" w:line="149" w:lineRule="exact"/>
              <w:rPr>
                <w:sz w:val="20"/>
                <w:szCs w:val="20"/>
                <w:color w:val="auto"/>
              </w:rPr>
            </w:pPr>
            <w:r>
              <w:rPr>
                <w:rFonts w:ascii="Arial" w:cs="Arial" w:eastAsia="Arial" w:hAnsi="Arial"/>
                <w:sz w:val="14"/>
                <w:szCs w:val="14"/>
                <w:color w:val="auto"/>
              </w:rPr>
              <w:t>11,844</w:t>
            </w:r>
          </w:p>
        </w:tc>
        <w:tc>
          <w:tcPr>
            <w:tcW w:w="160" w:type="dxa"/>
            <w:vAlign w:val="bottom"/>
            <w:shd w:val="clear" w:color="auto" w:fill="F0FFFF"/>
          </w:tcPr>
          <w:p>
            <w:pPr>
              <w:spacing w:after="0"/>
              <w:rPr>
                <w:sz w:val="12"/>
                <w:szCs w:val="12"/>
                <w:color w:val="auto"/>
              </w:rPr>
            </w:pPr>
          </w:p>
        </w:tc>
        <w:tc>
          <w:tcPr>
            <w:tcW w:w="900" w:type="dxa"/>
            <w:vAlign w:val="bottom"/>
            <w:tcBorders>
              <w:right w:val="single" w:sz="8" w:color="F0FFFF"/>
            </w:tcBorders>
            <w:shd w:val="clear" w:color="auto" w:fill="F0FFFF"/>
          </w:tcPr>
          <w:p>
            <w:pPr>
              <w:jc w:val="right"/>
              <w:ind w:right="28"/>
              <w:spacing w:after="0" w:line="149" w:lineRule="exact"/>
              <w:rPr>
                <w:sz w:val="20"/>
                <w:szCs w:val="20"/>
                <w:color w:val="auto"/>
              </w:rPr>
            </w:pPr>
            <w:r>
              <w:rPr>
                <w:rFonts w:ascii="Arial" w:cs="Arial" w:eastAsia="Arial" w:hAnsi="Arial"/>
                <w:sz w:val="14"/>
                <w:szCs w:val="14"/>
                <w:color w:val="auto"/>
              </w:rPr>
              <w:t>12,532</w:t>
            </w:r>
          </w:p>
        </w:tc>
        <w:tc>
          <w:tcPr>
            <w:tcW w:w="80" w:type="dxa"/>
            <w:vAlign w:val="bottom"/>
            <w:shd w:val="clear" w:color="auto" w:fill="F0FFFF"/>
          </w:tcPr>
          <w:p>
            <w:pPr>
              <w:spacing w:after="0"/>
              <w:rPr>
                <w:sz w:val="12"/>
                <w:szCs w:val="12"/>
                <w:color w:val="auto"/>
              </w:rPr>
            </w:pPr>
          </w:p>
        </w:tc>
        <w:tc>
          <w:tcPr>
            <w:tcW w:w="980" w:type="dxa"/>
            <w:vAlign w:val="bottom"/>
            <w:tcBorders>
              <w:right w:val="single" w:sz="8" w:color="F0FFFF"/>
            </w:tcBorders>
            <w:shd w:val="clear" w:color="auto" w:fill="F0FFFF"/>
          </w:tcPr>
          <w:p>
            <w:pPr>
              <w:jc w:val="right"/>
              <w:ind w:right="48"/>
              <w:spacing w:after="0" w:line="149" w:lineRule="exact"/>
              <w:rPr>
                <w:sz w:val="20"/>
                <w:szCs w:val="20"/>
                <w:color w:val="auto"/>
              </w:rPr>
            </w:pPr>
            <w:r>
              <w:rPr>
                <w:rFonts w:ascii="Arial" w:cs="Arial" w:eastAsia="Arial" w:hAnsi="Arial"/>
                <w:sz w:val="14"/>
                <w:szCs w:val="14"/>
                <w:color w:val="auto"/>
              </w:rPr>
              <w:t>417</w:t>
            </w:r>
          </w:p>
        </w:tc>
        <w:tc>
          <w:tcPr>
            <w:tcW w:w="80" w:type="dxa"/>
            <w:vAlign w:val="bottom"/>
            <w:shd w:val="clear" w:color="auto" w:fill="F0FFFF"/>
          </w:tcPr>
          <w:p>
            <w:pPr>
              <w:spacing w:after="0"/>
              <w:rPr>
                <w:sz w:val="12"/>
                <w:szCs w:val="12"/>
                <w:color w:val="auto"/>
              </w:rPr>
            </w:pPr>
          </w:p>
        </w:tc>
        <w:tc>
          <w:tcPr>
            <w:tcW w:w="960" w:type="dxa"/>
            <w:vAlign w:val="bottom"/>
            <w:tcBorders>
              <w:right w:val="single" w:sz="8" w:color="F0FFFF"/>
            </w:tcBorders>
            <w:shd w:val="clear" w:color="auto" w:fill="F0FFFF"/>
          </w:tcPr>
          <w:p>
            <w:pPr>
              <w:jc w:val="right"/>
              <w:ind w:right="28"/>
              <w:spacing w:after="0" w:line="149" w:lineRule="exact"/>
              <w:rPr>
                <w:sz w:val="20"/>
                <w:szCs w:val="20"/>
                <w:color w:val="auto"/>
              </w:rPr>
            </w:pPr>
            <w:r>
              <w:rPr>
                <w:rFonts w:ascii="Arial" w:cs="Arial" w:eastAsia="Arial" w:hAnsi="Arial"/>
                <w:sz w:val="14"/>
                <w:szCs w:val="14"/>
                <w:color w:val="auto"/>
              </w:rPr>
              <w:t>16,905</w:t>
            </w:r>
          </w:p>
        </w:tc>
        <w:tc>
          <w:tcPr>
            <w:tcW w:w="160" w:type="dxa"/>
            <w:vAlign w:val="bottom"/>
            <w:shd w:val="clear" w:color="auto" w:fill="F0FFFF"/>
          </w:tcPr>
          <w:p>
            <w:pPr>
              <w:spacing w:after="0"/>
              <w:rPr>
                <w:sz w:val="12"/>
                <w:szCs w:val="12"/>
                <w:color w:val="auto"/>
              </w:rPr>
            </w:pPr>
          </w:p>
        </w:tc>
        <w:tc>
          <w:tcPr>
            <w:tcW w:w="94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17,322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160"/>
              <w:spacing w:after="0" w:line="149" w:lineRule="exact"/>
              <w:rPr>
                <w:sz w:val="20"/>
                <w:szCs w:val="20"/>
                <w:color w:val="auto"/>
              </w:rPr>
            </w:pPr>
            <w:r>
              <w:rPr>
                <w:rFonts w:ascii="Arial" w:cs="Arial" w:eastAsia="Arial" w:hAnsi="Arial"/>
                <w:sz w:val="14"/>
                <w:szCs w:val="14"/>
                <w:color w:val="auto"/>
              </w:rPr>
              <w:t>Consumer installment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33</w:t>
            </w: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566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599</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224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1,129</w:t>
            </w:r>
          </w:p>
        </w:tc>
        <w:tc>
          <w:tcPr>
            <w:tcW w:w="160" w:type="dxa"/>
            <w:vAlign w:val="bottom"/>
          </w:tcPr>
          <w:p>
            <w:pPr>
              <w:spacing w:after="0"/>
              <w:rPr>
                <w:sz w:val="12"/>
                <w:szCs w:val="12"/>
                <w:color w:val="auto"/>
              </w:rPr>
            </w:pPr>
          </w:p>
        </w:tc>
        <w:tc>
          <w:tcPr>
            <w:tcW w:w="9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1,353</w:t>
            </w:r>
          </w:p>
        </w:tc>
        <w:tc>
          <w:tcPr>
            <w:tcW w:w="80" w:type="dxa"/>
            <w:vAlign w:val="bottom"/>
          </w:tcPr>
          <w:p>
            <w:pPr>
              <w:spacing w:after="0"/>
              <w:rPr>
                <w:sz w:val="12"/>
                <w:szCs w:val="12"/>
                <w:color w:val="auto"/>
              </w:rPr>
            </w:pP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12</w:t>
            </w:r>
          </w:p>
        </w:tc>
        <w:tc>
          <w:tcPr>
            <w:tcW w:w="80" w:type="dxa"/>
            <w:vAlign w:val="bottom"/>
          </w:tcPr>
          <w:p>
            <w:pPr>
              <w:spacing w:after="0"/>
              <w:rPr>
                <w:sz w:val="12"/>
                <w:szCs w:val="12"/>
                <w:color w:val="auto"/>
              </w:rPr>
            </w:pPr>
          </w:p>
        </w:tc>
        <w:tc>
          <w:tcPr>
            <w:tcW w:w="9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1,503</w:t>
            </w:r>
          </w:p>
        </w:tc>
        <w:tc>
          <w:tcPr>
            <w:tcW w:w="16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shd w:val="clear" w:color="auto" w:fill="F0FFFF"/>
          </w:tcPr>
          <w:p>
            <w:pPr>
              <w:ind w:left="160"/>
              <w:spacing w:after="0" w:line="149" w:lineRule="exact"/>
              <w:rPr>
                <w:sz w:val="20"/>
                <w:szCs w:val="20"/>
                <w:color w:val="auto"/>
              </w:rPr>
            </w:pPr>
            <w:r>
              <w:rPr>
                <w:rFonts w:ascii="Arial" w:cs="Arial" w:eastAsia="Arial" w:hAnsi="Arial"/>
                <w:sz w:val="14"/>
                <w:szCs w:val="14"/>
                <w:color w:val="auto"/>
              </w:rPr>
              <w:t>Indirect auto</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60" w:type="dxa"/>
            <w:vAlign w:val="bottom"/>
            <w:tcBorders>
              <w:right w:val="single" w:sz="8" w:color="F0FFFF"/>
            </w:tcBorders>
            <w:shd w:val="clear" w:color="auto" w:fill="F0FF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2"/>
                <w:szCs w:val="12"/>
                <w:color w:val="auto"/>
              </w:rPr>
            </w:pPr>
          </w:p>
        </w:tc>
        <w:tc>
          <w:tcPr>
            <w:tcW w:w="84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823</w:t>
            </w: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80" w:type="dxa"/>
            <w:vAlign w:val="bottom"/>
            <w:tcBorders>
              <w:right w:val="single" w:sz="8" w:color="F0FFFF"/>
            </w:tcBorders>
            <w:shd w:val="clear" w:color="auto" w:fill="F0FFFF"/>
          </w:tcPr>
          <w:p>
            <w:pPr>
              <w:jc w:val="right"/>
              <w:ind w:right="28"/>
              <w:spacing w:after="0" w:line="149" w:lineRule="exact"/>
              <w:rPr>
                <w:sz w:val="20"/>
                <w:szCs w:val="20"/>
                <w:color w:val="auto"/>
              </w:rPr>
            </w:pPr>
            <w:r>
              <w:rPr>
                <w:rFonts w:ascii="Arial" w:cs="Arial" w:eastAsia="Arial" w:hAnsi="Arial"/>
                <w:sz w:val="14"/>
                <w:szCs w:val="14"/>
                <w:color w:val="auto"/>
              </w:rPr>
              <w:t>823</w:t>
            </w:r>
          </w:p>
        </w:tc>
        <w:tc>
          <w:tcPr>
            <w:tcW w:w="80" w:type="dxa"/>
            <w:vAlign w:val="bottom"/>
            <w:shd w:val="clear" w:color="auto" w:fill="F0FFFF"/>
          </w:tcPr>
          <w:p>
            <w:pPr>
              <w:spacing w:after="0"/>
              <w:rPr>
                <w:sz w:val="12"/>
                <w:szCs w:val="12"/>
                <w:color w:val="auto"/>
              </w:rPr>
            </w:pPr>
          </w:p>
        </w:tc>
        <w:tc>
          <w:tcPr>
            <w:tcW w:w="86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940" w:type="dxa"/>
            <w:vAlign w:val="bottom"/>
            <w:tcBorders>
              <w:right w:val="single" w:sz="8" w:color="F0FFFF"/>
            </w:tcBorders>
            <w:shd w:val="clear" w:color="auto" w:fill="F0FFFF"/>
          </w:tcPr>
          <w:p>
            <w:pPr>
              <w:jc w:val="right"/>
              <w:ind w:right="28"/>
              <w:spacing w:after="0" w:line="149" w:lineRule="exact"/>
              <w:rPr>
                <w:sz w:val="20"/>
                <w:szCs w:val="20"/>
                <w:color w:val="auto"/>
              </w:rPr>
            </w:pPr>
            <w:r>
              <w:rPr>
                <w:rFonts w:ascii="Arial" w:cs="Arial" w:eastAsia="Arial" w:hAnsi="Arial"/>
                <w:sz w:val="14"/>
                <w:szCs w:val="14"/>
                <w:color w:val="auto"/>
              </w:rPr>
              <w:t>1,126</w:t>
            </w:r>
          </w:p>
        </w:tc>
        <w:tc>
          <w:tcPr>
            <w:tcW w:w="160" w:type="dxa"/>
            <w:vAlign w:val="bottom"/>
            <w:shd w:val="clear" w:color="auto" w:fill="F0FFFF"/>
          </w:tcPr>
          <w:p>
            <w:pPr>
              <w:spacing w:after="0"/>
              <w:rPr>
                <w:sz w:val="12"/>
                <w:szCs w:val="12"/>
                <w:color w:val="auto"/>
              </w:rPr>
            </w:pPr>
          </w:p>
        </w:tc>
        <w:tc>
          <w:tcPr>
            <w:tcW w:w="900" w:type="dxa"/>
            <w:vAlign w:val="bottom"/>
            <w:tcBorders>
              <w:right w:val="single" w:sz="8" w:color="F0FFFF"/>
            </w:tcBorders>
            <w:shd w:val="clear" w:color="auto" w:fill="F0FFFF"/>
          </w:tcPr>
          <w:p>
            <w:pPr>
              <w:jc w:val="right"/>
              <w:ind w:right="28"/>
              <w:spacing w:after="0" w:line="149" w:lineRule="exact"/>
              <w:rPr>
                <w:sz w:val="20"/>
                <w:szCs w:val="20"/>
                <w:color w:val="auto"/>
              </w:rPr>
            </w:pPr>
            <w:r>
              <w:rPr>
                <w:rFonts w:ascii="Arial" w:cs="Arial" w:eastAsia="Arial" w:hAnsi="Arial"/>
                <w:sz w:val="14"/>
                <w:szCs w:val="14"/>
                <w:color w:val="auto"/>
              </w:rPr>
              <w:t>1,126</w:t>
            </w:r>
          </w:p>
        </w:tc>
        <w:tc>
          <w:tcPr>
            <w:tcW w:w="80" w:type="dxa"/>
            <w:vAlign w:val="bottom"/>
            <w:shd w:val="clear" w:color="auto" w:fill="F0FFFF"/>
          </w:tcPr>
          <w:p>
            <w:pPr>
              <w:spacing w:after="0"/>
              <w:rPr>
                <w:sz w:val="12"/>
                <w:szCs w:val="12"/>
                <w:color w:val="auto"/>
              </w:rPr>
            </w:pPr>
          </w:p>
        </w:tc>
        <w:tc>
          <w:tcPr>
            <w:tcW w:w="980" w:type="dxa"/>
            <w:vAlign w:val="bottom"/>
            <w:tcBorders>
              <w:right w:val="single" w:sz="8" w:color="F0FFFF"/>
            </w:tcBorders>
            <w:shd w:val="clear" w:color="auto" w:fill="F0FF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2"/>
                <w:szCs w:val="12"/>
                <w:color w:val="auto"/>
              </w:rPr>
            </w:pPr>
          </w:p>
        </w:tc>
        <w:tc>
          <w:tcPr>
            <w:tcW w:w="960" w:type="dxa"/>
            <w:vAlign w:val="bottom"/>
            <w:tcBorders>
              <w:right w:val="single" w:sz="8" w:color="F0FFFF"/>
            </w:tcBorders>
            <w:shd w:val="clear" w:color="auto" w:fill="F0FFFF"/>
          </w:tcPr>
          <w:p>
            <w:pPr>
              <w:jc w:val="right"/>
              <w:ind w:right="28"/>
              <w:spacing w:after="0" w:line="149" w:lineRule="exact"/>
              <w:rPr>
                <w:sz w:val="20"/>
                <w:szCs w:val="20"/>
                <w:color w:val="auto"/>
              </w:rPr>
            </w:pPr>
            <w:r>
              <w:rPr>
                <w:rFonts w:ascii="Arial" w:cs="Arial" w:eastAsia="Arial" w:hAnsi="Arial"/>
                <w:sz w:val="14"/>
                <w:szCs w:val="14"/>
                <w:color w:val="auto"/>
              </w:rPr>
              <w:t>875</w:t>
            </w:r>
          </w:p>
        </w:tc>
        <w:tc>
          <w:tcPr>
            <w:tcW w:w="160" w:type="dxa"/>
            <w:vAlign w:val="bottom"/>
            <w:shd w:val="clear" w:color="auto" w:fill="F0FFFF"/>
          </w:tcPr>
          <w:p>
            <w:pPr>
              <w:spacing w:after="0"/>
              <w:rPr>
                <w:sz w:val="12"/>
                <w:szCs w:val="12"/>
                <w:color w:val="auto"/>
              </w:rPr>
            </w:pPr>
          </w:p>
        </w:tc>
        <w:tc>
          <w:tcPr>
            <w:tcW w:w="8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875</w:t>
            </w: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40" w:type="dxa"/>
            <w:vAlign w:val="bottom"/>
          </w:tcPr>
          <w:p>
            <w:pPr>
              <w:ind w:left="160"/>
              <w:spacing w:after="0" w:line="149" w:lineRule="exact"/>
              <w:rPr>
                <w:sz w:val="20"/>
                <w:szCs w:val="20"/>
                <w:color w:val="auto"/>
              </w:rPr>
            </w:pPr>
            <w:r>
              <w:rPr>
                <w:rFonts w:ascii="Arial" w:cs="Arial" w:eastAsia="Arial" w:hAnsi="Arial"/>
                <w:sz w:val="14"/>
                <w:szCs w:val="14"/>
                <w:color w:val="auto"/>
              </w:rPr>
              <w:t>Unallocated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8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6,243</w:t>
            </w:r>
          </w:p>
        </w:tc>
        <w:tc>
          <w:tcPr>
            <w:tcW w:w="160" w:type="dxa"/>
            <w:vAlign w:val="bottom"/>
          </w:tcPr>
          <w:p>
            <w:pPr>
              <w:spacing w:after="0"/>
              <w:rPr>
                <w:sz w:val="13"/>
                <w:szCs w:val="13"/>
                <w:color w:val="auto"/>
              </w:rPr>
            </w:pPr>
          </w:p>
        </w:tc>
        <w:tc>
          <w:tcPr>
            <w:tcW w:w="9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6,243</w:t>
            </w:r>
          </w:p>
        </w:tc>
        <w:tc>
          <w:tcPr>
            <w:tcW w:w="80" w:type="dxa"/>
            <w:vAlign w:val="bottom"/>
          </w:tcPr>
          <w:p>
            <w:pPr>
              <w:spacing w:after="0"/>
              <w:rPr>
                <w:sz w:val="13"/>
                <w:szCs w:val="13"/>
                <w:color w:val="auto"/>
              </w:rPr>
            </w:pP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9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6,969</w:t>
            </w:r>
          </w:p>
        </w:tc>
        <w:tc>
          <w:tcPr>
            <w:tcW w:w="160" w:type="dxa"/>
            <w:vAlign w:val="bottom"/>
          </w:tcPr>
          <w:p>
            <w:pPr>
              <w:spacing w:after="0"/>
              <w:rPr>
                <w:sz w:val="13"/>
                <w:szCs w:val="13"/>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6,969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40" w:type="dxa"/>
            <w:vAlign w:val="bottom"/>
            <w:shd w:val="clear" w:color="auto" w:fill="F0FFFF"/>
          </w:tcPr>
          <w:p>
            <w:pPr>
              <w:ind w:left="320"/>
              <w:spacing w:after="0" w:line="130" w:lineRule="exact"/>
              <w:rPr>
                <w:sz w:val="20"/>
                <w:szCs w:val="20"/>
                <w:color w:val="auto"/>
              </w:rPr>
            </w:pPr>
            <w:r>
              <w:rPr>
                <w:rFonts w:ascii="Arial" w:cs="Arial" w:eastAsia="Arial" w:hAnsi="Arial"/>
                <w:sz w:val="14"/>
                <w:szCs w:val="14"/>
                <w:color w:val="auto"/>
              </w:rPr>
              <w:t>Total allowance for loan</w:t>
            </w:r>
          </w:p>
        </w:tc>
        <w:tc>
          <w:tcPr>
            <w:tcW w:w="100" w:type="dxa"/>
            <w:vAlign w:val="bottom"/>
            <w:shd w:val="clear" w:color="auto" w:fill="F0FFFF"/>
          </w:tcPr>
          <w:p>
            <w:pPr>
              <w:spacing w:after="0"/>
              <w:rPr>
                <w:sz w:val="11"/>
                <w:szCs w:val="11"/>
                <w:color w:val="auto"/>
              </w:rPr>
            </w:pPr>
          </w:p>
        </w:tc>
        <w:tc>
          <w:tcPr>
            <w:tcW w:w="80" w:type="dxa"/>
            <w:vAlign w:val="bottom"/>
            <w:tcBorders>
              <w:top w:val="single" w:sz="8" w:color="auto"/>
            </w:tcBorders>
            <w:shd w:val="clear" w:color="auto" w:fill="F0FFFF"/>
          </w:tcPr>
          <w:p>
            <w:pPr>
              <w:spacing w:after="0"/>
              <w:rPr>
                <w:sz w:val="11"/>
                <w:szCs w:val="11"/>
                <w:color w:val="auto"/>
              </w:rPr>
            </w:pPr>
          </w:p>
        </w:tc>
        <w:tc>
          <w:tcPr>
            <w:tcW w:w="960" w:type="dxa"/>
            <w:vAlign w:val="bottom"/>
            <w:tcBorders>
              <w:top w:val="single" w:sz="8" w:color="auto"/>
              <w:right w:val="single" w:sz="8" w:color="F0FFFF"/>
            </w:tcBorders>
            <w:shd w:val="clear" w:color="auto" w:fill="F0FFFF"/>
          </w:tcPr>
          <w:p>
            <w:pPr>
              <w:spacing w:after="0"/>
              <w:rPr>
                <w:sz w:val="11"/>
                <w:szCs w:val="11"/>
                <w:color w:val="auto"/>
              </w:rPr>
            </w:pPr>
          </w:p>
        </w:tc>
        <w:tc>
          <w:tcPr>
            <w:tcW w:w="100" w:type="dxa"/>
            <w:vAlign w:val="bottom"/>
            <w:tcBorders>
              <w:top w:val="single" w:sz="8" w:color="auto"/>
            </w:tcBorders>
            <w:shd w:val="clear" w:color="auto" w:fill="F0FFFF"/>
          </w:tcPr>
          <w:p>
            <w:pPr>
              <w:spacing w:after="0"/>
              <w:rPr>
                <w:sz w:val="11"/>
                <w:szCs w:val="11"/>
                <w:color w:val="auto"/>
              </w:rPr>
            </w:pPr>
          </w:p>
        </w:tc>
        <w:tc>
          <w:tcPr>
            <w:tcW w:w="840" w:type="dxa"/>
            <w:vAlign w:val="bottom"/>
            <w:tcBorders>
              <w:top w:val="single" w:sz="8" w:color="auto"/>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60" w:type="dxa"/>
            <w:vAlign w:val="bottom"/>
            <w:tcBorders>
              <w:top w:val="single" w:sz="8" w:color="auto"/>
            </w:tcBorders>
            <w:shd w:val="clear" w:color="auto" w:fill="F0FFFF"/>
          </w:tcPr>
          <w:p>
            <w:pPr>
              <w:spacing w:after="0"/>
              <w:rPr>
                <w:sz w:val="11"/>
                <w:szCs w:val="11"/>
                <w:color w:val="auto"/>
              </w:rPr>
            </w:pPr>
          </w:p>
        </w:tc>
        <w:tc>
          <w:tcPr>
            <w:tcW w:w="880" w:type="dxa"/>
            <w:vAlign w:val="bottom"/>
            <w:tcBorders>
              <w:top w:val="single" w:sz="8" w:color="auto"/>
              <w:right w:val="single" w:sz="8" w:color="F0FFFF"/>
            </w:tcBorders>
            <w:shd w:val="clear" w:color="auto" w:fill="F0FFFF"/>
          </w:tcPr>
          <w:p>
            <w:pPr>
              <w:spacing w:after="0"/>
              <w:rPr>
                <w:sz w:val="11"/>
                <w:szCs w:val="11"/>
                <w:color w:val="auto"/>
              </w:rPr>
            </w:pPr>
          </w:p>
        </w:tc>
        <w:tc>
          <w:tcPr>
            <w:tcW w:w="80" w:type="dxa"/>
            <w:vAlign w:val="bottom"/>
            <w:tcBorders>
              <w:top w:val="single" w:sz="8" w:color="auto"/>
            </w:tcBorders>
            <w:shd w:val="clear" w:color="auto" w:fill="F0FFFF"/>
          </w:tcPr>
          <w:p>
            <w:pPr>
              <w:spacing w:after="0"/>
              <w:rPr>
                <w:sz w:val="11"/>
                <w:szCs w:val="11"/>
                <w:color w:val="auto"/>
              </w:rPr>
            </w:pPr>
          </w:p>
        </w:tc>
        <w:tc>
          <w:tcPr>
            <w:tcW w:w="860" w:type="dxa"/>
            <w:vAlign w:val="bottom"/>
            <w:tcBorders>
              <w:top w:val="single" w:sz="8" w:color="auto"/>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tcBorders>
              <w:top w:val="single" w:sz="8" w:color="auto"/>
            </w:tcBorders>
            <w:shd w:val="clear" w:color="auto" w:fill="F0FFFF"/>
          </w:tcPr>
          <w:p>
            <w:pPr>
              <w:spacing w:after="0"/>
              <w:rPr>
                <w:sz w:val="11"/>
                <w:szCs w:val="11"/>
                <w:color w:val="auto"/>
              </w:rPr>
            </w:pPr>
          </w:p>
        </w:tc>
        <w:tc>
          <w:tcPr>
            <w:tcW w:w="940" w:type="dxa"/>
            <w:vAlign w:val="bottom"/>
            <w:tcBorders>
              <w:top w:val="single" w:sz="8" w:color="auto"/>
              <w:right w:val="single" w:sz="8" w:color="F0FFFF"/>
            </w:tcBorders>
            <w:shd w:val="clear" w:color="auto" w:fill="F0FFFF"/>
          </w:tcPr>
          <w:p>
            <w:pPr>
              <w:spacing w:after="0"/>
              <w:rPr>
                <w:sz w:val="11"/>
                <w:szCs w:val="11"/>
                <w:color w:val="auto"/>
              </w:rPr>
            </w:pPr>
          </w:p>
        </w:tc>
        <w:tc>
          <w:tcPr>
            <w:tcW w:w="160" w:type="dxa"/>
            <w:vAlign w:val="bottom"/>
            <w:tcBorders>
              <w:top w:val="single" w:sz="8" w:color="auto"/>
            </w:tcBorders>
            <w:shd w:val="clear" w:color="auto" w:fill="F0FFFF"/>
          </w:tcPr>
          <w:p>
            <w:pPr>
              <w:spacing w:after="0"/>
              <w:rPr>
                <w:sz w:val="11"/>
                <w:szCs w:val="11"/>
                <w:color w:val="auto"/>
              </w:rPr>
            </w:pPr>
          </w:p>
        </w:tc>
        <w:tc>
          <w:tcPr>
            <w:tcW w:w="900" w:type="dxa"/>
            <w:vAlign w:val="bottom"/>
            <w:tcBorders>
              <w:top w:val="single" w:sz="8" w:color="auto"/>
              <w:right w:val="single" w:sz="8" w:color="F0FFFF"/>
            </w:tcBorders>
            <w:shd w:val="clear" w:color="auto" w:fill="F0FFFF"/>
          </w:tcPr>
          <w:p>
            <w:pPr>
              <w:spacing w:after="0"/>
              <w:rPr>
                <w:sz w:val="11"/>
                <w:szCs w:val="11"/>
                <w:color w:val="auto"/>
              </w:rPr>
            </w:pPr>
          </w:p>
        </w:tc>
        <w:tc>
          <w:tcPr>
            <w:tcW w:w="80" w:type="dxa"/>
            <w:vAlign w:val="bottom"/>
            <w:tcBorders>
              <w:top w:val="single" w:sz="8" w:color="auto"/>
            </w:tcBorders>
            <w:shd w:val="clear" w:color="auto" w:fill="F0FFFF"/>
          </w:tcPr>
          <w:p>
            <w:pPr>
              <w:spacing w:after="0"/>
              <w:rPr>
                <w:sz w:val="11"/>
                <w:szCs w:val="11"/>
                <w:color w:val="auto"/>
              </w:rPr>
            </w:pPr>
          </w:p>
        </w:tc>
        <w:tc>
          <w:tcPr>
            <w:tcW w:w="980" w:type="dxa"/>
            <w:vAlign w:val="bottom"/>
            <w:tcBorders>
              <w:top w:val="single" w:sz="8" w:color="auto"/>
              <w:right w:val="single" w:sz="8" w:color="F0FFFF"/>
            </w:tcBorders>
            <w:shd w:val="clear" w:color="auto" w:fill="F0FFFF"/>
          </w:tcPr>
          <w:p>
            <w:pPr>
              <w:spacing w:after="0"/>
              <w:rPr>
                <w:sz w:val="11"/>
                <w:szCs w:val="11"/>
                <w:color w:val="auto"/>
              </w:rPr>
            </w:pPr>
          </w:p>
        </w:tc>
        <w:tc>
          <w:tcPr>
            <w:tcW w:w="80" w:type="dxa"/>
            <w:vAlign w:val="bottom"/>
            <w:tcBorders>
              <w:top w:val="single" w:sz="8" w:color="auto"/>
            </w:tcBorders>
            <w:shd w:val="clear" w:color="auto" w:fill="F0FFFF"/>
          </w:tcPr>
          <w:p>
            <w:pPr>
              <w:spacing w:after="0"/>
              <w:rPr>
                <w:sz w:val="11"/>
                <w:szCs w:val="11"/>
                <w:color w:val="auto"/>
              </w:rPr>
            </w:pPr>
          </w:p>
        </w:tc>
        <w:tc>
          <w:tcPr>
            <w:tcW w:w="960" w:type="dxa"/>
            <w:vAlign w:val="bottom"/>
            <w:tcBorders>
              <w:top w:val="single" w:sz="8" w:color="auto"/>
              <w:right w:val="single" w:sz="8" w:color="F0FFFF"/>
            </w:tcBorders>
            <w:shd w:val="clear" w:color="auto" w:fill="F0FFFF"/>
          </w:tcPr>
          <w:p>
            <w:pPr>
              <w:spacing w:after="0"/>
              <w:rPr>
                <w:sz w:val="11"/>
                <w:szCs w:val="11"/>
                <w:color w:val="auto"/>
              </w:rPr>
            </w:pPr>
          </w:p>
        </w:tc>
        <w:tc>
          <w:tcPr>
            <w:tcW w:w="160" w:type="dxa"/>
            <w:vAlign w:val="bottom"/>
            <w:tcBorders>
              <w:top w:val="single" w:sz="8" w:color="auto"/>
            </w:tcBorders>
            <w:shd w:val="clear" w:color="auto" w:fill="F0FFFF"/>
          </w:tcPr>
          <w:p>
            <w:pPr>
              <w:spacing w:after="0"/>
              <w:rPr>
                <w:sz w:val="11"/>
                <w:szCs w:val="11"/>
                <w:color w:val="auto"/>
              </w:rPr>
            </w:pPr>
          </w:p>
        </w:tc>
        <w:tc>
          <w:tcPr>
            <w:tcW w:w="820" w:type="dxa"/>
            <w:vAlign w:val="bottom"/>
            <w:tcBorders>
              <w:top w:val="single" w:sz="8" w:color="auto"/>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40" w:type="dxa"/>
            <w:vAlign w:val="bottom"/>
            <w:shd w:val="clear" w:color="auto" w:fill="F0FFFF"/>
          </w:tcPr>
          <w:p>
            <w:pPr>
              <w:ind w:left="480"/>
              <w:spacing w:after="0"/>
              <w:rPr>
                <w:sz w:val="20"/>
                <w:szCs w:val="20"/>
                <w:color w:val="auto"/>
              </w:rPr>
            </w:pPr>
            <w:r>
              <w:rPr>
                <w:rFonts w:ascii="Arial" w:cs="Arial" w:eastAsia="Arial" w:hAnsi="Arial"/>
                <w:sz w:val="14"/>
                <w:szCs w:val="14"/>
                <w:color w:val="auto"/>
              </w:rPr>
              <w:t>losses</w:t>
            </w:r>
          </w:p>
        </w:tc>
        <w:tc>
          <w:tcPr>
            <w:tcW w:w="10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960" w:type="dxa"/>
            <w:vAlign w:val="bottom"/>
            <w:tcBorders>
              <w:right w:val="single" w:sz="8" w:color="F0FFFF"/>
            </w:tcBorders>
            <w:shd w:val="clear" w:color="auto" w:fill="F0FFFF"/>
          </w:tcPr>
          <w:p>
            <w:pPr>
              <w:jc w:val="right"/>
              <w:ind w:right="28"/>
              <w:spacing w:after="0"/>
              <w:rPr>
                <w:sz w:val="20"/>
                <w:szCs w:val="20"/>
                <w:color w:val="auto"/>
              </w:rPr>
            </w:pPr>
            <w:r>
              <w:rPr>
                <w:rFonts w:ascii="Arial" w:cs="Arial" w:eastAsia="Arial" w:hAnsi="Arial"/>
                <w:sz w:val="14"/>
                <w:szCs w:val="14"/>
                <w:color w:val="auto"/>
              </w:rPr>
              <w:t>9,017</w:t>
            </w:r>
          </w:p>
        </w:tc>
        <w:tc>
          <w:tcPr>
            <w:tcW w:w="100" w:type="dxa"/>
            <w:vAlign w:val="bottom"/>
            <w:shd w:val="clear" w:color="auto" w:fill="F0FFFF"/>
          </w:tcPr>
          <w:p>
            <w:pPr>
              <w:spacing w:after="0"/>
              <w:rPr>
                <w:sz w:val="14"/>
                <w:szCs w:val="14"/>
                <w:color w:val="auto"/>
              </w:rPr>
            </w:pP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64,231</w:t>
            </w:r>
          </w:p>
        </w:tc>
        <w:tc>
          <w:tcPr>
            <w:tcW w:w="160" w:type="dxa"/>
            <w:vAlign w:val="bottom"/>
            <w:shd w:val="clear" w:color="auto" w:fill="F0FFFF"/>
          </w:tcPr>
          <w:p>
            <w:pPr>
              <w:spacing w:after="0"/>
              <w:rPr>
                <w:sz w:val="14"/>
                <w:szCs w:val="14"/>
                <w:color w:val="auto"/>
              </w:rPr>
            </w:pPr>
          </w:p>
        </w:tc>
        <w:tc>
          <w:tcPr>
            <w:tcW w:w="880" w:type="dxa"/>
            <w:vAlign w:val="bottom"/>
            <w:tcBorders>
              <w:right w:val="single" w:sz="8" w:color="F0FFFF"/>
            </w:tcBorders>
            <w:shd w:val="clear" w:color="auto" w:fill="F0FFFF"/>
          </w:tcPr>
          <w:p>
            <w:pPr>
              <w:jc w:val="right"/>
              <w:ind w:right="28"/>
              <w:spacing w:after="0"/>
              <w:rPr>
                <w:sz w:val="20"/>
                <w:szCs w:val="20"/>
                <w:color w:val="auto"/>
              </w:rPr>
            </w:pPr>
            <w:r>
              <w:rPr>
                <w:rFonts w:ascii="Arial" w:cs="Arial" w:eastAsia="Arial" w:hAnsi="Arial"/>
                <w:sz w:val="14"/>
                <w:szCs w:val="14"/>
                <w:color w:val="auto"/>
              </w:rPr>
              <w:t>73,248</w:t>
            </w:r>
          </w:p>
        </w:tc>
        <w:tc>
          <w:tcPr>
            <w:tcW w:w="80" w:type="dxa"/>
            <w:vAlign w:val="bottom"/>
            <w:shd w:val="clear" w:color="auto" w:fill="F0FFFF"/>
          </w:tcPr>
          <w:p>
            <w:pPr>
              <w:spacing w:after="0"/>
              <w:rPr>
                <w:sz w:val="14"/>
                <w:szCs w:val="14"/>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6,022</w:t>
            </w:r>
          </w:p>
        </w:tc>
        <w:tc>
          <w:tcPr>
            <w:tcW w:w="1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940" w:type="dxa"/>
            <w:vAlign w:val="bottom"/>
            <w:tcBorders>
              <w:right w:val="single" w:sz="8" w:color="F0FFFF"/>
            </w:tcBorders>
            <w:shd w:val="clear" w:color="auto" w:fill="F0FFFF"/>
          </w:tcPr>
          <w:p>
            <w:pPr>
              <w:jc w:val="right"/>
              <w:ind w:right="28"/>
              <w:spacing w:after="0"/>
              <w:rPr>
                <w:sz w:val="20"/>
                <w:szCs w:val="20"/>
                <w:color w:val="auto"/>
              </w:rPr>
            </w:pPr>
            <w:r>
              <w:rPr>
                <w:rFonts w:ascii="Arial" w:cs="Arial" w:eastAsia="Arial" w:hAnsi="Arial"/>
                <w:sz w:val="14"/>
                <w:szCs w:val="14"/>
                <w:color w:val="auto"/>
              </w:rPr>
              <w:t>70,740</w:t>
            </w:r>
          </w:p>
        </w:tc>
        <w:tc>
          <w:tcPr>
            <w:tcW w:w="160" w:type="dxa"/>
            <w:vAlign w:val="bottom"/>
            <w:shd w:val="clear" w:color="auto" w:fill="F0FFFF"/>
          </w:tcPr>
          <w:p>
            <w:pPr>
              <w:spacing w:after="0"/>
              <w:rPr>
                <w:sz w:val="14"/>
                <w:szCs w:val="14"/>
                <w:color w:val="auto"/>
              </w:rPr>
            </w:pPr>
          </w:p>
        </w:tc>
        <w:tc>
          <w:tcPr>
            <w:tcW w:w="900" w:type="dxa"/>
            <w:vAlign w:val="bottom"/>
            <w:tcBorders>
              <w:right w:val="single" w:sz="8" w:color="F0FFFF"/>
            </w:tcBorders>
            <w:shd w:val="clear" w:color="auto" w:fill="F0FFFF"/>
          </w:tcPr>
          <w:p>
            <w:pPr>
              <w:jc w:val="right"/>
              <w:ind w:right="28"/>
              <w:spacing w:after="0"/>
              <w:rPr>
                <w:sz w:val="20"/>
                <w:szCs w:val="20"/>
                <w:color w:val="auto"/>
              </w:rPr>
            </w:pPr>
            <w:r>
              <w:rPr>
                <w:rFonts w:ascii="Arial" w:cs="Arial" w:eastAsia="Arial" w:hAnsi="Arial"/>
                <w:sz w:val="14"/>
                <w:szCs w:val="14"/>
                <w:color w:val="auto"/>
              </w:rPr>
              <w:t>76,762</w:t>
            </w:r>
          </w:p>
        </w:tc>
        <w:tc>
          <w:tcPr>
            <w:tcW w:w="80" w:type="dxa"/>
            <w:vAlign w:val="bottom"/>
            <w:shd w:val="clear" w:color="auto" w:fill="F0FFFF"/>
          </w:tcPr>
          <w:p>
            <w:pPr>
              <w:spacing w:after="0"/>
              <w:rPr>
                <w:sz w:val="14"/>
                <w:szCs w:val="14"/>
                <w:color w:val="auto"/>
              </w:rPr>
            </w:pPr>
          </w:p>
        </w:tc>
        <w:tc>
          <w:tcPr>
            <w:tcW w:w="980" w:type="dxa"/>
            <w:vAlign w:val="bottom"/>
            <w:tcBorders>
              <w:right w:val="single" w:sz="8" w:color="F0FFFF"/>
            </w:tcBorders>
            <w:shd w:val="clear" w:color="auto" w:fill="F0FFFF"/>
          </w:tcPr>
          <w:p>
            <w:pPr>
              <w:jc w:val="right"/>
              <w:ind w:right="48"/>
              <w:spacing w:after="0"/>
              <w:rPr>
                <w:sz w:val="20"/>
                <w:szCs w:val="20"/>
                <w:color w:val="auto"/>
              </w:rPr>
            </w:pPr>
            <w:r>
              <w:rPr>
                <w:rFonts w:ascii="Arial" w:cs="Arial" w:eastAsia="Arial" w:hAnsi="Arial"/>
                <w:sz w:val="14"/>
                <w:szCs w:val="14"/>
                <w:color w:val="auto"/>
              </w:rPr>
              <w:t>5,057</w:t>
            </w:r>
          </w:p>
        </w:tc>
        <w:tc>
          <w:tcPr>
            <w:tcW w:w="80" w:type="dxa"/>
            <w:vAlign w:val="bottom"/>
            <w:shd w:val="clear" w:color="auto" w:fill="F0FFFF"/>
          </w:tcPr>
          <w:p>
            <w:pPr>
              <w:spacing w:after="0"/>
              <w:rPr>
                <w:sz w:val="14"/>
                <w:szCs w:val="14"/>
                <w:color w:val="auto"/>
              </w:rPr>
            </w:pPr>
          </w:p>
        </w:tc>
        <w:tc>
          <w:tcPr>
            <w:tcW w:w="960" w:type="dxa"/>
            <w:vAlign w:val="bottom"/>
            <w:tcBorders>
              <w:right w:val="single" w:sz="8" w:color="F0FFFF"/>
            </w:tcBorders>
            <w:shd w:val="clear" w:color="auto" w:fill="F0FFFF"/>
          </w:tcPr>
          <w:p>
            <w:pPr>
              <w:jc w:val="right"/>
              <w:ind w:right="28"/>
              <w:spacing w:after="0"/>
              <w:rPr>
                <w:sz w:val="20"/>
                <w:szCs w:val="20"/>
                <w:color w:val="auto"/>
              </w:rPr>
            </w:pPr>
            <w:r>
              <w:rPr>
                <w:rFonts w:ascii="Arial" w:cs="Arial" w:eastAsia="Arial" w:hAnsi="Arial"/>
                <w:sz w:val="14"/>
                <w:szCs w:val="14"/>
                <w:color w:val="auto"/>
              </w:rPr>
              <w:t>76,788</w:t>
            </w:r>
          </w:p>
        </w:tc>
        <w:tc>
          <w:tcPr>
            <w:tcW w:w="160" w:type="dxa"/>
            <w:vAlign w:val="bottom"/>
            <w:shd w:val="clear" w:color="auto" w:fill="F0FFFF"/>
          </w:tcPr>
          <w:p>
            <w:pPr>
              <w:spacing w:after="0"/>
              <w:rPr>
                <w:sz w:val="14"/>
                <w:szCs w:val="14"/>
                <w:color w:val="auto"/>
              </w:rPr>
            </w:pPr>
          </w:p>
        </w:tc>
        <w:tc>
          <w:tcPr>
            <w:tcW w:w="94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81,845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40" w:type="dxa"/>
            <w:vAlign w:val="bottom"/>
          </w:tcPr>
          <w:p>
            <w:pPr>
              <w:ind w:left="160"/>
              <w:spacing w:after="0" w:line="130" w:lineRule="exact"/>
              <w:rPr>
                <w:sz w:val="20"/>
                <w:szCs w:val="20"/>
                <w:color w:val="auto"/>
              </w:rPr>
            </w:pPr>
            <w:r>
              <w:rPr>
                <w:rFonts w:ascii="Arial" w:cs="Arial" w:eastAsia="Arial" w:hAnsi="Arial"/>
                <w:sz w:val="14"/>
                <w:szCs w:val="14"/>
                <w:color w:val="auto"/>
              </w:rPr>
              <w:t>Allowance for unfunded</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840" w:type="dxa"/>
            <w:vAlign w:val="bottom"/>
          </w:tcPr>
          <w:p>
            <w:pPr>
              <w:ind w:left="320"/>
              <w:spacing w:after="0"/>
              <w:rPr>
                <w:sz w:val="20"/>
                <w:szCs w:val="20"/>
                <w:color w:val="auto"/>
              </w:rPr>
            </w:pPr>
            <w:r>
              <w:rPr>
                <w:rFonts w:ascii="Arial" w:cs="Arial" w:eastAsia="Arial" w:hAnsi="Arial"/>
                <w:sz w:val="14"/>
                <w:szCs w:val="14"/>
                <w:color w:val="auto"/>
              </w:rPr>
              <w:t>commitments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2,165</w:t>
            </w:r>
          </w:p>
        </w:tc>
        <w:tc>
          <w:tcPr>
            <w:tcW w:w="160" w:type="dxa"/>
            <w:vAlign w:val="bottom"/>
          </w:tcPr>
          <w:p>
            <w:pPr>
              <w:spacing w:after="0"/>
              <w:rPr>
                <w:sz w:val="15"/>
                <w:szCs w:val="15"/>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2,165</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2,165</w:t>
            </w:r>
          </w:p>
        </w:tc>
        <w:tc>
          <w:tcPr>
            <w:tcW w:w="160" w:type="dxa"/>
            <w:vAlign w:val="bottom"/>
          </w:tcPr>
          <w:p>
            <w:pPr>
              <w:spacing w:after="0"/>
              <w:rPr>
                <w:sz w:val="15"/>
                <w:szCs w:val="15"/>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2,165</w:t>
            </w:r>
          </w:p>
        </w:tc>
        <w:tc>
          <w:tcPr>
            <w:tcW w:w="80" w:type="dxa"/>
            <w:vAlign w:val="bottom"/>
          </w:tcPr>
          <w:p>
            <w:pPr>
              <w:spacing w:after="0"/>
              <w:rPr>
                <w:sz w:val="15"/>
                <w:szCs w:val="15"/>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40" w:type="dxa"/>
            <w:vAlign w:val="bottom"/>
            <w:shd w:val="clear" w:color="auto" w:fill="F0FFFF"/>
          </w:tcPr>
          <w:p>
            <w:pPr>
              <w:ind w:left="320"/>
              <w:spacing w:after="0" w:line="130" w:lineRule="exact"/>
              <w:rPr>
                <w:sz w:val="20"/>
                <w:szCs w:val="20"/>
                <w:color w:val="auto"/>
              </w:rPr>
            </w:pPr>
            <w:r>
              <w:rPr>
                <w:rFonts w:ascii="Arial" w:cs="Arial" w:eastAsia="Arial" w:hAnsi="Arial"/>
                <w:sz w:val="14"/>
                <w:szCs w:val="14"/>
                <w:color w:val="auto"/>
                <w:w w:val="96"/>
              </w:rPr>
              <w:t>Total allowance for credit</w:t>
            </w:r>
          </w:p>
        </w:tc>
        <w:tc>
          <w:tcPr>
            <w:tcW w:w="100" w:type="dxa"/>
            <w:vAlign w:val="bottom"/>
            <w:shd w:val="clear" w:color="auto" w:fill="F0FFFF"/>
          </w:tcPr>
          <w:p>
            <w:pPr>
              <w:spacing w:after="0"/>
              <w:rPr>
                <w:sz w:val="11"/>
                <w:szCs w:val="11"/>
                <w:color w:val="auto"/>
              </w:rPr>
            </w:pPr>
          </w:p>
        </w:tc>
        <w:tc>
          <w:tcPr>
            <w:tcW w:w="80" w:type="dxa"/>
            <w:vAlign w:val="bottom"/>
            <w:tcBorders>
              <w:top w:val="single" w:sz="8" w:color="auto"/>
            </w:tcBorders>
            <w:shd w:val="clear" w:color="auto" w:fill="F0FFFF"/>
          </w:tcPr>
          <w:p>
            <w:pPr>
              <w:spacing w:after="0"/>
              <w:rPr>
                <w:sz w:val="11"/>
                <w:szCs w:val="11"/>
                <w:color w:val="auto"/>
              </w:rPr>
            </w:pPr>
          </w:p>
        </w:tc>
        <w:tc>
          <w:tcPr>
            <w:tcW w:w="960" w:type="dxa"/>
            <w:vAlign w:val="bottom"/>
            <w:tcBorders>
              <w:top w:val="single" w:sz="8" w:color="auto"/>
              <w:right w:val="single" w:sz="8" w:color="F0FFFF"/>
            </w:tcBorders>
            <w:shd w:val="clear" w:color="auto" w:fill="F0FFFF"/>
          </w:tcPr>
          <w:p>
            <w:pPr>
              <w:spacing w:after="0"/>
              <w:rPr>
                <w:sz w:val="11"/>
                <w:szCs w:val="11"/>
                <w:color w:val="auto"/>
              </w:rPr>
            </w:pPr>
          </w:p>
        </w:tc>
        <w:tc>
          <w:tcPr>
            <w:tcW w:w="100" w:type="dxa"/>
            <w:vAlign w:val="bottom"/>
            <w:tcBorders>
              <w:top w:val="single" w:sz="8" w:color="auto"/>
            </w:tcBorders>
            <w:shd w:val="clear" w:color="auto" w:fill="F0FFFF"/>
          </w:tcPr>
          <w:p>
            <w:pPr>
              <w:spacing w:after="0"/>
              <w:rPr>
                <w:sz w:val="11"/>
                <w:szCs w:val="11"/>
                <w:color w:val="auto"/>
              </w:rPr>
            </w:pPr>
          </w:p>
        </w:tc>
        <w:tc>
          <w:tcPr>
            <w:tcW w:w="840" w:type="dxa"/>
            <w:vAlign w:val="bottom"/>
            <w:tcBorders>
              <w:top w:val="single" w:sz="8" w:color="auto"/>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60" w:type="dxa"/>
            <w:vAlign w:val="bottom"/>
            <w:tcBorders>
              <w:top w:val="single" w:sz="8" w:color="auto"/>
            </w:tcBorders>
            <w:shd w:val="clear" w:color="auto" w:fill="F0FFFF"/>
          </w:tcPr>
          <w:p>
            <w:pPr>
              <w:spacing w:after="0"/>
              <w:rPr>
                <w:sz w:val="11"/>
                <w:szCs w:val="11"/>
                <w:color w:val="auto"/>
              </w:rPr>
            </w:pPr>
          </w:p>
        </w:tc>
        <w:tc>
          <w:tcPr>
            <w:tcW w:w="880" w:type="dxa"/>
            <w:vAlign w:val="bottom"/>
            <w:tcBorders>
              <w:top w:val="single" w:sz="8" w:color="auto"/>
              <w:right w:val="single" w:sz="8" w:color="F0FFFF"/>
            </w:tcBorders>
            <w:shd w:val="clear" w:color="auto" w:fill="F0FFFF"/>
          </w:tcPr>
          <w:p>
            <w:pPr>
              <w:spacing w:after="0"/>
              <w:rPr>
                <w:sz w:val="11"/>
                <w:szCs w:val="11"/>
                <w:color w:val="auto"/>
              </w:rPr>
            </w:pPr>
          </w:p>
        </w:tc>
        <w:tc>
          <w:tcPr>
            <w:tcW w:w="80" w:type="dxa"/>
            <w:vAlign w:val="bottom"/>
            <w:tcBorders>
              <w:top w:val="single" w:sz="8" w:color="auto"/>
            </w:tcBorders>
            <w:shd w:val="clear" w:color="auto" w:fill="F0FFFF"/>
          </w:tcPr>
          <w:p>
            <w:pPr>
              <w:spacing w:after="0"/>
              <w:rPr>
                <w:sz w:val="11"/>
                <w:szCs w:val="11"/>
                <w:color w:val="auto"/>
              </w:rPr>
            </w:pPr>
          </w:p>
        </w:tc>
        <w:tc>
          <w:tcPr>
            <w:tcW w:w="860" w:type="dxa"/>
            <w:vAlign w:val="bottom"/>
            <w:tcBorders>
              <w:top w:val="single" w:sz="8" w:color="auto"/>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tcBorders>
              <w:top w:val="single" w:sz="8" w:color="auto"/>
            </w:tcBorders>
            <w:shd w:val="clear" w:color="auto" w:fill="F0FFFF"/>
          </w:tcPr>
          <w:p>
            <w:pPr>
              <w:spacing w:after="0"/>
              <w:rPr>
                <w:sz w:val="11"/>
                <w:szCs w:val="11"/>
                <w:color w:val="auto"/>
              </w:rPr>
            </w:pPr>
          </w:p>
        </w:tc>
        <w:tc>
          <w:tcPr>
            <w:tcW w:w="940" w:type="dxa"/>
            <w:vAlign w:val="bottom"/>
            <w:tcBorders>
              <w:top w:val="single" w:sz="8" w:color="auto"/>
              <w:right w:val="single" w:sz="8" w:color="F0FFFF"/>
            </w:tcBorders>
            <w:shd w:val="clear" w:color="auto" w:fill="F0FFFF"/>
          </w:tcPr>
          <w:p>
            <w:pPr>
              <w:spacing w:after="0"/>
              <w:rPr>
                <w:sz w:val="11"/>
                <w:szCs w:val="11"/>
                <w:color w:val="auto"/>
              </w:rPr>
            </w:pPr>
          </w:p>
        </w:tc>
        <w:tc>
          <w:tcPr>
            <w:tcW w:w="160" w:type="dxa"/>
            <w:vAlign w:val="bottom"/>
            <w:tcBorders>
              <w:top w:val="single" w:sz="8" w:color="auto"/>
            </w:tcBorders>
            <w:shd w:val="clear" w:color="auto" w:fill="F0FFFF"/>
          </w:tcPr>
          <w:p>
            <w:pPr>
              <w:spacing w:after="0"/>
              <w:rPr>
                <w:sz w:val="11"/>
                <w:szCs w:val="11"/>
                <w:color w:val="auto"/>
              </w:rPr>
            </w:pPr>
          </w:p>
        </w:tc>
        <w:tc>
          <w:tcPr>
            <w:tcW w:w="900" w:type="dxa"/>
            <w:vAlign w:val="bottom"/>
            <w:tcBorders>
              <w:top w:val="single" w:sz="8" w:color="auto"/>
              <w:right w:val="single" w:sz="8" w:color="F0FFFF"/>
            </w:tcBorders>
            <w:shd w:val="clear" w:color="auto" w:fill="F0FFFF"/>
          </w:tcPr>
          <w:p>
            <w:pPr>
              <w:spacing w:after="0"/>
              <w:rPr>
                <w:sz w:val="11"/>
                <w:szCs w:val="11"/>
                <w:color w:val="auto"/>
              </w:rPr>
            </w:pPr>
          </w:p>
        </w:tc>
        <w:tc>
          <w:tcPr>
            <w:tcW w:w="80" w:type="dxa"/>
            <w:vAlign w:val="bottom"/>
            <w:tcBorders>
              <w:top w:val="single" w:sz="8" w:color="auto"/>
            </w:tcBorders>
            <w:shd w:val="clear" w:color="auto" w:fill="F0FFFF"/>
          </w:tcPr>
          <w:p>
            <w:pPr>
              <w:spacing w:after="0"/>
              <w:rPr>
                <w:sz w:val="11"/>
                <w:szCs w:val="11"/>
                <w:color w:val="auto"/>
              </w:rPr>
            </w:pPr>
          </w:p>
        </w:tc>
        <w:tc>
          <w:tcPr>
            <w:tcW w:w="980" w:type="dxa"/>
            <w:vAlign w:val="bottom"/>
            <w:tcBorders>
              <w:top w:val="single" w:sz="8" w:color="auto"/>
              <w:right w:val="single" w:sz="8" w:color="F0FFFF"/>
            </w:tcBorders>
            <w:shd w:val="clear" w:color="auto" w:fill="F0FFFF"/>
          </w:tcPr>
          <w:p>
            <w:pPr>
              <w:spacing w:after="0"/>
              <w:rPr>
                <w:sz w:val="11"/>
                <w:szCs w:val="11"/>
                <w:color w:val="auto"/>
              </w:rPr>
            </w:pPr>
          </w:p>
        </w:tc>
        <w:tc>
          <w:tcPr>
            <w:tcW w:w="80" w:type="dxa"/>
            <w:vAlign w:val="bottom"/>
            <w:tcBorders>
              <w:top w:val="single" w:sz="8" w:color="auto"/>
            </w:tcBorders>
            <w:shd w:val="clear" w:color="auto" w:fill="F0FFFF"/>
          </w:tcPr>
          <w:p>
            <w:pPr>
              <w:spacing w:after="0"/>
              <w:rPr>
                <w:sz w:val="11"/>
                <w:szCs w:val="11"/>
                <w:color w:val="auto"/>
              </w:rPr>
            </w:pPr>
          </w:p>
        </w:tc>
        <w:tc>
          <w:tcPr>
            <w:tcW w:w="960" w:type="dxa"/>
            <w:vAlign w:val="bottom"/>
            <w:tcBorders>
              <w:top w:val="single" w:sz="8" w:color="auto"/>
              <w:right w:val="single" w:sz="8" w:color="F0FFFF"/>
            </w:tcBorders>
            <w:shd w:val="clear" w:color="auto" w:fill="F0FFFF"/>
          </w:tcPr>
          <w:p>
            <w:pPr>
              <w:spacing w:after="0"/>
              <w:rPr>
                <w:sz w:val="11"/>
                <w:szCs w:val="11"/>
                <w:color w:val="auto"/>
              </w:rPr>
            </w:pPr>
          </w:p>
        </w:tc>
        <w:tc>
          <w:tcPr>
            <w:tcW w:w="160" w:type="dxa"/>
            <w:vAlign w:val="bottom"/>
            <w:tcBorders>
              <w:top w:val="single" w:sz="8" w:color="auto"/>
            </w:tcBorders>
            <w:shd w:val="clear" w:color="auto" w:fill="F0FFFF"/>
          </w:tcPr>
          <w:p>
            <w:pPr>
              <w:spacing w:after="0"/>
              <w:rPr>
                <w:sz w:val="11"/>
                <w:szCs w:val="11"/>
                <w:color w:val="auto"/>
              </w:rPr>
            </w:pPr>
          </w:p>
        </w:tc>
        <w:tc>
          <w:tcPr>
            <w:tcW w:w="820" w:type="dxa"/>
            <w:vAlign w:val="bottom"/>
            <w:tcBorders>
              <w:top w:val="single" w:sz="8" w:color="auto"/>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40" w:type="dxa"/>
            <w:vAlign w:val="bottom"/>
            <w:shd w:val="clear" w:color="auto" w:fill="F0FFFF"/>
          </w:tcPr>
          <w:p>
            <w:pPr>
              <w:ind w:left="480"/>
              <w:spacing w:after="0"/>
              <w:rPr>
                <w:sz w:val="20"/>
                <w:szCs w:val="20"/>
                <w:color w:val="auto"/>
              </w:rPr>
            </w:pPr>
            <w:r>
              <w:rPr>
                <w:rFonts w:ascii="Arial" w:cs="Arial" w:eastAsia="Arial" w:hAnsi="Arial"/>
                <w:sz w:val="14"/>
                <w:szCs w:val="14"/>
                <w:color w:val="auto"/>
              </w:rPr>
              <w:t>losses</w:t>
            </w: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F0FFFF"/>
            </w:tcBorders>
            <w:shd w:val="clear" w:color="auto" w:fill="F0FFFF"/>
          </w:tcPr>
          <w:p>
            <w:pPr>
              <w:jc w:val="right"/>
              <w:ind w:right="28"/>
              <w:spacing w:after="0"/>
              <w:rPr>
                <w:sz w:val="20"/>
                <w:szCs w:val="20"/>
                <w:color w:val="auto"/>
              </w:rPr>
            </w:pPr>
            <w:r>
              <w:rPr>
                <w:rFonts w:ascii="Arial" w:cs="Arial" w:eastAsia="Arial" w:hAnsi="Arial"/>
                <w:sz w:val="14"/>
                <w:szCs w:val="14"/>
                <w:color w:val="auto"/>
              </w:rPr>
              <w:t>9,017</w:t>
            </w:r>
          </w:p>
        </w:tc>
        <w:tc>
          <w:tcPr>
            <w:tcW w:w="10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66,396</w:t>
            </w:r>
          </w:p>
        </w:tc>
        <w:tc>
          <w:tcPr>
            <w:tcW w:w="1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tcBorders>
              <w:right w:val="single" w:sz="8" w:color="F0FFFF"/>
            </w:tcBorders>
            <w:shd w:val="clear" w:color="auto" w:fill="F0FFFF"/>
          </w:tcPr>
          <w:p>
            <w:pPr>
              <w:jc w:val="right"/>
              <w:ind w:right="28"/>
              <w:spacing w:after="0"/>
              <w:rPr>
                <w:sz w:val="20"/>
                <w:szCs w:val="20"/>
                <w:color w:val="auto"/>
              </w:rPr>
            </w:pPr>
            <w:r>
              <w:rPr>
                <w:rFonts w:ascii="Arial" w:cs="Arial" w:eastAsia="Arial" w:hAnsi="Arial"/>
                <w:sz w:val="14"/>
                <w:szCs w:val="14"/>
                <w:color w:val="auto"/>
              </w:rPr>
              <w:t>75,413</w:t>
            </w:r>
          </w:p>
        </w:tc>
        <w:tc>
          <w:tcPr>
            <w:tcW w:w="8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6,022</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F0FFFF"/>
            </w:tcBorders>
            <w:shd w:val="clear" w:color="auto" w:fill="F0FFFF"/>
          </w:tcPr>
          <w:p>
            <w:pPr>
              <w:jc w:val="right"/>
              <w:ind w:right="28"/>
              <w:spacing w:after="0"/>
              <w:rPr>
                <w:sz w:val="20"/>
                <w:szCs w:val="20"/>
                <w:color w:val="auto"/>
              </w:rPr>
            </w:pPr>
            <w:r>
              <w:rPr>
                <w:rFonts w:ascii="Arial" w:cs="Arial" w:eastAsia="Arial" w:hAnsi="Arial"/>
                <w:sz w:val="14"/>
                <w:szCs w:val="14"/>
                <w:color w:val="auto"/>
              </w:rPr>
              <w:t>72,905</w:t>
            </w:r>
          </w:p>
        </w:tc>
        <w:tc>
          <w:tcPr>
            <w:tcW w:w="1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w w:val="76"/>
              </w:rPr>
              <w:t>$</w:t>
            </w:r>
          </w:p>
        </w:tc>
        <w:tc>
          <w:tcPr>
            <w:tcW w:w="900" w:type="dxa"/>
            <w:vAlign w:val="bottom"/>
            <w:tcBorders>
              <w:right w:val="single" w:sz="8" w:color="F0FFFF"/>
            </w:tcBorders>
            <w:shd w:val="clear" w:color="auto" w:fill="F0FFFF"/>
          </w:tcPr>
          <w:p>
            <w:pPr>
              <w:jc w:val="right"/>
              <w:ind w:right="28"/>
              <w:spacing w:after="0"/>
              <w:rPr>
                <w:sz w:val="20"/>
                <w:szCs w:val="20"/>
                <w:color w:val="auto"/>
              </w:rPr>
            </w:pPr>
            <w:r>
              <w:rPr>
                <w:rFonts w:ascii="Arial" w:cs="Arial" w:eastAsia="Arial" w:hAnsi="Arial"/>
                <w:sz w:val="14"/>
                <w:szCs w:val="14"/>
                <w:color w:val="auto"/>
              </w:rPr>
              <w:t>78,927</w:t>
            </w:r>
          </w:p>
        </w:tc>
        <w:tc>
          <w:tcPr>
            <w:tcW w:w="8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right w:val="single" w:sz="8" w:color="F0FFFF"/>
            </w:tcBorders>
            <w:shd w:val="clear" w:color="auto" w:fill="F0FFFF"/>
          </w:tcPr>
          <w:p>
            <w:pPr>
              <w:jc w:val="right"/>
              <w:ind w:right="48"/>
              <w:spacing w:after="0"/>
              <w:rPr>
                <w:sz w:val="20"/>
                <w:szCs w:val="20"/>
                <w:color w:val="auto"/>
              </w:rPr>
            </w:pPr>
            <w:r>
              <w:rPr>
                <w:rFonts w:ascii="Arial" w:cs="Arial" w:eastAsia="Arial" w:hAnsi="Arial"/>
                <w:sz w:val="14"/>
                <w:szCs w:val="14"/>
                <w:color w:val="auto"/>
              </w:rPr>
              <w:t>5,057</w:t>
            </w:r>
          </w:p>
        </w:tc>
        <w:tc>
          <w:tcPr>
            <w:tcW w:w="80" w:type="dxa"/>
            <w:vAlign w:val="bottom"/>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right w:val="single" w:sz="8" w:color="F0FFFF"/>
            </w:tcBorders>
            <w:shd w:val="clear" w:color="auto" w:fill="F0FFFF"/>
          </w:tcPr>
          <w:p>
            <w:pPr>
              <w:jc w:val="right"/>
              <w:ind w:right="28"/>
              <w:spacing w:after="0"/>
              <w:rPr>
                <w:sz w:val="20"/>
                <w:szCs w:val="20"/>
                <w:color w:val="auto"/>
              </w:rPr>
            </w:pPr>
            <w:r>
              <w:rPr>
                <w:rFonts w:ascii="Arial" w:cs="Arial" w:eastAsia="Arial" w:hAnsi="Arial"/>
                <w:sz w:val="14"/>
                <w:szCs w:val="14"/>
                <w:color w:val="auto"/>
              </w:rPr>
              <w:t>76,788</w:t>
            </w:r>
          </w:p>
        </w:tc>
        <w:tc>
          <w:tcPr>
            <w:tcW w:w="1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81,845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840" w:type="dxa"/>
            <w:vAlign w:val="bottom"/>
            <w:tcBorders>
              <w:top w:val="single" w:sz="8" w:color="F0FFFF"/>
            </w:tcBorders>
          </w:tcPr>
          <w:p>
            <w:pPr>
              <w:spacing w:after="0"/>
              <w:rPr>
                <w:sz w:val="12"/>
                <w:szCs w:val="12"/>
                <w:color w:val="auto"/>
              </w:rPr>
            </w:pPr>
          </w:p>
        </w:tc>
        <w:tc>
          <w:tcPr>
            <w:tcW w:w="100" w:type="dxa"/>
            <w:vAlign w:val="bottom"/>
            <w:tcBorders>
              <w:top w:val="single" w:sz="8" w:color="F0FF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Borders>
              <w:top w:val="single" w:sz="8" w:color="F0FF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Borders>
              <w:top w:val="single" w:sz="8" w:color="F0FF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F0FF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840" w:type="dxa"/>
            <w:vAlign w:val="bottom"/>
            <w:shd w:val="clear" w:color="auto" w:fill="F0FFFF"/>
          </w:tcPr>
          <w:p>
            <w:pPr>
              <w:spacing w:after="0" w:line="149" w:lineRule="exact"/>
              <w:rPr>
                <w:sz w:val="20"/>
                <w:szCs w:val="20"/>
                <w:color w:val="auto"/>
              </w:rPr>
            </w:pPr>
            <w:r>
              <w:rPr>
                <w:rFonts w:ascii="Arial" w:cs="Arial" w:eastAsia="Arial" w:hAnsi="Arial"/>
                <w:sz w:val="14"/>
                <w:szCs w:val="14"/>
                <w:b w:val="1"/>
                <w:bCs w:val="1"/>
                <w:color w:val="auto"/>
              </w:rPr>
              <w:t>Loans Outstanding</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60" w:type="dxa"/>
            <w:vAlign w:val="bottom"/>
            <w:tcBorders>
              <w:righ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84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80" w:type="dxa"/>
            <w:vAlign w:val="bottom"/>
            <w:tcBorders>
              <w:righ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940" w:type="dxa"/>
            <w:vAlign w:val="bottom"/>
            <w:tcBorders>
              <w:right w:val="single" w:sz="8" w:color="F0FFFF"/>
            </w:tcBorders>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900" w:type="dxa"/>
            <w:vAlign w:val="bottom"/>
            <w:tcBorders>
              <w:righ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80" w:type="dxa"/>
            <w:vAlign w:val="bottom"/>
            <w:tcBorders>
              <w:righ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60" w:type="dxa"/>
            <w:vAlign w:val="bottom"/>
            <w:tcBorders>
              <w:right w:val="single" w:sz="8" w:color="F0FFFF"/>
            </w:tcBorders>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40" w:type="dxa"/>
            <w:vAlign w:val="bottom"/>
            <w:shd w:val="clear" w:color="auto" w:fill="F0FFFF"/>
          </w:tcPr>
          <w:p>
            <w:pPr>
              <w:ind w:left="160"/>
              <w:spacing w:after="0" w:line="130" w:lineRule="exact"/>
              <w:rPr>
                <w:sz w:val="20"/>
                <w:szCs w:val="20"/>
                <w:color w:val="auto"/>
              </w:rPr>
            </w:pPr>
            <w:r>
              <w:rPr>
                <w:rFonts w:ascii="Arial" w:cs="Arial" w:eastAsia="Arial" w:hAnsi="Arial"/>
                <w:sz w:val="14"/>
                <w:szCs w:val="14"/>
                <w:color w:val="auto"/>
                <w:w w:val="93"/>
              </w:rPr>
              <w:t>Owner occupied commercial</w:t>
            </w:r>
          </w:p>
        </w:tc>
        <w:tc>
          <w:tcPr>
            <w:tcW w:w="10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96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8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880" w:type="dxa"/>
            <w:vAlign w:val="bottom"/>
            <w:tcBorders>
              <w:righ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940" w:type="dxa"/>
            <w:vAlign w:val="bottom"/>
            <w:tcBorders>
              <w:right w:val="single" w:sz="8" w:color="F0FFFF"/>
            </w:tcBorders>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900" w:type="dxa"/>
            <w:vAlign w:val="bottom"/>
            <w:tcBorders>
              <w:righ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980" w:type="dxa"/>
            <w:vAlign w:val="bottom"/>
            <w:tcBorders>
              <w:righ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960" w:type="dxa"/>
            <w:vAlign w:val="bottom"/>
            <w:tcBorders>
              <w:right w:val="single" w:sz="8" w:color="F0FFFF"/>
            </w:tcBorders>
            <w:shd w:val="clear" w:color="auto" w:fill="F0FFFF"/>
          </w:tcPr>
          <w:p>
            <w:pPr>
              <w:spacing w:after="0"/>
              <w:rPr>
                <w:sz w:val="11"/>
                <w:szCs w:val="11"/>
                <w:color w:val="auto"/>
              </w:rPr>
            </w:pPr>
          </w:p>
        </w:tc>
        <w:tc>
          <w:tcPr>
            <w:tcW w:w="160" w:type="dxa"/>
            <w:vAlign w:val="bottom"/>
            <w:shd w:val="clear" w:color="auto" w:fill="F0FFFF"/>
          </w:tcPr>
          <w:p>
            <w:pPr>
              <w:spacing w:after="0"/>
              <w:rPr>
                <w:sz w:val="11"/>
                <w:szCs w:val="11"/>
                <w:color w:val="auto"/>
              </w:rPr>
            </w:pPr>
          </w:p>
        </w:tc>
        <w:tc>
          <w:tcPr>
            <w:tcW w:w="8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40" w:type="dxa"/>
            <w:vAlign w:val="bottom"/>
            <w:shd w:val="clear" w:color="auto" w:fill="F0FFFF"/>
          </w:tcPr>
          <w:p>
            <w:pPr>
              <w:ind w:left="320"/>
              <w:spacing w:after="0"/>
              <w:rPr>
                <w:sz w:val="20"/>
                <w:szCs w:val="20"/>
                <w:color w:val="auto"/>
              </w:rPr>
            </w:pPr>
            <w:r>
              <w:rPr>
                <w:rFonts w:ascii="Arial" w:cs="Arial" w:eastAsia="Arial" w:hAnsi="Arial"/>
                <w:sz w:val="14"/>
                <w:szCs w:val="14"/>
                <w:color w:val="auto"/>
              </w:rPr>
              <w:t>real estate</w:t>
            </w: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right w:val="single" w:sz="8" w:color="F0FFFF"/>
            </w:tcBorders>
            <w:shd w:val="clear" w:color="auto" w:fill="F0FFFF"/>
          </w:tcPr>
          <w:p>
            <w:pPr>
              <w:jc w:val="right"/>
              <w:ind w:right="28"/>
              <w:spacing w:after="0"/>
              <w:rPr>
                <w:sz w:val="20"/>
                <w:szCs w:val="20"/>
                <w:color w:val="auto"/>
              </w:rPr>
            </w:pPr>
            <w:r>
              <w:rPr>
                <w:rFonts w:ascii="Arial" w:cs="Arial" w:eastAsia="Arial" w:hAnsi="Arial"/>
                <w:sz w:val="14"/>
                <w:szCs w:val="14"/>
                <w:color w:val="auto"/>
              </w:rPr>
              <w:t>31,952</w:t>
            </w:r>
          </w:p>
        </w:tc>
        <w:tc>
          <w:tcPr>
            <w:tcW w:w="10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1,131,375</w:t>
            </w:r>
          </w:p>
        </w:tc>
        <w:tc>
          <w:tcPr>
            <w:tcW w:w="100" w:type="dxa"/>
            <w:vAlign w:val="bottom"/>
            <w:shd w:val="clear" w:color="auto" w:fill="F0FFFF"/>
          </w:tcPr>
          <w:p>
            <w:pPr>
              <w:spacing w:after="0"/>
              <w:rPr>
                <w:sz w:val="14"/>
                <w:szCs w:val="14"/>
                <w:color w:val="auto"/>
              </w:rPr>
            </w:pPr>
          </w:p>
        </w:tc>
        <w:tc>
          <w:tcPr>
            <w:tcW w:w="1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tcBorders>
              <w:right w:val="single" w:sz="8" w:color="F0FFFF"/>
            </w:tcBorders>
            <w:shd w:val="clear" w:color="auto" w:fill="F0FFFF"/>
          </w:tcPr>
          <w:p>
            <w:pPr>
              <w:jc w:val="right"/>
              <w:ind w:right="28"/>
              <w:spacing w:after="0"/>
              <w:rPr>
                <w:sz w:val="20"/>
                <w:szCs w:val="20"/>
                <w:color w:val="auto"/>
              </w:rPr>
            </w:pPr>
            <w:r>
              <w:rPr>
                <w:rFonts w:ascii="Arial" w:cs="Arial" w:eastAsia="Arial" w:hAnsi="Arial"/>
                <w:sz w:val="14"/>
                <w:szCs w:val="14"/>
                <w:color w:val="auto"/>
              </w:rPr>
              <w:t>1,163,327</w:t>
            </w:r>
          </w:p>
        </w:tc>
        <w:tc>
          <w:tcPr>
            <w:tcW w:w="8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32,969</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right w:val="single" w:sz="8" w:color="F0FFFF"/>
            </w:tcBorders>
            <w:shd w:val="clear" w:color="auto" w:fill="F0FFFF"/>
          </w:tcPr>
          <w:p>
            <w:pPr>
              <w:jc w:val="right"/>
              <w:ind w:right="28"/>
              <w:spacing w:after="0"/>
              <w:rPr>
                <w:sz w:val="20"/>
                <w:szCs w:val="20"/>
                <w:color w:val="auto"/>
              </w:rPr>
            </w:pPr>
            <w:r>
              <w:rPr>
                <w:rFonts w:ascii="Arial" w:cs="Arial" w:eastAsia="Arial" w:hAnsi="Arial"/>
                <w:sz w:val="14"/>
                <w:szCs w:val="14"/>
                <w:color w:val="auto"/>
              </w:rPr>
              <w:t>1,100,574</w:t>
            </w:r>
          </w:p>
        </w:tc>
        <w:tc>
          <w:tcPr>
            <w:tcW w:w="1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w w:val="76"/>
              </w:rPr>
              <w:t>$</w:t>
            </w:r>
          </w:p>
        </w:tc>
        <w:tc>
          <w:tcPr>
            <w:tcW w:w="900" w:type="dxa"/>
            <w:vAlign w:val="bottom"/>
            <w:tcBorders>
              <w:right w:val="single" w:sz="8" w:color="F0FFFF"/>
            </w:tcBorders>
            <w:shd w:val="clear" w:color="auto" w:fill="F0FFFF"/>
          </w:tcPr>
          <w:p>
            <w:pPr>
              <w:jc w:val="right"/>
              <w:ind w:right="28"/>
              <w:spacing w:after="0"/>
              <w:rPr>
                <w:sz w:val="20"/>
                <w:szCs w:val="20"/>
                <w:color w:val="auto"/>
              </w:rPr>
            </w:pPr>
            <w:r>
              <w:rPr>
                <w:rFonts w:ascii="Arial" w:cs="Arial" w:eastAsia="Arial" w:hAnsi="Arial"/>
                <w:sz w:val="14"/>
                <w:szCs w:val="14"/>
                <w:color w:val="auto"/>
              </w:rPr>
              <w:t>1,133,543</w:t>
            </w:r>
          </w:p>
        </w:tc>
        <w:tc>
          <w:tcPr>
            <w:tcW w:w="8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right w:val="single" w:sz="8" w:color="F0FFFF"/>
            </w:tcBorders>
            <w:shd w:val="clear" w:color="auto" w:fill="F0FFFF"/>
          </w:tcPr>
          <w:p>
            <w:pPr>
              <w:jc w:val="right"/>
              <w:ind w:right="48"/>
              <w:spacing w:after="0"/>
              <w:rPr>
                <w:sz w:val="20"/>
                <w:szCs w:val="20"/>
                <w:color w:val="auto"/>
              </w:rPr>
            </w:pPr>
            <w:r>
              <w:rPr>
                <w:rFonts w:ascii="Arial" w:cs="Arial" w:eastAsia="Arial" w:hAnsi="Arial"/>
                <w:sz w:val="14"/>
                <w:szCs w:val="14"/>
                <w:color w:val="auto"/>
              </w:rPr>
              <w:t>27,147</w:t>
            </w:r>
          </w:p>
        </w:tc>
        <w:tc>
          <w:tcPr>
            <w:tcW w:w="80" w:type="dxa"/>
            <w:vAlign w:val="bottom"/>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right w:val="single" w:sz="8" w:color="F0FFFF"/>
            </w:tcBorders>
            <w:shd w:val="clear" w:color="auto" w:fill="F0FFFF"/>
          </w:tcPr>
          <w:p>
            <w:pPr>
              <w:jc w:val="right"/>
              <w:ind w:right="28"/>
              <w:spacing w:after="0"/>
              <w:rPr>
                <w:sz w:val="20"/>
                <w:szCs w:val="20"/>
                <w:color w:val="auto"/>
              </w:rPr>
            </w:pPr>
            <w:r>
              <w:rPr>
                <w:rFonts w:ascii="Arial" w:cs="Arial" w:eastAsia="Arial" w:hAnsi="Arial"/>
                <w:sz w:val="14"/>
                <w:szCs w:val="14"/>
                <w:color w:val="auto"/>
              </w:rPr>
              <w:t>1,091,869</w:t>
            </w:r>
          </w:p>
        </w:tc>
        <w:tc>
          <w:tcPr>
            <w:tcW w:w="160" w:type="dxa"/>
            <w:vAlign w:val="bottom"/>
            <w:shd w:val="clear" w:color="auto" w:fill="F0FFFF"/>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1,119,016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40" w:type="dxa"/>
            <w:vAlign w:val="bottom"/>
          </w:tcPr>
          <w:p>
            <w:pPr>
              <w:ind w:left="160"/>
              <w:spacing w:after="0" w:line="130" w:lineRule="exact"/>
              <w:rPr>
                <w:sz w:val="20"/>
                <w:szCs w:val="20"/>
                <w:color w:val="auto"/>
              </w:rPr>
            </w:pPr>
            <w:r>
              <w:rPr>
                <w:rFonts w:ascii="Arial" w:cs="Arial" w:eastAsia="Arial" w:hAnsi="Arial"/>
                <w:sz w:val="14"/>
                <w:szCs w:val="14"/>
                <w:color w:val="auto"/>
              </w:rPr>
              <w:t>Income producing</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40" w:type="dxa"/>
            <w:vAlign w:val="bottom"/>
          </w:tcPr>
          <w:p>
            <w:pPr>
              <w:ind w:left="320"/>
              <w:spacing w:after="0"/>
              <w:rPr>
                <w:sz w:val="20"/>
                <w:szCs w:val="20"/>
                <w:color w:val="auto"/>
              </w:rPr>
            </w:pPr>
            <w:r>
              <w:rPr>
                <w:rFonts w:ascii="Arial" w:cs="Arial" w:eastAsia="Arial" w:hAnsi="Arial"/>
                <w:sz w:val="14"/>
                <w:szCs w:val="14"/>
                <w:color w:val="auto"/>
              </w:rPr>
              <w:t>commercial real estate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26,045</w:t>
            </w:r>
          </w:p>
        </w:tc>
        <w:tc>
          <w:tcPr>
            <w:tcW w:w="10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572,273</w:t>
            </w:r>
          </w:p>
        </w:tc>
        <w:tc>
          <w:tcPr>
            <w:tcW w:w="1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598,318</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27,239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595,928</w:t>
            </w:r>
          </w:p>
        </w:tc>
        <w:tc>
          <w:tcPr>
            <w:tcW w:w="160" w:type="dxa"/>
            <w:vAlign w:val="bottom"/>
          </w:tcPr>
          <w:p>
            <w:pPr>
              <w:spacing w:after="0"/>
              <w:rPr>
                <w:sz w:val="14"/>
                <w:szCs w:val="1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623,167</w:t>
            </w:r>
          </w:p>
        </w:tc>
        <w:tc>
          <w:tcPr>
            <w:tcW w:w="8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25,150</w:t>
            </w:r>
          </w:p>
        </w:tc>
        <w:tc>
          <w:tcPr>
            <w:tcW w:w="80" w:type="dxa"/>
            <w:vAlign w:val="bottom"/>
          </w:tcPr>
          <w:p>
            <w:pPr>
              <w:spacing w:after="0"/>
              <w:rPr>
                <w:sz w:val="14"/>
                <w:szCs w:val="1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603,979</w:t>
            </w:r>
          </w:p>
        </w:tc>
        <w:tc>
          <w:tcPr>
            <w:tcW w:w="16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629,129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shd w:val="clear" w:color="auto" w:fill="F0FFFF"/>
          </w:tcPr>
          <w:p>
            <w:pPr>
              <w:ind w:left="160"/>
              <w:spacing w:after="0" w:line="149" w:lineRule="exact"/>
              <w:rPr>
                <w:sz w:val="20"/>
                <w:szCs w:val="20"/>
                <w:color w:val="auto"/>
              </w:rPr>
            </w:pPr>
            <w:r>
              <w:rPr>
                <w:rFonts w:ascii="Arial" w:cs="Arial" w:eastAsia="Arial" w:hAnsi="Arial"/>
                <w:sz w:val="14"/>
                <w:szCs w:val="14"/>
                <w:color w:val="auto"/>
              </w:rPr>
              <w:t>Commercial &amp; industrial</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60" w:type="dxa"/>
            <w:vAlign w:val="bottom"/>
            <w:tcBorders>
              <w:right w:val="single" w:sz="8" w:color="F0FFFF"/>
            </w:tcBorders>
            <w:shd w:val="clear" w:color="auto" w:fill="F0FFFF"/>
          </w:tcPr>
          <w:p>
            <w:pPr>
              <w:jc w:val="right"/>
              <w:ind w:right="28"/>
              <w:spacing w:after="0" w:line="149" w:lineRule="exact"/>
              <w:rPr>
                <w:sz w:val="20"/>
                <w:szCs w:val="20"/>
                <w:color w:val="auto"/>
              </w:rPr>
            </w:pPr>
            <w:r>
              <w:rPr>
                <w:rFonts w:ascii="Arial" w:cs="Arial" w:eastAsia="Arial" w:hAnsi="Arial"/>
                <w:sz w:val="14"/>
                <w:szCs w:val="14"/>
                <w:color w:val="auto"/>
              </w:rPr>
              <w:t>3,641</w:t>
            </w:r>
          </w:p>
        </w:tc>
        <w:tc>
          <w:tcPr>
            <w:tcW w:w="100" w:type="dxa"/>
            <w:vAlign w:val="bottom"/>
            <w:shd w:val="clear" w:color="auto" w:fill="F0FFFF"/>
          </w:tcPr>
          <w:p>
            <w:pPr>
              <w:spacing w:after="0"/>
              <w:rPr>
                <w:sz w:val="12"/>
                <w:szCs w:val="12"/>
                <w:color w:val="auto"/>
              </w:rPr>
            </w:pPr>
          </w:p>
        </w:tc>
        <w:tc>
          <w:tcPr>
            <w:tcW w:w="94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550,448</w:t>
            </w:r>
          </w:p>
        </w:tc>
        <w:tc>
          <w:tcPr>
            <w:tcW w:w="160" w:type="dxa"/>
            <w:vAlign w:val="bottom"/>
            <w:shd w:val="clear" w:color="auto" w:fill="F0FFFF"/>
          </w:tcPr>
          <w:p>
            <w:pPr>
              <w:spacing w:after="0"/>
              <w:rPr>
                <w:sz w:val="12"/>
                <w:szCs w:val="12"/>
                <w:color w:val="auto"/>
              </w:rPr>
            </w:pPr>
          </w:p>
        </w:tc>
        <w:tc>
          <w:tcPr>
            <w:tcW w:w="880" w:type="dxa"/>
            <w:vAlign w:val="bottom"/>
            <w:tcBorders>
              <w:right w:val="single" w:sz="8" w:color="F0FFFF"/>
            </w:tcBorders>
            <w:shd w:val="clear" w:color="auto" w:fill="F0FFFF"/>
          </w:tcPr>
          <w:p>
            <w:pPr>
              <w:jc w:val="right"/>
              <w:ind w:right="28"/>
              <w:spacing w:after="0" w:line="149" w:lineRule="exact"/>
              <w:rPr>
                <w:sz w:val="20"/>
                <w:szCs w:val="20"/>
                <w:color w:val="auto"/>
              </w:rPr>
            </w:pPr>
            <w:r>
              <w:rPr>
                <w:rFonts w:ascii="Arial" w:cs="Arial" w:eastAsia="Arial" w:hAnsi="Arial"/>
                <w:sz w:val="14"/>
                <w:szCs w:val="14"/>
                <w:color w:val="auto"/>
              </w:rPr>
              <w:t>554,089</w:t>
            </w:r>
          </w:p>
        </w:tc>
        <w:tc>
          <w:tcPr>
            <w:tcW w:w="80" w:type="dxa"/>
            <w:vAlign w:val="bottom"/>
            <w:shd w:val="clear" w:color="auto" w:fill="F0FFFF"/>
          </w:tcPr>
          <w:p>
            <w:pPr>
              <w:spacing w:after="0"/>
              <w:rPr>
                <w:sz w:val="12"/>
                <w:szCs w:val="12"/>
                <w:color w:val="auto"/>
              </w:rPr>
            </w:pPr>
          </w:p>
        </w:tc>
        <w:tc>
          <w:tcPr>
            <w:tcW w:w="86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4,217</w:t>
            </w: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940" w:type="dxa"/>
            <w:vAlign w:val="bottom"/>
            <w:tcBorders>
              <w:right w:val="single" w:sz="8" w:color="F0FFFF"/>
            </w:tcBorders>
            <w:shd w:val="clear" w:color="auto" w:fill="F0FFFF"/>
          </w:tcPr>
          <w:p>
            <w:pPr>
              <w:jc w:val="right"/>
              <w:ind w:right="28"/>
              <w:spacing w:after="0" w:line="149" w:lineRule="exact"/>
              <w:rPr>
                <w:sz w:val="20"/>
                <w:szCs w:val="20"/>
                <w:color w:val="auto"/>
              </w:rPr>
            </w:pPr>
            <w:r>
              <w:rPr>
                <w:rFonts w:ascii="Arial" w:cs="Arial" w:eastAsia="Arial" w:hAnsi="Arial"/>
                <w:sz w:val="14"/>
                <w:szCs w:val="14"/>
                <w:color w:val="auto"/>
              </w:rPr>
              <w:t>467,744</w:t>
            </w:r>
          </w:p>
        </w:tc>
        <w:tc>
          <w:tcPr>
            <w:tcW w:w="160" w:type="dxa"/>
            <w:vAlign w:val="bottom"/>
            <w:shd w:val="clear" w:color="auto" w:fill="F0FFFF"/>
          </w:tcPr>
          <w:p>
            <w:pPr>
              <w:spacing w:after="0"/>
              <w:rPr>
                <w:sz w:val="12"/>
                <w:szCs w:val="12"/>
                <w:color w:val="auto"/>
              </w:rPr>
            </w:pPr>
          </w:p>
        </w:tc>
        <w:tc>
          <w:tcPr>
            <w:tcW w:w="900" w:type="dxa"/>
            <w:vAlign w:val="bottom"/>
            <w:tcBorders>
              <w:right w:val="single" w:sz="8" w:color="F0FFFF"/>
            </w:tcBorders>
            <w:shd w:val="clear" w:color="auto" w:fill="F0FFFF"/>
          </w:tcPr>
          <w:p>
            <w:pPr>
              <w:jc w:val="right"/>
              <w:ind w:right="28"/>
              <w:spacing w:after="0" w:line="149" w:lineRule="exact"/>
              <w:rPr>
                <w:sz w:val="20"/>
                <w:szCs w:val="20"/>
                <w:color w:val="auto"/>
              </w:rPr>
            </w:pPr>
            <w:r>
              <w:rPr>
                <w:rFonts w:ascii="Arial" w:cs="Arial" w:eastAsia="Arial" w:hAnsi="Arial"/>
                <w:sz w:val="14"/>
                <w:szCs w:val="14"/>
                <w:color w:val="auto"/>
              </w:rPr>
              <w:t>471,961</w:t>
            </w:r>
          </w:p>
        </w:tc>
        <w:tc>
          <w:tcPr>
            <w:tcW w:w="80" w:type="dxa"/>
            <w:vAlign w:val="bottom"/>
            <w:shd w:val="clear" w:color="auto" w:fill="F0FFFF"/>
          </w:tcPr>
          <w:p>
            <w:pPr>
              <w:spacing w:after="0"/>
              <w:rPr>
                <w:sz w:val="12"/>
                <w:szCs w:val="12"/>
                <w:color w:val="auto"/>
              </w:rPr>
            </w:pPr>
          </w:p>
        </w:tc>
        <w:tc>
          <w:tcPr>
            <w:tcW w:w="980" w:type="dxa"/>
            <w:vAlign w:val="bottom"/>
            <w:tcBorders>
              <w:right w:val="single" w:sz="8" w:color="F0FFFF"/>
            </w:tcBorders>
            <w:shd w:val="clear" w:color="auto" w:fill="F0FFFF"/>
          </w:tcPr>
          <w:p>
            <w:pPr>
              <w:jc w:val="right"/>
              <w:ind w:right="48"/>
              <w:spacing w:after="0" w:line="149" w:lineRule="exact"/>
              <w:rPr>
                <w:sz w:val="20"/>
                <w:szCs w:val="20"/>
                <w:color w:val="auto"/>
              </w:rPr>
            </w:pPr>
            <w:r>
              <w:rPr>
                <w:rFonts w:ascii="Arial" w:cs="Arial" w:eastAsia="Arial" w:hAnsi="Arial"/>
                <w:sz w:val="14"/>
                <w:szCs w:val="14"/>
                <w:color w:val="auto"/>
              </w:rPr>
              <w:t>5,738</w:t>
            </w:r>
          </w:p>
        </w:tc>
        <w:tc>
          <w:tcPr>
            <w:tcW w:w="80" w:type="dxa"/>
            <w:vAlign w:val="bottom"/>
            <w:shd w:val="clear" w:color="auto" w:fill="F0FFFF"/>
          </w:tcPr>
          <w:p>
            <w:pPr>
              <w:spacing w:after="0"/>
              <w:rPr>
                <w:sz w:val="12"/>
                <w:szCs w:val="12"/>
                <w:color w:val="auto"/>
              </w:rPr>
            </w:pPr>
          </w:p>
        </w:tc>
        <w:tc>
          <w:tcPr>
            <w:tcW w:w="960" w:type="dxa"/>
            <w:vAlign w:val="bottom"/>
            <w:tcBorders>
              <w:right w:val="single" w:sz="8" w:color="F0FFFF"/>
            </w:tcBorders>
            <w:shd w:val="clear" w:color="auto" w:fill="F0FFFF"/>
          </w:tcPr>
          <w:p>
            <w:pPr>
              <w:jc w:val="right"/>
              <w:ind w:right="28"/>
              <w:spacing w:after="0" w:line="149" w:lineRule="exact"/>
              <w:rPr>
                <w:sz w:val="20"/>
                <w:szCs w:val="20"/>
                <w:color w:val="auto"/>
              </w:rPr>
            </w:pPr>
            <w:r>
              <w:rPr>
                <w:rFonts w:ascii="Arial" w:cs="Arial" w:eastAsia="Arial" w:hAnsi="Arial"/>
                <w:sz w:val="14"/>
                <w:szCs w:val="14"/>
                <w:color w:val="auto"/>
              </w:rPr>
              <w:t>431,250</w:t>
            </w:r>
          </w:p>
        </w:tc>
        <w:tc>
          <w:tcPr>
            <w:tcW w:w="160" w:type="dxa"/>
            <w:vAlign w:val="bottom"/>
            <w:shd w:val="clear" w:color="auto" w:fill="F0FFFF"/>
          </w:tcPr>
          <w:p>
            <w:pPr>
              <w:spacing w:after="0"/>
              <w:rPr>
                <w:sz w:val="12"/>
                <w:szCs w:val="12"/>
                <w:color w:val="auto"/>
              </w:rPr>
            </w:pPr>
          </w:p>
        </w:tc>
        <w:tc>
          <w:tcPr>
            <w:tcW w:w="94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436,988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160"/>
              <w:spacing w:after="0" w:line="149" w:lineRule="exact"/>
              <w:rPr>
                <w:sz w:val="20"/>
                <w:szCs w:val="20"/>
                <w:color w:val="auto"/>
              </w:rPr>
            </w:pPr>
            <w:r>
              <w:rPr>
                <w:rFonts w:ascii="Arial" w:cs="Arial" w:eastAsia="Arial" w:hAnsi="Arial"/>
                <w:sz w:val="14"/>
                <w:szCs w:val="14"/>
                <w:color w:val="auto"/>
              </w:rPr>
              <w:t>Commercial construction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11,214</w:t>
            </w:r>
          </w:p>
        </w:tc>
        <w:tc>
          <w:tcPr>
            <w:tcW w:w="1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148,541</w:t>
            </w:r>
          </w:p>
        </w:tc>
        <w:tc>
          <w:tcPr>
            <w:tcW w:w="160" w:type="dxa"/>
            <w:vAlign w:val="bottom"/>
          </w:tcPr>
          <w:p>
            <w:pPr>
              <w:spacing w:after="0"/>
              <w:rPr>
                <w:sz w:val="12"/>
                <w:szCs w:val="12"/>
                <w:color w:val="auto"/>
              </w:rPr>
            </w:pPr>
          </w:p>
        </w:tc>
        <w:tc>
          <w:tcPr>
            <w:tcW w:w="8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159,755</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13,715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135,188</w:t>
            </w:r>
          </w:p>
        </w:tc>
        <w:tc>
          <w:tcPr>
            <w:tcW w:w="160" w:type="dxa"/>
            <w:vAlign w:val="bottom"/>
          </w:tcPr>
          <w:p>
            <w:pPr>
              <w:spacing w:after="0"/>
              <w:rPr>
                <w:sz w:val="12"/>
                <w:szCs w:val="12"/>
                <w:color w:val="auto"/>
              </w:rPr>
            </w:pPr>
          </w:p>
        </w:tc>
        <w:tc>
          <w:tcPr>
            <w:tcW w:w="9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148,903</w:t>
            </w:r>
          </w:p>
        </w:tc>
        <w:tc>
          <w:tcPr>
            <w:tcW w:w="80" w:type="dxa"/>
            <w:vAlign w:val="bottom"/>
          </w:tcPr>
          <w:p>
            <w:pPr>
              <w:spacing w:after="0"/>
              <w:rPr>
                <w:sz w:val="12"/>
                <w:szCs w:val="12"/>
                <w:color w:val="auto"/>
              </w:rPr>
            </w:pP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12,955</w:t>
            </w:r>
          </w:p>
        </w:tc>
        <w:tc>
          <w:tcPr>
            <w:tcW w:w="80" w:type="dxa"/>
            <w:vAlign w:val="bottom"/>
          </w:tcPr>
          <w:p>
            <w:pPr>
              <w:spacing w:after="0"/>
              <w:rPr>
                <w:sz w:val="12"/>
                <w:szCs w:val="12"/>
                <w:color w:val="auto"/>
              </w:rPr>
            </w:pPr>
          </w:p>
        </w:tc>
        <w:tc>
          <w:tcPr>
            <w:tcW w:w="9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119,607</w:t>
            </w:r>
          </w:p>
        </w:tc>
        <w:tc>
          <w:tcPr>
            <w:tcW w:w="16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132,562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shd w:val="clear" w:color="auto" w:fill="F0FFFF"/>
          </w:tcPr>
          <w:p>
            <w:pPr>
              <w:ind w:left="160"/>
              <w:spacing w:after="0" w:line="149" w:lineRule="exact"/>
              <w:rPr>
                <w:sz w:val="20"/>
                <w:szCs w:val="20"/>
                <w:color w:val="auto"/>
              </w:rPr>
            </w:pPr>
            <w:r>
              <w:rPr>
                <w:rFonts w:ascii="Arial" w:cs="Arial" w:eastAsia="Arial" w:hAnsi="Arial"/>
                <w:sz w:val="14"/>
                <w:szCs w:val="14"/>
                <w:color w:val="auto"/>
              </w:rPr>
              <w:t>Residential mortgage</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60" w:type="dxa"/>
            <w:vAlign w:val="bottom"/>
            <w:tcBorders>
              <w:right w:val="single" w:sz="8" w:color="F0FFFF"/>
            </w:tcBorders>
            <w:shd w:val="clear" w:color="auto" w:fill="F0FFFF"/>
          </w:tcPr>
          <w:p>
            <w:pPr>
              <w:jc w:val="right"/>
              <w:ind w:right="28"/>
              <w:spacing w:after="0" w:line="149" w:lineRule="exact"/>
              <w:rPr>
                <w:sz w:val="20"/>
                <w:szCs w:val="20"/>
                <w:color w:val="auto"/>
              </w:rPr>
            </w:pPr>
            <w:r>
              <w:rPr>
                <w:rFonts w:ascii="Arial" w:cs="Arial" w:eastAsia="Arial" w:hAnsi="Arial"/>
                <w:sz w:val="14"/>
                <w:szCs w:val="14"/>
                <w:color w:val="auto"/>
              </w:rPr>
              <w:t>20,455</w:t>
            </w:r>
          </w:p>
        </w:tc>
        <w:tc>
          <w:tcPr>
            <w:tcW w:w="100" w:type="dxa"/>
            <w:vAlign w:val="bottom"/>
            <w:shd w:val="clear" w:color="auto" w:fill="F0FFFF"/>
          </w:tcPr>
          <w:p>
            <w:pPr>
              <w:spacing w:after="0"/>
              <w:rPr>
                <w:sz w:val="12"/>
                <w:szCs w:val="12"/>
                <w:color w:val="auto"/>
              </w:rPr>
            </w:pPr>
          </w:p>
        </w:tc>
        <w:tc>
          <w:tcPr>
            <w:tcW w:w="94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840,070</w:t>
            </w:r>
          </w:p>
        </w:tc>
        <w:tc>
          <w:tcPr>
            <w:tcW w:w="160" w:type="dxa"/>
            <w:vAlign w:val="bottom"/>
            <w:shd w:val="clear" w:color="auto" w:fill="F0FFFF"/>
          </w:tcPr>
          <w:p>
            <w:pPr>
              <w:spacing w:after="0"/>
              <w:rPr>
                <w:sz w:val="12"/>
                <w:szCs w:val="12"/>
                <w:color w:val="auto"/>
              </w:rPr>
            </w:pPr>
          </w:p>
        </w:tc>
        <w:tc>
          <w:tcPr>
            <w:tcW w:w="880" w:type="dxa"/>
            <w:vAlign w:val="bottom"/>
            <w:tcBorders>
              <w:right w:val="single" w:sz="8" w:color="F0FFFF"/>
            </w:tcBorders>
            <w:shd w:val="clear" w:color="auto" w:fill="F0FFFF"/>
          </w:tcPr>
          <w:p>
            <w:pPr>
              <w:jc w:val="right"/>
              <w:ind w:right="28"/>
              <w:spacing w:after="0" w:line="149" w:lineRule="exact"/>
              <w:rPr>
                <w:sz w:val="20"/>
                <w:szCs w:val="20"/>
                <w:color w:val="auto"/>
              </w:rPr>
            </w:pPr>
            <w:r>
              <w:rPr>
                <w:rFonts w:ascii="Arial" w:cs="Arial" w:eastAsia="Arial" w:hAnsi="Arial"/>
                <w:sz w:val="14"/>
                <w:szCs w:val="14"/>
                <w:color w:val="auto"/>
              </w:rPr>
              <w:t>860,525</w:t>
            </w:r>
          </w:p>
        </w:tc>
        <w:tc>
          <w:tcPr>
            <w:tcW w:w="80" w:type="dxa"/>
            <w:vAlign w:val="bottom"/>
            <w:shd w:val="clear" w:color="auto" w:fill="F0FFFF"/>
          </w:tcPr>
          <w:p>
            <w:pPr>
              <w:spacing w:after="0"/>
              <w:rPr>
                <w:sz w:val="12"/>
                <w:szCs w:val="12"/>
                <w:color w:val="auto"/>
              </w:rPr>
            </w:pPr>
          </w:p>
        </w:tc>
        <w:tc>
          <w:tcPr>
            <w:tcW w:w="86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20,167</w:t>
            </w: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940" w:type="dxa"/>
            <w:vAlign w:val="bottom"/>
            <w:tcBorders>
              <w:right w:val="single" w:sz="8" w:color="F0FFFF"/>
            </w:tcBorders>
            <w:shd w:val="clear" w:color="auto" w:fill="F0FFFF"/>
          </w:tcPr>
          <w:p>
            <w:pPr>
              <w:jc w:val="right"/>
              <w:ind w:right="28"/>
              <w:spacing w:after="0" w:line="149" w:lineRule="exact"/>
              <w:rPr>
                <w:sz w:val="20"/>
                <w:szCs w:val="20"/>
                <w:color w:val="auto"/>
              </w:rPr>
            </w:pPr>
            <w:r>
              <w:rPr>
                <w:rFonts w:ascii="Arial" w:cs="Arial" w:eastAsia="Arial" w:hAnsi="Arial"/>
                <w:sz w:val="14"/>
                <w:szCs w:val="14"/>
                <w:color w:val="auto"/>
              </w:rPr>
              <w:t>854,910</w:t>
            </w:r>
          </w:p>
        </w:tc>
        <w:tc>
          <w:tcPr>
            <w:tcW w:w="160" w:type="dxa"/>
            <w:vAlign w:val="bottom"/>
            <w:shd w:val="clear" w:color="auto" w:fill="F0FFFF"/>
          </w:tcPr>
          <w:p>
            <w:pPr>
              <w:spacing w:after="0"/>
              <w:rPr>
                <w:sz w:val="12"/>
                <w:szCs w:val="12"/>
                <w:color w:val="auto"/>
              </w:rPr>
            </w:pPr>
          </w:p>
        </w:tc>
        <w:tc>
          <w:tcPr>
            <w:tcW w:w="900" w:type="dxa"/>
            <w:vAlign w:val="bottom"/>
            <w:tcBorders>
              <w:right w:val="single" w:sz="8" w:color="F0FFFF"/>
            </w:tcBorders>
            <w:shd w:val="clear" w:color="auto" w:fill="F0FFFF"/>
          </w:tcPr>
          <w:p>
            <w:pPr>
              <w:jc w:val="right"/>
              <w:ind w:right="28"/>
              <w:spacing w:after="0" w:line="149" w:lineRule="exact"/>
              <w:rPr>
                <w:sz w:val="20"/>
                <w:szCs w:val="20"/>
                <w:color w:val="auto"/>
              </w:rPr>
            </w:pPr>
            <w:r>
              <w:rPr>
                <w:rFonts w:ascii="Arial" w:cs="Arial" w:eastAsia="Arial" w:hAnsi="Arial"/>
                <w:sz w:val="14"/>
                <w:szCs w:val="14"/>
                <w:color w:val="auto"/>
              </w:rPr>
              <w:t>875,077</w:t>
            </w:r>
          </w:p>
        </w:tc>
        <w:tc>
          <w:tcPr>
            <w:tcW w:w="80" w:type="dxa"/>
            <w:vAlign w:val="bottom"/>
            <w:shd w:val="clear" w:color="auto" w:fill="F0FFFF"/>
          </w:tcPr>
          <w:p>
            <w:pPr>
              <w:spacing w:after="0"/>
              <w:rPr>
                <w:sz w:val="12"/>
                <w:szCs w:val="12"/>
                <w:color w:val="auto"/>
              </w:rPr>
            </w:pPr>
          </w:p>
        </w:tc>
        <w:tc>
          <w:tcPr>
            <w:tcW w:w="980" w:type="dxa"/>
            <w:vAlign w:val="bottom"/>
            <w:tcBorders>
              <w:right w:val="single" w:sz="8" w:color="F0FFFF"/>
            </w:tcBorders>
            <w:shd w:val="clear" w:color="auto" w:fill="F0FFFF"/>
          </w:tcPr>
          <w:p>
            <w:pPr>
              <w:jc w:val="right"/>
              <w:ind w:right="48"/>
              <w:spacing w:after="0" w:line="149" w:lineRule="exact"/>
              <w:rPr>
                <w:sz w:val="20"/>
                <w:szCs w:val="20"/>
                <w:color w:val="auto"/>
              </w:rPr>
            </w:pPr>
            <w:r>
              <w:rPr>
                <w:rFonts w:ascii="Arial" w:cs="Arial" w:eastAsia="Arial" w:hAnsi="Arial"/>
                <w:sz w:val="14"/>
                <w:szCs w:val="14"/>
                <w:color w:val="auto"/>
              </w:rPr>
              <w:t>18,393</w:t>
            </w:r>
          </w:p>
        </w:tc>
        <w:tc>
          <w:tcPr>
            <w:tcW w:w="80" w:type="dxa"/>
            <w:vAlign w:val="bottom"/>
            <w:shd w:val="clear" w:color="auto" w:fill="F0FFFF"/>
          </w:tcPr>
          <w:p>
            <w:pPr>
              <w:spacing w:after="0"/>
              <w:rPr>
                <w:sz w:val="12"/>
                <w:szCs w:val="12"/>
                <w:color w:val="auto"/>
              </w:rPr>
            </w:pPr>
          </w:p>
        </w:tc>
        <w:tc>
          <w:tcPr>
            <w:tcW w:w="960" w:type="dxa"/>
            <w:vAlign w:val="bottom"/>
            <w:tcBorders>
              <w:right w:val="single" w:sz="8" w:color="F0FFFF"/>
            </w:tcBorders>
            <w:shd w:val="clear" w:color="auto" w:fill="F0FFFF"/>
          </w:tcPr>
          <w:p>
            <w:pPr>
              <w:jc w:val="right"/>
              <w:ind w:right="28"/>
              <w:spacing w:after="0" w:line="149" w:lineRule="exact"/>
              <w:rPr>
                <w:sz w:val="20"/>
                <w:szCs w:val="20"/>
                <w:color w:val="auto"/>
              </w:rPr>
            </w:pPr>
            <w:r>
              <w:rPr>
                <w:rFonts w:ascii="Arial" w:cs="Arial" w:eastAsia="Arial" w:hAnsi="Arial"/>
                <w:sz w:val="14"/>
                <w:szCs w:val="14"/>
                <w:color w:val="auto"/>
              </w:rPr>
              <w:t>858,215</w:t>
            </w:r>
          </w:p>
        </w:tc>
        <w:tc>
          <w:tcPr>
            <w:tcW w:w="160" w:type="dxa"/>
            <w:vAlign w:val="bottom"/>
            <w:shd w:val="clear" w:color="auto" w:fill="F0FFFF"/>
          </w:tcPr>
          <w:p>
            <w:pPr>
              <w:spacing w:after="0"/>
              <w:rPr>
                <w:sz w:val="12"/>
                <w:szCs w:val="12"/>
                <w:color w:val="auto"/>
              </w:rPr>
            </w:pPr>
          </w:p>
        </w:tc>
        <w:tc>
          <w:tcPr>
            <w:tcW w:w="94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876,608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160"/>
              <w:spacing w:after="0" w:line="149" w:lineRule="exact"/>
              <w:rPr>
                <w:sz w:val="20"/>
                <w:szCs w:val="20"/>
                <w:color w:val="auto"/>
              </w:rPr>
            </w:pPr>
            <w:r>
              <w:rPr>
                <w:rFonts w:ascii="Arial" w:cs="Arial" w:eastAsia="Arial" w:hAnsi="Arial"/>
                <w:sz w:val="14"/>
                <w:szCs w:val="14"/>
                <w:color w:val="auto"/>
              </w:rPr>
              <w:t>Home equity lines of credit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540</w:t>
            </w:r>
          </w:p>
        </w:tc>
        <w:tc>
          <w:tcPr>
            <w:tcW w:w="1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450,895</w:t>
            </w:r>
          </w:p>
        </w:tc>
        <w:tc>
          <w:tcPr>
            <w:tcW w:w="160" w:type="dxa"/>
            <w:vAlign w:val="bottom"/>
          </w:tcPr>
          <w:p>
            <w:pPr>
              <w:spacing w:after="0"/>
              <w:rPr>
                <w:sz w:val="12"/>
                <w:szCs w:val="12"/>
                <w:color w:val="auto"/>
              </w:rPr>
            </w:pPr>
          </w:p>
        </w:tc>
        <w:tc>
          <w:tcPr>
            <w:tcW w:w="8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451,435</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505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440,382</w:t>
            </w:r>
          </w:p>
        </w:tc>
        <w:tc>
          <w:tcPr>
            <w:tcW w:w="160" w:type="dxa"/>
            <w:vAlign w:val="bottom"/>
          </w:tcPr>
          <w:p>
            <w:pPr>
              <w:spacing w:after="0"/>
              <w:rPr>
                <w:sz w:val="12"/>
                <w:szCs w:val="12"/>
                <w:color w:val="auto"/>
              </w:rPr>
            </w:pPr>
          </w:p>
        </w:tc>
        <w:tc>
          <w:tcPr>
            <w:tcW w:w="9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440,887</w:t>
            </w:r>
          </w:p>
        </w:tc>
        <w:tc>
          <w:tcPr>
            <w:tcW w:w="80" w:type="dxa"/>
            <w:vAlign w:val="bottom"/>
          </w:tcPr>
          <w:p>
            <w:pPr>
              <w:spacing w:after="0"/>
              <w:rPr>
                <w:sz w:val="12"/>
                <w:szCs w:val="12"/>
                <w:color w:val="auto"/>
              </w:rPr>
            </w:pP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401,951</w:t>
            </w:r>
          </w:p>
        </w:tc>
        <w:tc>
          <w:tcPr>
            <w:tcW w:w="16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401,951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shd w:val="clear" w:color="auto" w:fill="F0FFFF"/>
          </w:tcPr>
          <w:p>
            <w:pPr>
              <w:ind w:left="160"/>
              <w:spacing w:after="0" w:line="149" w:lineRule="exact"/>
              <w:rPr>
                <w:sz w:val="20"/>
                <w:szCs w:val="20"/>
                <w:color w:val="auto"/>
              </w:rPr>
            </w:pPr>
            <w:r>
              <w:rPr>
                <w:rFonts w:ascii="Arial" w:cs="Arial" w:eastAsia="Arial" w:hAnsi="Arial"/>
                <w:sz w:val="14"/>
                <w:szCs w:val="14"/>
                <w:color w:val="auto"/>
              </w:rPr>
              <w:t>Residential construction</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60" w:type="dxa"/>
            <w:vAlign w:val="bottom"/>
            <w:tcBorders>
              <w:right w:val="single" w:sz="8" w:color="F0FFFF"/>
            </w:tcBorders>
            <w:shd w:val="clear" w:color="auto" w:fill="F0FFFF"/>
          </w:tcPr>
          <w:p>
            <w:pPr>
              <w:jc w:val="right"/>
              <w:ind w:right="28"/>
              <w:spacing w:after="0" w:line="149" w:lineRule="exact"/>
              <w:rPr>
                <w:sz w:val="20"/>
                <w:szCs w:val="20"/>
                <w:color w:val="auto"/>
              </w:rPr>
            </w:pPr>
            <w:r>
              <w:rPr>
                <w:rFonts w:ascii="Arial" w:cs="Arial" w:eastAsia="Arial" w:hAnsi="Arial"/>
                <w:sz w:val="14"/>
                <w:szCs w:val="14"/>
                <w:color w:val="auto"/>
              </w:rPr>
              <w:t>13,320</w:t>
            </w:r>
          </w:p>
        </w:tc>
        <w:tc>
          <w:tcPr>
            <w:tcW w:w="100" w:type="dxa"/>
            <w:vAlign w:val="bottom"/>
            <w:shd w:val="clear" w:color="auto" w:fill="F0FFFF"/>
          </w:tcPr>
          <w:p>
            <w:pPr>
              <w:spacing w:after="0"/>
              <w:rPr>
                <w:sz w:val="12"/>
                <w:szCs w:val="12"/>
                <w:color w:val="auto"/>
              </w:rPr>
            </w:pPr>
          </w:p>
        </w:tc>
        <w:tc>
          <w:tcPr>
            <w:tcW w:w="94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288,417</w:t>
            </w:r>
          </w:p>
        </w:tc>
        <w:tc>
          <w:tcPr>
            <w:tcW w:w="160" w:type="dxa"/>
            <w:vAlign w:val="bottom"/>
            <w:shd w:val="clear" w:color="auto" w:fill="F0FFFF"/>
          </w:tcPr>
          <w:p>
            <w:pPr>
              <w:spacing w:after="0"/>
              <w:rPr>
                <w:sz w:val="12"/>
                <w:szCs w:val="12"/>
                <w:color w:val="auto"/>
              </w:rPr>
            </w:pPr>
          </w:p>
        </w:tc>
        <w:tc>
          <w:tcPr>
            <w:tcW w:w="880" w:type="dxa"/>
            <w:vAlign w:val="bottom"/>
            <w:tcBorders>
              <w:right w:val="single" w:sz="8" w:color="F0FFFF"/>
            </w:tcBorders>
            <w:shd w:val="clear" w:color="auto" w:fill="F0FFFF"/>
          </w:tcPr>
          <w:p>
            <w:pPr>
              <w:jc w:val="right"/>
              <w:ind w:right="28"/>
              <w:spacing w:after="0" w:line="149" w:lineRule="exact"/>
              <w:rPr>
                <w:sz w:val="20"/>
                <w:szCs w:val="20"/>
                <w:color w:val="auto"/>
              </w:rPr>
            </w:pPr>
            <w:r>
              <w:rPr>
                <w:rFonts w:ascii="Arial" w:cs="Arial" w:eastAsia="Arial" w:hAnsi="Arial"/>
                <w:sz w:val="14"/>
                <w:szCs w:val="14"/>
                <w:color w:val="auto"/>
              </w:rPr>
              <w:t>301,737</w:t>
            </w:r>
          </w:p>
        </w:tc>
        <w:tc>
          <w:tcPr>
            <w:tcW w:w="80" w:type="dxa"/>
            <w:vAlign w:val="bottom"/>
            <w:shd w:val="clear" w:color="auto" w:fill="F0FFFF"/>
          </w:tcPr>
          <w:p>
            <w:pPr>
              <w:spacing w:after="0"/>
              <w:rPr>
                <w:sz w:val="12"/>
                <w:szCs w:val="12"/>
                <w:color w:val="auto"/>
              </w:rPr>
            </w:pPr>
          </w:p>
        </w:tc>
        <w:tc>
          <w:tcPr>
            <w:tcW w:w="86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14,808</w:t>
            </w: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940" w:type="dxa"/>
            <w:vAlign w:val="bottom"/>
            <w:tcBorders>
              <w:right w:val="single" w:sz="8" w:color="F0FFFF"/>
            </w:tcBorders>
            <w:shd w:val="clear" w:color="auto" w:fill="F0FFFF"/>
          </w:tcPr>
          <w:p>
            <w:pPr>
              <w:jc w:val="right"/>
              <w:ind w:right="28"/>
              <w:spacing w:after="0" w:line="149" w:lineRule="exact"/>
              <w:rPr>
                <w:sz w:val="20"/>
                <w:szCs w:val="20"/>
                <w:color w:val="auto"/>
              </w:rPr>
            </w:pPr>
            <w:r>
              <w:rPr>
                <w:rFonts w:ascii="Arial" w:cs="Arial" w:eastAsia="Arial" w:hAnsi="Arial"/>
                <w:sz w:val="14"/>
                <w:szCs w:val="14"/>
                <w:color w:val="auto"/>
              </w:rPr>
              <w:t>313,771</w:t>
            </w:r>
          </w:p>
        </w:tc>
        <w:tc>
          <w:tcPr>
            <w:tcW w:w="160" w:type="dxa"/>
            <w:vAlign w:val="bottom"/>
            <w:shd w:val="clear" w:color="auto" w:fill="F0FFFF"/>
          </w:tcPr>
          <w:p>
            <w:pPr>
              <w:spacing w:after="0"/>
              <w:rPr>
                <w:sz w:val="12"/>
                <w:szCs w:val="12"/>
                <w:color w:val="auto"/>
              </w:rPr>
            </w:pPr>
          </w:p>
        </w:tc>
        <w:tc>
          <w:tcPr>
            <w:tcW w:w="900" w:type="dxa"/>
            <w:vAlign w:val="bottom"/>
            <w:tcBorders>
              <w:right w:val="single" w:sz="8" w:color="F0FFFF"/>
            </w:tcBorders>
            <w:shd w:val="clear" w:color="auto" w:fill="F0FFFF"/>
          </w:tcPr>
          <w:p>
            <w:pPr>
              <w:jc w:val="right"/>
              <w:ind w:right="28"/>
              <w:spacing w:after="0" w:line="149" w:lineRule="exact"/>
              <w:rPr>
                <w:sz w:val="20"/>
                <w:szCs w:val="20"/>
                <w:color w:val="auto"/>
              </w:rPr>
            </w:pPr>
            <w:r>
              <w:rPr>
                <w:rFonts w:ascii="Arial" w:cs="Arial" w:eastAsia="Arial" w:hAnsi="Arial"/>
                <w:sz w:val="14"/>
                <w:szCs w:val="14"/>
                <w:color w:val="auto"/>
              </w:rPr>
              <w:t>328,579</w:t>
            </w:r>
          </w:p>
        </w:tc>
        <w:tc>
          <w:tcPr>
            <w:tcW w:w="80" w:type="dxa"/>
            <w:vAlign w:val="bottom"/>
            <w:shd w:val="clear" w:color="auto" w:fill="F0FFFF"/>
          </w:tcPr>
          <w:p>
            <w:pPr>
              <w:spacing w:after="0"/>
              <w:rPr>
                <w:sz w:val="12"/>
                <w:szCs w:val="12"/>
                <w:color w:val="auto"/>
              </w:rPr>
            </w:pPr>
          </w:p>
        </w:tc>
        <w:tc>
          <w:tcPr>
            <w:tcW w:w="980" w:type="dxa"/>
            <w:vAlign w:val="bottom"/>
            <w:tcBorders>
              <w:right w:val="single" w:sz="8" w:color="F0FFFF"/>
            </w:tcBorders>
            <w:shd w:val="clear" w:color="auto" w:fill="F0FFFF"/>
          </w:tcPr>
          <w:p>
            <w:pPr>
              <w:jc w:val="right"/>
              <w:ind w:right="48"/>
              <w:spacing w:after="0" w:line="149" w:lineRule="exact"/>
              <w:rPr>
                <w:sz w:val="20"/>
                <w:szCs w:val="20"/>
                <w:color w:val="auto"/>
              </w:rPr>
            </w:pPr>
            <w:r>
              <w:rPr>
                <w:rFonts w:ascii="Arial" w:cs="Arial" w:eastAsia="Arial" w:hAnsi="Arial"/>
                <w:sz w:val="14"/>
                <w:szCs w:val="14"/>
                <w:color w:val="auto"/>
              </w:rPr>
              <w:t>14,095</w:t>
            </w:r>
          </w:p>
        </w:tc>
        <w:tc>
          <w:tcPr>
            <w:tcW w:w="80" w:type="dxa"/>
            <w:vAlign w:val="bottom"/>
            <w:shd w:val="clear" w:color="auto" w:fill="F0FFFF"/>
          </w:tcPr>
          <w:p>
            <w:pPr>
              <w:spacing w:after="0"/>
              <w:rPr>
                <w:sz w:val="12"/>
                <w:szCs w:val="12"/>
                <w:color w:val="auto"/>
              </w:rPr>
            </w:pPr>
          </w:p>
        </w:tc>
        <w:tc>
          <w:tcPr>
            <w:tcW w:w="960" w:type="dxa"/>
            <w:vAlign w:val="bottom"/>
            <w:tcBorders>
              <w:right w:val="single" w:sz="8" w:color="F0FFFF"/>
            </w:tcBorders>
            <w:shd w:val="clear" w:color="auto" w:fill="F0FFFF"/>
          </w:tcPr>
          <w:p>
            <w:pPr>
              <w:jc w:val="right"/>
              <w:ind w:right="28"/>
              <w:spacing w:after="0" w:line="149" w:lineRule="exact"/>
              <w:rPr>
                <w:sz w:val="20"/>
                <w:szCs w:val="20"/>
                <w:color w:val="auto"/>
              </w:rPr>
            </w:pPr>
            <w:r>
              <w:rPr>
                <w:rFonts w:ascii="Arial" w:cs="Arial" w:eastAsia="Arial" w:hAnsi="Arial"/>
                <w:sz w:val="14"/>
                <w:szCs w:val="14"/>
                <w:color w:val="auto"/>
              </w:rPr>
              <w:t>317,586</w:t>
            </w:r>
          </w:p>
        </w:tc>
        <w:tc>
          <w:tcPr>
            <w:tcW w:w="160" w:type="dxa"/>
            <w:vAlign w:val="bottom"/>
            <w:shd w:val="clear" w:color="auto" w:fill="F0FFFF"/>
          </w:tcPr>
          <w:p>
            <w:pPr>
              <w:spacing w:after="0"/>
              <w:rPr>
                <w:sz w:val="12"/>
                <w:szCs w:val="12"/>
                <w:color w:val="auto"/>
              </w:rPr>
            </w:pPr>
          </w:p>
        </w:tc>
        <w:tc>
          <w:tcPr>
            <w:tcW w:w="94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331,681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tcPr>
          <w:p>
            <w:pPr>
              <w:ind w:left="160"/>
              <w:spacing w:after="0" w:line="149" w:lineRule="exact"/>
              <w:rPr>
                <w:sz w:val="20"/>
                <w:szCs w:val="20"/>
                <w:color w:val="auto"/>
              </w:rPr>
            </w:pPr>
            <w:r>
              <w:rPr>
                <w:rFonts w:ascii="Arial" w:cs="Arial" w:eastAsia="Arial" w:hAnsi="Arial"/>
                <w:sz w:val="14"/>
                <w:szCs w:val="14"/>
                <w:color w:val="auto"/>
              </w:rPr>
              <w:t>Consumer installment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329</w:t>
            </w:r>
          </w:p>
        </w:tc>
        <w:tc>
          <w:tcPr>
            <w:tcW w:w="1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104,831</w:t>
            </w:r>
          </w:p>
        </w:tc>
        <w:tc>
          <w:tcPr>
            <w:tcW w:w="160" w:type="dxa"/>
            <w:vAlign w:val="bottom"/>
          </w:tcPr>
          <w:p>
            <w:pPr>
              <w:spacing w:after="0"/>
              <w:rPr>
                <w:sz w:val="12"/>
                <w:szCs w:val="12"/>
                <w:color w:val="auto"/>
              </w:rPr>
            </w:pPr>
          </w:p>
        </w:tc>
        <w:tc>
          <w:tcPr>
            <w:tcW w:w="88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105,160</w:t>
            </w:r>
          </w:p>
        </w:tc>
        <w:tc>
          <w:tcPr>
            <w:tcW w:w="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999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110,046</w:t>
            </w:r>
          </w:p>
        </w:tc>
        <w:tc>
          <w:tcPr>
            <w:tcW w:w="160" w:type="dxa"/>
            <w:vAlign w:val="bottom"/>
          </w:tcPr>
          <w:p>
            <w:pPr>
              <w:spacing w:after="0"/>
              <w:rPr>
                <w:sz w:val="12"/>
                <w:szCs w:val="12"/>
                <w:color w:val="auto"/>
              </w:rPr>
            </w:pPr>
          </w:p>
        </w:tc>
        <w:tc>
          <w:tcPr>
            <w:tcW w:w="9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111,045</w:t>
            </w:r>
          </w:p>
        </w:tc>
        <w:tc>
          <w:tcPr>
            <w:tcW w:w="80" w:type="dxa"/>
            <w:vAlign w:val="bottom"/>
          </w:tcPr>
          <w:p>
            <w:pPr>
              <w:spacing w:after="0"/>
              <w:rPr>
                <w:sz w:val="12"/>
                <w:szCs w:val="12"/>
                <w:color w:val="auto"/>
              </w:rPr>
            </w:pPr>
          </w:p>
        </w:tc>
        <w:tc>
          <w:tcPr>
            <w:tcW w:w="9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337</w:t>
            </w:r>
          </w:p>
        </w:tc>
        <w:tc>
          <w:tcPr>
            <w:tcW w:w="80" w:type="dxa"/>
            <w:vAlign w:val="bottom"/>
          </w:tcPr>
          <w:p>
            <w:pPr>
              <w:spacing w:after="0"/>
              <w:rPr>
                <w:sz w:val="12"/>
                <w:szCs w:val="12"/>
                <w:color w:val="auto"/>
              </w:rPr>
            </w:pPr>
          </w:p>
        </w:tc>
        <w:tc>
          <w:tcPr>
            <w:tcW w:w="960" w:type="dxa"/>
            <w:vAlign w:val="bottom"/>
          </w:tcPr>
          <w:p>
            <w:pPr>
              <w:jc w:val="right"/>
              <w:ind w:right="28"/>
              <w:spacing w:after="0" w:line="149" w:lineRule="exact"/>
              <w:rPr>
                <w:sz w:val="20"/>
                <w:szCs w:val="20"/>
                <w:color w:val="auto"/>
              </w:rPr>
            </w:pPr>
            <w:r>
              <w:rPr>
                <w:rFonts w:ascii="Arial" w:cs="Arial" w:eastAsia="Arial" w:hAnsi="Arial"/>
                <w:sz w:val="14"/>
                <w:szCs w:val="14"/>
                <w:color w:val="auto"/>
              </w:rPr>
              <w:t>108,886</w:t>
            </w:r>
          </w:p>
        </w:tc>
        <w:tc>
          <w:tcPr>
            <w:tcW w:w="16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109,223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40" w:type="dxa"/>
            <w:vAlign w:val="bottom"/>
            <w:shd w:val="clear" w:color="auto" w:fill="F0FFFF"/>
          </w:tcPr>
          <w:p>
            <w:pPr>
              <w:ind w:left="160"/>
              <w:spacing w:after="0" w:line="149" w:lineRule="exact"/>
              <w:rPr>
                <w:sz w:val="20"/>
                <w:szCs w:val="20"/>
                <w:color w:val="auto"/>
              </w:rPr>
            </w:pPr>
            <w:r>
              <w:rPr>
                <w:rFonts w:ascii="Arial" w:cs="Arial" w:eastAsia="Arial" w:hAnsi="Arial"/>
                <w:sz w:val="14"/>
                <w:szCs w:val="14"/>
                <w:color w:val="auto"/>
              </w:rPr>
              <w:t>Indirect auto</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60" w:type="dxa"/>
            <w:vAlign w:val="bottom"/>
            <w:tcBorders>
              <w:right w:val="single" w:sz="8" w:color="F0FFFF"/>
            </w:tcBorders>
            <w:shd w:val="clear" w:color="auto" w:fill="F0FF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2"/>
                <w:szCs w:val="12"/>
                <w:color w:val="auto"/>
              </w:rPr>
            </w:pPr>
          </w:p>
        </w:tc>
        <w:tc>
          <w:tcPr>
            <w:tcW w:w="84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215,939</w:t>
            </w:r>
          </w:p>
        </w:tc>
        <w:tc>
          <w:tcPr>
            <w:tcW w:w="100" w:type="dxa"/>
            <w:vAlign w:val="bottom"/>
            <w:shd w:val="clear" w:color="auto" w:fill="F0FFFF"/>
          </w:tcPr>
          <w:p>
            <w:pPr>
              <w:spacing w:after="0"/>
              <w:rPr>
                <w:sz w:val="12"/>
                <w:szCs w:val="12"/>
                <w:color w:val="auto"/>
              </w:rPr>
            </w:pPr>
          </w:p>
        </w:tc>
        <w:tc>
          <w:tcPr>
            <w:tcW w:w="160" w:type="dxa"/>
            <w:vAlign w:val="bottom"/>
            <w:shd w:val="clear" w:color="auto" w:fill="F0FFFF"/>
          </w:tcPr>
          <w:p>
            <w:pPr>
              <w:spacing w:after="0"/>
              <w:rPr>
                <w:sz w:val="12"/>
                <w:szCs w:val="12"/>
                <w:color w:val="auto"/>
              </w:rPr>
            </w:pPr>
          </w:p>
        </w:tc>
        <w:tc>
          <w:tcPr>
            <w:tcW w:w="880" w:type="dxa"/>
            <w:vAlign w:val="bottom"/>
            <w:tcBorders>
              <w:right w:val="single" w:sz="8" w:color="F0FFFF"/>
            </w:tcBorders>
            <w:shd w:val="clear" w:color="auto" w:fill="F0FFFF"/>
          </w:tcPr>
          <w:p>
            <w:pPr>
              <w:jc w:val="right"/>
              <w:ind w:right="28"/>
              <w:spacing w:after="0" w:line="149" w:lineRule="exact"/>
              <w:rPr>
                <w:sz w:val="20"/>
                <w:szCs w:val="20"/>
                <w:color w:val="auto"/>
              </w:rPr>
            </w:pPr>
            <w:r>
              <w:rPr>
                <w:rFonts w:ascii="Arial" w:cs="Arial" w:eastAsia="Arial" w:hAnsi="Arial"/>
                <w:sz w:val="14"/>
                <w:szCs w:val="14"/>
                <w:color w:val="auto"/>
              </w:rPr>
              <w:t>215,939</w:t>
            </w:r>
          </w:p>
        </w:tc>
        <w:tc>
          <w:tcPr>
            <w:tcW w:w="80" w:type="dxa"/>
            <w:vAlign w:val="bottom"/>
            <w:shd w:val="clear" w:color="auto" w:fill="F0FFFF"/>
          </w:tcPr>
          <w:p>
            <w:pPr>
              <w:spacing w:after="0"/>
              <w:rPr>
                <w:sz w:val="12"/>
                <w:szCs w:val="12"/>
                <w:color w:val="auto"/>
              </w:rPr>
            </w:pPr>
          </w:p>
        </w:tc>
        <w:tc>
          <w:tcPr>
            <w:tcW w:w="86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940" w:type="dxa"/>
            <w:vAlign w:val="bottom"/>
            <w:tcBorders>
              <w:right w:val="single" w:sz="8" w:color="F0FFFF"/>
            </w:tcBorders>
            <w:shd w:val="clear" w:color="auto" w:fill="F0FFFF"/>
          </w:tcPr>
          <w:p>
            <w:pPr>
              <w:jc w:val="right"/>
              <w:ind w:right="28"/>
              <w:spacing w:after="0" w:line="149" w:lineRule="exact"/>
              <w:rPr>
                <w:sz w:val="20"/>
                <w:szCs w:val="20"/>
                <w:color w:val="auto"/>
              </w:rPr>
            </w:pPr>
            <w:r>
              <w:rPr>
                <w:rFonts w:ascii="Arial" w:cs="Arial" w:eastAsia="Arial" w:hAnsi="Arial"/>
                <w:sz w:val="14"/>
                <w:szCs w:val="14"/>
                <w:color w:val="auto"/>
              </w:rPr>
              <w:t>196,104</w:t>
            </w:r>
          </w:p>
        </w:tc>
        <w:tc>
          <w:tcPr>
            <w:tcW w:w="160" w:type="dxa"/>
            <w:vAlign w:val="bottom"/>
            <w:shd w:val="clear" w:color="auto" w:fill="F0FFFF"/>
          </w:tcPr>
          <w:p>
            <w:pPr>
              <w:spacing w:after="0"/>
              <w:rPr>
                <w:sz w:val="12"/>
                <w:szCs w:val="12"/>
                <w:color w:val="auto"/>
              </w:rPr>
            </w:pPr>
          </w:p>
        </w:tc>
        <w:tc>
          <w:tcPr>
            <w:tcW w:w="900" w:type="dxa"/>
            <w:vAlign w:val="bottom"/>
            <w:tcBorders>
              <w:right w:val="single" w:sz="8" w:color="F0FFFF"/>
            </w:tcBorders>
            <w:shd w:val="clear" w:color="auto" w:fill="F0FFFF"/>
          </w:tcPr>
          <w:p>
            <w:pPr>
              <w:jc w:val="right"/>
              <w:ind w:right="28"/>
              <w:spacing w:after="0" w:line="149" w:lineRule="exact"/>
              <w:rPr>
                <w:sz w:val="20"/>
                <w:szCs w:val="20"/>
                <w:color w:val="auto"/>
              </w:rPr>
            </w:pPr>
            <w:r>
              <w:rPr>
                <w:rFonts w:ascii="Arial" w:cs="Arial" w:eastAsia="Arial" w:hAnsi="Arial"/>
                <w:sz w:val="14"/>
                <w:szCs w:val="14"/>
                <w:color w:val="auto"/>
              </w:rPr>
              <w:t>196,104</w:t>
            </w:r>
          </w:p>
        </w:tc>
        <w:tc>
          <w:tcPr>
            <w:tcW w:w="80" w:type="dxa"/>
            <w:vAlign w:val="bottom"/>
            <w:shd w:val="clear" w:color="auto" w:fill="F0FFFF"/>
          </w:tcPr>
          <w:p>
            <w:pPr>
              <w:spacing w:after="0"/>
              <w:rPr>
                <w:sz w:val="12"/>
                <w:szCs w:val="12"/>
                <w:color w:val="auto"/>
              </w:rPr>
            </w:pPr>
          </w:p>
        </w:tc>
        <w:tc>
          <w:tcPr>
            <w:tcW w:w="980" w:type="dxa"/>
            <w:vAlign w:val="bottom"/>
            <w:tcBorders>
              <w:right w:val="single" w:sz="8" w:color="F0FFFF"/>
            </w:tcBorders>
            <w:shd w:val="clear" w:color="auto" w:fill="F0FF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2"/>
                <w:szCs w:val="12"/>
                <w:color w:val="auto"/>
              </w:rPr>
            </w:pPr>
          </w:p>
        </w:tc>
        <w:tc>
          <w:tcPr>
            <w:tcW w:w="960" w:type="dxa"/>
            <w:vAlign w:val="bottom"/>
            <w:tcBorders>
              <w:right w:val="single" w:sz="8" w:color="F0FFFF"/>
            </w:tcBorders>
            <w:shd w:val="clear" w:color="auto" w:fill="F0FFFF"/>
          </w:tcPr>
          <w:p>
            <w:pPr>
              <w:jc w:val="right"/>
              <w:ind w:right="28"/>
              <w:spacing w:after="0" w:line="149" w:lineRule="exact"/>
              <w:rPr>
                <w:sz w:val="20"/>
                <w:szCs w:val="20"/>
                <w:color w:val="auto"/>
              </w:rPr>
            </w:pPr>
            <w:r>
              <w:rPr>
                <w:rFonts w:ascii="Arial" w:cs="Arial" w:eastAsia="Arial" w:hAnsi="Arial"/>
                <w:sz w:val="14"/>
                <w:szCs w:val="14"/>
                <w:color w:val="auto"/>
              </w:rPr>
              <w:t>152,210</w:t>
            </w:r>
          </w:p>
        </w:tc>
        <w:tc>
          <w:tcPr>
            <w:tcW w:w="160" w:type="dxa"/>
            <w:vAlign w:val="bottom"/>
            <w:shd w:val="clear" w:color="auto" w:fill="F0FFFF"/>
          </w:tcPr>
          <w:p>
            <w:pPr>
              <w:spacing w:after="0"/>
              <w:rPr>
                <w:sz w:val="12"/>
                <w:szCs w:val="12"/>
                <w:color w:val="auto"/>
              </w:rPr>
            </w:pPr>
          </w:p>
        </w:tc>
        <w:tc>
          <w:tcPr>
            <w:tcW w:w="94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152,210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tcBorders>
              <w:right w:val="single" w:sz="8" w:color="F0FFFF"/>
            </w:tcBorders>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tcBorders>
              <w:right w:val="single" w:sz="8" w:color="F0FFFF"/>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tcBorders>
              <w:right w:val="single" w:sz="8" w:color="F0FFFF"/>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tcBorders>
              <w:right w:val="single" w:sz="8" w:color="F0FFFF"/>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tcBorders>
              <w:right w:val="single" w:sz="8" w:color="F0FFFF"/>
            </w:tcBorders>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tcBorders>
              <w:right w:val="single" w:sz="8" w:color="F0FFFF"/>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ind w:left="320"/>
              <w:spacing w:after="0"/>
              <w:rPr>
                <w:sz w:val="20"/>
                <w:szCs w:val="20"/>
                <w:color w:val="auto"/>
              </w:rPr>
            </w:pPr>
            <w:r>
              <w:rPr>
                <w:rFonts w:ascii="Arial" w:cs="Arial" w:eastAsia="Arial" w:hAnsi="Arial"/>
                <w:sz w:val="14"/>
                <w:szCs w:val="14"/>
                <w:color w:val="auto"/>
              </w:rPr>
              <w:t>Total loans</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107,496</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4,302,789</w:t>
            </w:r>
          </w:p>
        </w:tc>
        <w:tc>
          <w:tcPr>
            <w:tcW w:w="10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4,410,285</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114,619</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4,214,647</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4,329,266</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103,815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4,085,553</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4,189,368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United considers all substandard loan relationships that are on nonaccrual with a balance of $500,000 or greater and all troubled debt restructurings (“TDRs”) to be individually impaired. In addition, United reviews all accruing substandard loan relationships greater than $2 million to determine if the loan is individually impaired. A loan is considered individually impaired when, based on current events and circumstances, it is probable that all amounts due, according to the contractual terms of the loan, will not be collected. All TDRs are considered individually impaired regardless of accrual status. Impairment is measured based on the present value of expected future cash flows, discounted at the loan’s effective interest rate, the loan’s observable market price, or the fair value of the collateral if the loan is collateral dependent. A specific reserve is established for individually impaired loans for the amount of calculated impairment. Interest payments received on individually impaired nonaccrual loans are applied as a reduction of the outstanding principal balance. For impaired loans not on nonaccrual status, interest is accrued according to the terms of the loan agreement. Loans are evaluated for individual impairment quarterly and specific reserves are established in the allowance for loan losses for any measured specific impairment on individually impaired loans.</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Each quarter, United’s management prepares an analysis of the allowance for credit losses to determine the appropriate balance that measures and quantifies the amount of probable incurred loss in the loan portfolio. The allowance is comprised of specific reserves on individually impaired loans, which are determined as described above, and general reserves which are determined based on historical loss experience as adjusted for current trends and economic conditions multiplied by a loss emergence period factor. United uses eight quarters of historical loss experience weighted toward the most recent four quarters to determine the loss factors to be used in the reserve calculation for loans evaluated in the aggregate. Eight quarters has been determined to be an appropriate time period as it is recent enough to be relevant to current conditions and covers a length of time sufficient to minimize distortions caused by nonrecurring and unusual activity that might otherwise influence a shorter time period. In previous periods, the weighted average was calculated by multiplying each quarter’s annualized historical net charge-off rate by 1 through 8, with 8 representing the most recent quarter and 1 representing the oldest quarter. United adopted this method of weighting quarterly loss rates to capture the rapidly deteriorating credit conditions in its loss factors during the financial crisis. Now that credit conditions have begun to stabilize, management concluded in the first quarter of 2014 that it was appropriate to apply a more level weighting moving forward to capture the full range and impacts of credit losses experienced during the most recent economic and credit cycle. For the four most recent quarters, United applied a weighting factor of 1.75. For the four oldest quarters, United applied a weighting of 1.00 for each quarterly loss factor. Management believes the current weightings are more appropriate to measure the unconfirmed losses incurred within the loan portfolio.</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1"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Also, beginning in the first quarter of 2014, United updated its measurement of the loss emergence period in the calculation of the allowance for credit losses. The rapidly deteriorating credit conditions during the peak of the credit cycle shortened the length of</w:t>
      </w:r>
    </w:p>
    <w:p>
      <w:pPr>
        <w:spacing w:after="0" w:line="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time </w:t>
      </w:r>
      <w:r>
        <w:rPr>
          <w:rFonts w:ascii="Arial" w:cs="Arial" w:eastAsia="Arial" w:hAnsi="Arial"/>
          <w:sz w:val="18"/>
          <w:szCs w:val="18"/>
          <w:color w:val="auto"/>
        </w:rPr>
        <w:t>between management’s estimation of the incurrence of a loss and its recognition as a charge-off. In most cases, the loss emergence period was within a</w:t>
      </w:r>
      <w:r>
        <w:rPr>
          <w:rFonts w:ascii="Arial" w:cs="Arial" w:eastAsia="Arial" w:hAnsi="Arial"/>
          <w:sz w:val="22"/>
          <w:szCs w:val="22"/>
          <w:color w:val="auto"/>
        </w:rPr>
        <w:t xml:space="preserve"> </w:t>
      </w:r>
      <w:r>
        <w:rPr>
          <w:rFonts w:ascii="Arial" w:cs="Arial" w:eastAsia="Arial" w:hAnsi="Arial"/>
          <w:sz w:val="18"/>
          <w:szCs w:val="18"/>
          <w:color w:val="auto"/>
        </w:rPr>
        <w:t>twelve month period which made the use of annualized loss factors appropriate for measuring the amount of incurred yet unconfirmed credit losses within the loan portfolio. As United has moved out beyond the peak of the financial crisis, management has observed that the loss emergence period has extended. United calculates the loss emergence period for each pool of loans based on the average length of time between the date a loan first exceeds 30 days past due and the date the loan is charged off.</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updates to the weightings to the eight quarters of loss history and the update to our estimation of the loss emergence period did not have a material effect on the total allowance for loan losses or the provision for loan losses for the first or second quarters of 2014. These updates resulted in the full allocation of the previously unallocated portion of the allowance for loan losses.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junior lien home equity loans, United has limited ability to monitor the delinquency status of the first lien unless the first lien is also held by United. As a result, United applies the weighted average historical loss factor for this category and appropriately adjusts it to reflect the increased risk of loss from these credits.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carefully reviews the resulting loss factors for each category of the loan portfolio and evaluates whether qualitative adjustments are necessary to take into consideration recent credit trends such as increases or decreases in past due, nonaccrual, criticized and classified loans, acceleration or delays in timing of recognition of losses that may affect historical loss emergence periods, and other macro environmental factors such as changes in unemployment rates, lease vacancy rates and trends in property values and absorption rates.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United’s management believes that its method of determining the balance of the allowance for loan losses provides a reasonable and reliable basis for measuring and reporting losses that are inherent in the loan portfolio as of the reporting date.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a loan officer determines that a loan is uncollectible, he or she is responsible for recommending that the loan be charged off. Full or partial charge-offs may also be recommended by the Collections Department, the Special Assets Department and the Foreclosure / OREO department. Nonaccrual real estate loans that are collateral dependent are generally charged down to 80% of the appraised value of the underlying collateral at the time they are placed on nonaccrual status.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committee consisting of the Chief Risk Officer, Senior Risk Officer and the Senior Credit Officers meets monthly to review charge-offs that have occurred during the previous month.</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Closed-end retail loans (installment and residential mortgage loans) and open-end (revolving) retail loans past due 90 cumulative days are charged off unless the loan is secured and in process of collection (within the next 90 days).The following table presents loans individually evaluated for impairment by class of loans as of June 30, 2014, December 31, 2013 and June 30, 2013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2"/>
              </w:rPr>
              <w:t>June 30, 2014</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6"/>
          </w:tcPr>
          <w:p>
            <w:pPr>
              <w:jc w:val="center"/>
              <w:ind w:left="608"/>
              <w:spacing w:after="0"/>
              <w:rPr>
                <w:sz w:val="20"/>
                <w:szCs w:val="20"/>
                <w:color w:val="auto"/>
              </w:rPr>
            </w:pPr>
            <w:r>
              <w:rPr>
                <w:rFonts w:ascii="Arial" w:cs="Arial" w:eastAsia="Arial" w:hAnsi="Arial"/>
                <w:sz w:val="14"/>
                <w:szCs w:val="14"/>
                <w:b w:val="1"/>
                <w:bCs w:val="1"/>
                <w:color w:val="auto"/>
                <w:w w:val="91"/>
              </w:rPr>
              <w:t>December 31, 2013</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 2013</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Unpaid</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center"/>
              <w:ind w:right="28"/>
              <w:spacing w:after="0" w:line="126" w:lineRule="exact"/>
              <w:rPr>
                <w:sz w:val="20"/>
                <w:szCs w:val="20"/>
                <w:color w:val="auto"/>
              </w:rPr>
            </w:pPr>
            <w:r>
              <w:rPr>
                <w:rFonts w:ascii="Arial" w:cs="Arial" w:eastAsia="Arial" w:hAnsi="Arial"/>
                <w:sz w:val="14"/>
                <w:szCs w:val="14"/>
                <w:b w:val="1"/>
                <w:bCs w:val="1"/>
                <w:color w:val="auto"/>
                <w:w w:val="92"/>
              </w:rPr>
              <w:t>Allowance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2"/>
              </w:rPr>
              <w:t>Unpaid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48"/>
              <w:spacing w:after="0" w:line="126" w:lineRule="exact"/>
              <w:rPr>
                <w:sz w:val="20"/>
                <w:szCs w:val="20"/>
                <w:color w:val="auto"/>
              </w:rPr>
            </w:pPr>
            <w:r>
              <w:rPr>
                <w:rFonts w:ascii="Arial" w:cs="Arial" w:eastAsia="Arial" w:hAnsi="Arial"/>
                <w:sz w:val="14"/>
                <w:szCs w:val="14"/>
                <w:b w:val="1"/>
                <w:bCs w:val="1"/>
                <w:color w:val="auto"/>
                <w:w w:val="92"/>
              </w:rPr>
              <w:t>Allowance</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Unpaid</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28"/>
              <w:spacing w:after="0" w:line="126" w:lineRule="exact"/>
              <w:rPr>
                <w:sz w:val="20"/>
                <w:szCs w:val="20"/>
                <w:color w:val="auto"/>
              </w:rPr>
            </w:pPr>
            <w:r>
              <w:rPr>
                <w:rFonts w:ascii="Arial" w:cs="Arial" w:eastAsia="Arial" w:hAnsi="Arial"/>
                <w:sz w:val="14"/>
                <w:szCs w:val="14"/>
                <w:b w:val="1"/>
                <w:bCs w:val="1"/>
                <w:color w:val="auto"/>
                <w:w w:val="92"/>
              </w:rPr>
              <w:t>Allowance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Recorded</w:t>
            </w: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for Loan</w:t>
            </w: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Recorded</w:t>
            </w:r>
          </w:p>
        </w:tc>
        <w:tc>
          <w:tcPr>
            <w:tcW w:w="120" w:type="dxa"/>
            <w:vAlign w:val="bottom"/>
          </w:tcPr>
          <w:p>
            <w:pPr>
              <w:spacing w:after="0"/>
              <w:rPr>
                <w:sz w:val="12"/>
                <w:szCs w:val="12"/>
                <w:color w:val="auto"/>
              </w:rPr>
            </w:pPr>
          </w:p>
        </w:tc>
        <w:tc>
          <w:tcPr>
            <w:tcW w:w="80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6"/>
              </w:rPr>
              <w:t>for Loan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89"/>
              </w:rPr>
              <w:t>Recorded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for Loan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Principal</w:t>
            </w: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2"/>
                <w:szCs w:val="12"/>
                <w:color w:val="auto"/>
              </w:rPr>
            </w:pPr>
          </w:p>
        </w:tc>
        <w:tc>
          <w:tcPr>
            <w:tcW w:w="7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4"/>
              </w:rPr>
              <w:t>Principal</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Principal</w:t>
            </w:r>
          </w:p>
        </w:tc>
        <w:tc>
          <w:tcPr>
            <w:tcW w:w="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Balance</w:t>
            </w:r>
          </w:p>
        </w:tc>
        <w:tc>
          <w:tcPr>
            <w:tcW w:w="8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Investment</w:t>
            </w:r>
          </w:p>
        </w:tc>
        <w:tc>
          <w:tcPr>
            <w:tcW w:w="10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Allocated</w:t>
            </w:r>
          </w:p>
        </w:tc>
        <w:tc>
          <w:tcPr>
            <w:tcW w:w="120" w:type="dxa"/>
            <w:vAlign w:val="bottom"/>
          </w:tcPr>
          <w:p>
            <w:pPr>
              <w:spacing w:after="0"/>
              <w:rPr>
                <w:sz w:val="15"/>
                <w:szCs w:val="15"/>
                <w:color w:val="auto"/>
              </w:rPr>
            </w:pPr>
          </w:p>
        </w:tc>
        <w:tc>
          <w:tcPr>
            <w:tcW w:w="760" w:type="dxa"/>
            <w:vAlign w:val="bottom"/>
          </w:tcPr>
          <w:p>
            <w:pPr>
              <w:jc w:val="center"/>
              <w:ind w:right="48"/>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Investment</w:t>
            </w:r>
          </w:p>
        </w:tc>
        <w:tc>
          <w:tcPr>
            <w:tcW w:w="120" w:type="dxa"/>
            <w:vAlign w:val="bottom"/>
          </w:tcPr>
          <w:p>
            <w:pPr>
              <w:spacing w:after="0"/>
              <w:rPr>
                <w:sz w:val="15"/>
                <w:szCs w:val="15"/>
                <w:color w:val="auto"/>
              </w:rPr>
            </w:pPr>
          </w:p>
        </w:tc>
        <w:tc>
          <w:tcPr>
            <w:tcW w:w="800" w:type="dxa"/>
            <w:vAlign w:val="bottom"/>
          </w:tcPr>
          <w:p>
            <w:pPr>
              <w:jc w:val="center"/>
              <w:ind w:right="48"/>
              <w:spacing w:after="0"/>
              <w:rPr>
                <w:sz w:val="20"/>
                <w:szCs w:val="20"/>
                <w:color w:val="auto"/>
              </w:rPr>
            </w:pPr>
            <w:r>
              <w:rPr>
                <w:rFonts w:ascii="Arial" w:cs="Arial" w:eastAsia="Arial" w:hAnsi="Arial"/>
                <w:sz w:val="14"/>
                <w:szCs w:val="14"/>
                <w:b w:val="1"/>
                <w:bCs w:val="1"/>
                <w:color w:val="auto"/>
                <w:w w:val="95"/>
              </w:rPr>
              <w:t>Allocated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Balance</w:t>
            </w:r>
          </w:p>
        </w:tc>
        <w:tc>
          <w:tcPr>
            <w:tcW w:w="80" w:type="dxa"/>
            <w:vAlign w:val="bottom"/>
          </w:tcPr>
          <w:p>
            <w:pPr>
              <w:spacing w:after="0"/>
              <w:rPr>
                <w:sz w:val="15"/>
                <w:szCs w:val="15"/>
                <w:color w:val="auto"/>
              </w:rPr>
            </w:pPr>
          </w:p>
        </w:tc>
        <w:tc>
          <w:tcPr>
            <w:tcW w:w="820" w:type="dxa"/>
            <w:vAlign w:val="bottom"/>
          </w:tcPr>
          <w:p>
            <w:pPr>
              <w:jc w:val="center"/>
              <w:ind w:right="8"/>
              <w:spacing w:after="0"/>
              <w:rPr>
                <w:sz w:val="20"/>
                <w:szCs w:val="20"/>
                <w:color w:val="auto"/>
              </w:rPr>
            </w:pPr>
            <w:r>
              <w:rPr>
                <w:rFonts w:ascii="Arial" w:cs="Arial" w:eastAsia="Arial" w:hAnsi="Arial"/>
                <w:sz w:val="14"/>
                <w:szCs w:val="14"/>
                <w:b w:val="1"/>
                <w:bCs w:val="1"/>
                <w:color w:val="auto"/>
                <w:w w:val="94"/>
              </w:rPr>
              <w:t>Investment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Allocated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With no related allowance recorded:</w:t>
            </w:r>
          </w:p>
        </w:tc>
        <w:tc>
          <w:tcPr>
            <w:tcW w:w="120" w:type="dxa"/>
            <w:vAlign w:val="bottom"/>
            <w:tcBorders>
              <w:top w:val="single" w:sz="8" w:color="auto"/>
            </w:tcBorders>
            <w:shd w:val="clear" w:color="auto" w:fill="F0FFFF"/>
          </w:tcPr>
          <w:p>
            <w:pPr>
              <w:spacing w:after="0"/>
              <w:rPr>
                <w:sz w:val="12"/>
                <w:szCs w:val="12"/>
                <w:color w:val="auto"/>
              </w:rPr>
            </w:pPr>
          </w:p>
        </w:tc>
        <w:tc>
          <w:tcPr>
            <w:tcW w:w="740" w:type="dxa"/>
            <w:vAlign w:val="bottom"/>
            <w:tcBorders>
              <w:top w:val="single" w:sz="8" w:color="auto"/>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800" w:type="dxa"/>
            <w:vAlign w:val="bottom"/>
            <w:tcBorders>
              <w:top w:val="single" w:sz="8" w:color="auto"/>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780" w:type="dxa"/>
            <w:vAlign w:val="bottom"/>
            <w:tcBorders>
              <w:top w:val="single" w:sz="8" w:color="auto"/>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0" w:type="dxa"/>
            <w:vAlign w:val="bottom"/>
            <w:tcBorders>
              <w:top w:val="single" w:sz="8" w:color="auto"/>
            </w:tcBorders>
            <w:shd w:val="clear" w:color="auto" w:fill="F0FFFF"/>
          </w:tcPr>
          <w:p>
            <w:pPr>
              <w:spacing w:after="0"/>
              <w:rPr>
                <w:sz w:val="12"/>
                <w:szCs w:val="12"/>
                <w:color w:val="auto"/>
              </w:rPr>
            </w:pPr>
          </w:p>
        </w:tc>
        <w:tc>
          <w:tcPr>
            <w:tcW w:w="760" w:type="dxa"/>
            <w:vAlign w:val="bottom"/>
            <w:tcBorders>
              <w:top w:val="single" w:sz="8" w:color="auto"/>
            </w:tcBorders>
            <w:shd w:val="clear" w:color="auto" w:fill="F0FFFF"/>
          </w:tcPr>
          <w:p>
            <w:pPr>
              <w:spacing w:after="0"/>
              <w:rPr>
                <w:sz w:val="12"/>
                <w:szCs w:val="12"/>
                <w:color w:val="auto"/>
              </w:rPr>
            </w:pPr>
          </w:p>
        </w:tc>
        <w:tc>
          <w:tcPr>
            <w:tcW w:w="120" w:type="dxa"/>
            <w:vAlign w:val="bottom"/>
            <w:tcBorders>
              <w:left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820" w:type="dxa"/>
            <w:vAlign w:val="bottom"/>
            <w:tcBorders>
              <w:top w:val="single" w:sz="8" w:color="auto"/>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20" w:type="dxa"/>
            <w:vAlign w:val="bottom"/>
            <w:tcBorders>
              <w:top w:val="single" w:sz="8" w:color="auto"/>
            </w:tcBorders>
            <w:shd w:val="clear" w:color="auto" w:fill="F0FFFF"/>
          </w:tcPr>
          <w:p>
            <w:pPr>
              <w:spacing w:after="0"/>
              <w:rPr>
                <w:sz w:val="12"/>
                <w:szCs w:val="12"/>
                <w:color w:val="auto"/>
              </w:rPr>
            </w:pPr>
          </w:p>
        </w:tc>
        <w:tc>
          <w:tcPr>
            <w:tcW w:w="800" w:type="dxa"/>
            <w:vAlign w:val="bottom"/>
            <w:tcBorders>
              <w:top w:val="single" w:sz="8" w:color="auto"/>
            </w:tcBorders>
            <w:shd w:val="clear" w:color="auto" w:fill="F0FFFF"/>
          </w:tcPr>
          <w:p>
            <w:pPr>
              <w:spacing w:after="0"/>
              <w:rPr>
                <w:sz w:val="12"/>
                <w:szCs w:val="12"/>
                <w:color w:val="auto"/>
              </w:rPr>
            </w:pPr>
          </w:p>
        </w:tc>
        <w:tc>
          <w:tcPr>
            <w:tcW w:w="100" w:type="dxa"/>
            <w:vAlign w:val="bottom"/>
            <w:tcBorders>
              <w:left w:val="single" w:sz="8" w:color="F0FFFF"/>
            </w:tcBorders>
            <w:shd w:val="clear" w:color="auto" w:fill="F0FFFF"/>
          </w:tcPr>
          <w:p>
            <w:pPr>
              <w:spacing w:after="0"/>
              <w:rPr>
                <w:sz w:val="12"/>
                <w:szCs w:val="12"/>
                <w:color w:val="auto"/>
              </w:rPr>
            </w:pPr>
          </w:p>
        </w:tc>
        <w:tc>
          <w:tcPr>
            <w:tcW w:w="120" w:type="dxa"/>
            <w:vAlign w:val="bottom"/>
            <w:tcBorders>
              <w:top w:val="single" w:sz="8" w:color="auto"/>
            </w:tcBorders>
            <w:shd w:val="clear" w:color="auto" w:fill="F0FFFF"/>
          </w:tcPr>
          <w:p>
            <w:pPr>
              <w:spacing w:after="0"/>
              <w:rPr>
                <w:sz w:val="12"/>
                <w:szCs w:val="12"/>
                <w:color w:val="auto"/>
              </w:rPr>
            </w:pPr>
          </w:p>
        </w:tc>
        <w:tc>
          <w:tcPr>
            <w:tcW w:w="780" w:type="dxa"/>
            <w:vAlign w:val="bottom"/>
            <w:tcBorders>
              <w:top w:val="single" w:sz="8" w:color="auto"/>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820" w:type="dxa"/>
            <w:vAlign w:val="bottom"/>
            <w:tcBorders>
              <w:top w:val="single" w:sz="8" w:color="auto"/>
            </w:tcBorders>
            <w:shd w:val="clear" w:color="auto" w:fill="F0FFFF"/>
          </w:tcPr>
          <w:p>
            <w:pPr>
              <w:spacing w:after="0"/>
              <w:rPr>
                <w:sz w:val="12"/>
                <w:szCs w:val="12"/>
                <w:color w:val="auto"/>
              </w:rPr>
            </w:pPr>
          </w:p>
        </w:tc>
        <w:tc>
          <w:tcPr>
            <w:tcW w:w="100" w:type="dxa"/>
            <w:vAlign w:val="bottom"/>
            <w:tcBorders>
              <w:left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820" w:type="dxa"/>
            <w:vAlign w:val="bottom"/>
            <w:tcBorders>
              <w:top w:val="single" w:sz="8" w:color="auto"/>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60" w:type="dxa"/>
            <w:vAlign w:val="bottom"/>
          </w:tcPr>
          <w:p>
            <w:pPr>
              <w:ind w:left="160"/>
              <w:spacing w:after="0" w:line="130" w:lineRule="exact"/>
              <w:rPr>
                <w:sz w:val="20"/>
                <w:szCs w:val="20"/>
                <w:color w:val="auto"/>
              </w:rPr>
            </w:pPr>
            <w:r>
              <w:rPr>
                <w:rFonts w:ascii="Arial" w:cs="Arial" w:eastAsia="Arial" w:hAnsi="Arial"/>
                <w:sz w:val="14"/>
                <w:szCs w:val="14"/>
                <w:color w:val="auto"/>
              </w:rPr>
              <w:t>Owner occupied commercial real</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tcPr>
          <w:p>
            <w:pPr>
              <w:ind w:left="320"/>
              <w:spacing w:after="0"/>
              <w:rPr>
                <w:sz w:val="20"/>
                <w:szCs w:val="20"/>
                <w:color w:val="auto"/>
              </w:rPr>
            </w:pPr>
            <w:r>
              <w:rPr>
                <w:rFonts w:ascii="Arial" w:cs="Arial" w:eastAsia="Arial" w:hAnsi="Arial"/>
                <w:sz w:val="14"/>
                <w:szCs w:val="14"/>
                <w:color w:val="auto"/>
              </w:rPr>
              <w:t>estate</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14,445</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12,985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17,717</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14,458</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14,394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10,906</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60" w:type="dxa"/>
            <w:vAlign w:val="bottom"/>
            <w:shd w:val="clear" w:color="auto" w:fill="F0FFFF"/>
          </w:tcPr>
          <w:p>
            <w:pPr>
              <w:ind w:left="160"/>
              <w:spacing w:after="0" w:line="130" w:lineRule="exact"/>
              <w:rPr>
                <w:sz w:val="20"/>
                <w:szCs w:val="20"/>
                <w:color w:val="auto"/>
              </w:rPr>
            </w:pPr>
            <w:r>
              <w:rPr>
                <w:rFonts w:ascii="Arial" w:cs="Arial" w:eastAsia="Arial" w:hAnsi="Arial"/>
                <w:sz w:val="14"/>
                <w:szCs w:val="14"/>
                <w:color w:val="auto"/>
              </w:rPr>
              <w:t>Income producing commercial real</w:t>
            </w:r>
          </w:p>
        </w:tc>
        <w:tc>
          <w:tcPr>
            <w:tcW w:w="120" w:type="dxa"/>
            <w:vAlign w:val="bottom"/>
            <w:shd w:val="clear" w:color="auto" w:fill="F0FFFF"/>
          </w:tcPr>
          <w:p>
            <w:pPr>
              <w:spacing w:after="0"/>
              <w:rPr>
                <w:sz w:val="11"/>
                <w:szCs w:val="11"/>
                <w:color w:val="auto"/>
              </w:rPr>
            </w:pPr>
          </w:p>
        </w:tc>
        <w:tc>
          <w:tcPr>
            <w:tcW w:w="74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760" w:type="dxa"/>
            <w:vAlign w:val="bottom"/>
            <w:shd w:val="clear" w:color="auto" w:fill="F0FFFF"/>
          </w:tcPr>
          <w:p>
            <w:pPr>
              <w:spacing w:after="0"/>
              <w:rPr>
                <w:sz w:val="11"/>
                <w:szCs w:val="11"/>
                <w:color w:val="auto"/>
              </w:rPr>
            </w:pPr>
          </w:p>
        </w:tc>
        <w:tc>
          <w:tcPr>
            <w:tcW w:w="120" w:type="dxa"/>
            <w:vAlign w:val="bottom"/>
            <w:tcBorders>
              <w:lef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0" w:type="dxa"/>
            <w:vAlign w:val="bottom"/>
            <w:shd w:val="clear" w:color="auto" w:fill="F0FFFF"/>
          </w:tcPr>
          <w:p>
            <w:pPr>
              <w:spacing w:after="0"/>
              <w:rPr>
                <w:sz w:val="11"/>
                <w:szCs w:val="11"/>
                <w:color w:val="auto"/>
              </w:rPr>
            </w:pPr>
          </w:p>
        </w:tc>
        <w:tc>
          <w:tcPr>
            <w:tcW w:w="100" w:type="dxa"/>
            <w:vAlign w:val="bottom"/>
            <w:tcBorders>
              <w:lef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7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20" w:type="dxa"/>
            <w:vAlign w:val="bottom"/>
            <w:shd w:val="clear" w:color="auto" w:fill="F0FFFF"/>
          </w:tcPr>
          <w:p>
            <w:pPr>
              <w:spacing w:after="0"/>
              <w:rPr>
                <w:sz w:val="11"/>
                <w:szCs w:val="11"/>
                <w:color w:val="auto"/>
              </w:rPr>
            </w:pPr>
          </w:p>
        </w:tc>
        <w:tc>
          <w:tcPr>
            <w:tcW w:w="100" w:type="dxa"/>
            <w:vAlign w:val="bottom"/>
            <w:tcBorders>
              <w:lef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8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shd w:val="clear" w:color="auto" w:fill="F0FFFF"/>
          </w:tcPr>
          <w:p>
            <w:pPr>
              <w:ind w:left="320"/>
              <w:spacing w:after="0"/>
              <w:rPr>
                <w:sz w:val="20"/>
                <w:szCs w:val="20"/>
                <w:color w:val="auto"/>
              </w:rPr>
            </w:pPr>
            <w:r>
              <w:rPr>
                <w:rFonts w:ascii="Arial" w:cs="Arial" w:eastAsia="Arial" w:hAnsi="Arial"/>
                <w:sz w:val="14"/>
                <w:szCs w:val="14"/>
                <w:color w:val="auto"/>
              </w:rPr>
              <w:t>estate</w:t>
            </w:r>
          </w:p>
        </w:tc>
        <w:tc>
          <w:tcPr>
            <w:tcW w:w="120" w:type="dxa"/>
            <w:vAlign w:val="bottom"/>
            <w:shd w:val="clear" w:color="auto" w:fill="F0FFFF"/>
          </w:tcPr>
          <w:p>
            <w:pPr>
              <w:spacing w:after="0"/>
              <w:rPr>
                <w:sz w:val="14"/>
                <w:szCs w:val="14"/>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12,755</w:t>
            </w:r>
          </w:p>
        </w:tc>
        <w:tc>
          <w:tcPr>
            <w:tcW w:w="1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92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11,808</w:t>
            </w:r>
          </w:p>
        </w:tc>
        <w:tc>
          <w:tcPr>
            <w:tcW w:w="100" w:type="dxa"/>
            <w:vAlign w:val="bottom"/>
            <w:shd w:val="clear" w:color="auto" w:fill="F0FFFF"/>
          </w:tcPr>
          <w:p>
            <w:pPr>
              <w:spacing w:after="0"/>
              <w:rPr>
                <w:sz w:val="14"/>
                <w:szCs w:val="14"/>
                <w:color w:val="auto"/>
              </w:rPr>
            </w:pPr>
          </w:p>
        </w:tc>
        <w:tc>
          <w:tcPr>
            <w:tcW w:w="78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12,644</w:t>
            </w:r>
          </w:p>
        </w:tc>
        <w:tc>
          <w:tcPr>
            <w:tcW w:w="120" w:type="dxa"/>
            <w:vAlign w:val="bottom"/>
            <w:tcBorders>
              <w:left w:val="single" w:sz="8" w:color="F0FFFF"/>
            </w:tcBorders>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9,747</w:t>
            </w:r>
          </w:p>
        </w:tc>
        <w:tc>
          <w:tcPr>
            <w:tcW w:w="120" w:type="dxa"/>
            <w:vAlign w:val="bottom"/>
            <w:shd w:val="clear" w:color="auto" w:fill="F0FFFF"/>
          </w:tcPr>
          <w:p>
            <w:pPr>
              <w:spacing w:after="0"/>
              <w:rPr>
                <w:sz w:val="14"/>
                <w:szCs w:val="14"/>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left w:val="single" w:sz="8" w:color="F0FFFF"/>
            </w:tcBorders>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9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13,457</w:t>
            </w:r>
          </w:p>
        </w:tc>
        <w:tc>
          <w:tcPr>
            <w:tcW w:w="80" w:type="dxa"/>
            <w:vAlign w:val="bottom"/>
            <w:shd w:val="clear" w:color="auto" w:fill="F0FFFF"/>
          </w:tcPr>
          <w:p>
            <w:pPr>
              <w:spacing w:after="0"/>
              <w:rPr>
                <w:sz w:val="14"/>
                <w:szCs w:val="14"/>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6,734</w:t>
            </w:r>
          </w:p>
        </w:tc>
        <w:tc>
          <w:tcPr>
            <w:tcW w:w="100" w:type="dxa"/>
            <w:vAlign w:val="bottom"/>
            <w:tcBorders>
              <w:left w:val="single" w:sz="8" w:color="F0FFFF"/>
            </w:tcBorders>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ind w:left="160"/>
              <w:spacing w:after="0" w:line="149" w:lineRule="exact"/>
              <w:rPr>
                <w:sz w:val="20"/>
                <w:szCs w:val="20"/>
                <w:color w:val="auto"/>
              </w:rPr>
            </w:pPr>
            <w:r>
              <w:rPr>
                <w:rFonts w:ascii="Arial" w:cs="Arial" w:eastAsia="Arial" w:hAnsi="Arial"/>
                <w:sz w:val="14"/>
                <w:szCs w:val="14"/>
                <w:color w:val="auto"/>
              </w:rPr>
              <w:t>Commercial &amp; industrial</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1,736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1,710</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2,252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2,252</w:t>
            </w: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3,809</w:t>
            </w: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3,809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F0FFFF"/>
          </w:tcPr>
          <w:p>
            <w:pPr>
              <w:ind w:left="160"/>
              <w:spacing w:after="0" w:line="149" w:lineRule="exact"/>
              <w:rPr>
                <w:sz w:val="20"/>
                <w:szCs w:val="20"/>
                <w:color w:val="auto"/>
              </w:rPr>
            </w:pPr>
            <w:r>
              <w:rPr>
                <w:rFonts w:ascii="Arial" w:cs="Arial" w:eastAsia="Arial" w:hAnsi="Arial"/>
                <w:sz w:val="14"/>
                <w:szCs w:val="14"/>
                <w:color w:val="auto"/>
              </w:rPr>
              <w:t>Commercial construction</w:t>
            </w:r>
          </w:p>
        </w:tc>
        <w:tc>
          <w:tcPr>
            <w:tcW w:w="120" w:type="dxa"/>
            <w:vAlign w:val="bottom"/>
            <w:shd w:val="clear" w:color="auto" w:fill="F0FFFF"/>
          </w:tcPr>
          <w:p>
            <w:pPr>
              <w:spacing w:after="0"/>
              <w:rPr>
                <w:sz w:val="12"/>
                <w:szCs w:val="12"/>
                <w:color w:val="auto"/>
              </w:rPr>
            </w:pPr>
          </w:p>
        </w:tc>
        <w:tc>
          <w:tcPr>
            <w:tcW w:w="74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195</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195</w:t>
            </w:r>
          </w:p>
        </w:tc>
        <w:tc>
          <w:tcPr>
            <w:tcW w:w="10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2"/>
                <w:szCs w:val="12"/>
                <w:color w:val="auto"/>
              </w:rPr>
            </w:pPr>
          </w:p>
        </w:tc>
        <w:tc>
          <w:tcPr>
            <w:tcW w:w="76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974</w:t>
            </w:r>
          </w:p>
        </w:tc>
        <w:tc>
          <w:tcPr>
            <w:tcW w:w="120" w:type="dxa"/>
            <w:vAlign w:val="bottom"/>
            <w:tcBorders>
              <w:lef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974</w:t>
            </w:r>
          </w:p>
        </w:tc>
        <w:tc>
          <w:tcPr>
            <w:tcW w:w="120" w:type="dxa"/>
            <w:vAlign w:val="bottom"/>
            <w:shd w:val="clear" w:color="auto" w:fill="F0FFFF"/>
          </w:tcPr>
          <w:p>
            <w:pPr>
              <w:spacing w:after="0"/>
              <w:rPr>
                <w:sz w:val="12"/>
                <w:szCs w:val="12"/>
                <w:color w:val="auto"/>
              </w:rPr>
            </w:pPr>
          </w:p>
        </w:tc>
        <w:tc>
          <w:tcPr>
            <w:tcW w:w="8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lef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809</w:t>
            </w:r>
          </w:p>
        </w:tc>
        <w:tc>
          <w:tcPr>
            <w:tcW w:w="80" w:type="dxa"/>
            <w:vAlign w:val="bottom"/>
            <w:shd w:val="clear" w:color="auto" w:fill="F0FFFF"/>
          </w:tcPr>
          <w:p>
            <w:pPr>
              <w:spacing w:after="0"/>
              <w:rPr>
                <w:sz w:val="12"/>
                <w:szCs w:val="12"/>
                <w:color w:val="auto"/>
              </w:rPr>
            </w:pPr>
          </w:p>
        </w:tc>
        <w:tc>
          <w:tcPr>
            <w:tcW w:w="8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659</w:t>
            </w:r>
          </w:p>
        </w:tc>
        <w:tc>
          <w:tcPr>
            <w:tcW w:w="100" w:type="dxa"/>
            <w:vAlign w:val="bottom"/>
            <w:tcBorders>
              <w:lef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6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Borders>
              <w:left w:val="single" w:sz="8" w:color="F0FFFF"/>
            </w:tcBorders>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Borders>
              <w:left w:val="single" w:sz="8" w:color="F0FFFF"/>
            </w:tcBorders>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Borders>
              <w:left w:val="single" w:sz="8" w:color="F0FFFF"/>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ind w:left="320"/>
              <w:spacing w:after="0" w:line="149" w:lineRule="exact"/>
              <w:rPr>
                <w:sz w:val="20"/>
                <w:szCs w:val="20"/>
                <w:color w:val="auto"/>
              </w:rPr>
            </w:pPr>
            <w:r>
              <w:rPr>
                <w:rFonts w:ascii="Arial" w:cs="Arial" w:eastAsia="Arial" w:hAnsi="Arial"/>
                <w:sz w:val="14"/>
                <w:szCs w:val="14"/>
                <w:color w:val="auto"/>
              </w:rPr>
              <w:t>Total commercial</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29,131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26,698</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33,587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27,431</w:t>
            </w: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32,469</w:t>
            </w: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22,108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F0FFFF"/>
          </w:tcPr>
          <w:p>
            <w:pPr>
              <w:ind w:left="160"/>
              <w:spacing w:after="0" w:line="149" w:lineRule="exact"/>
              <w:rPr>
                <w:sz w:val="20"/>
                <w:szCs w:val="20"/>
                <w:color w:val="auto"/>
              </w:rPr>
            </w:pPr>
            <w:r>
              <w:rPr>
                <w:rFonts w:ascii="Arial" w:cs="Arial" w:eastAsia="Arial" w:hAnsi="Arial"/>
                <w:sz w:val="14"/>
                <w:szCs w:val="14"/>
                <w:color w:val="auto"/>
              </w:rPr>
              <w:t>Residential mortgage</w:t>
            </w:r>
          </w:p>
        </w:tc>
        <w:tc>
          <w:tcPr>
            <w:tcW w:w="120" w:type="dxa"/>
            <w:vAlign w:val="bottom"/>
            <w:shd w:val="clear" w:color="auto" w:fill="F0FFFF"/>
          </w:tcPr>
          <w:p>
            <w:pPr>
              <w:spacing w:after="0"/>
              <w:rPr>
                <w:sz w:val="12"/>
                <w:szCs w:val="12"/>
                <w:color w:val="auto"/>
              </w:rPr>
            </w:pPr>
          </w:p>
        </w:tc>
        <w:tc>
          <w:tcPr>
            <w:tcW w:w="74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3,357</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2,849</w:t>
            </w:r>
          </w:p>
        </w:tc>
        <w:tc>
          <w:tcPr>
            <w:tcW w:w="10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2"/>
                <w:szCs w:val="12"/>
                <w:color w:val="auto"/>
              </w:rPr>
            </w:pPr>
          </w:p>
        </w:tc>
        <w:tc>
          <w:tcPr>
            <w:tcW w:w="76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4,496</w:t>
            </w:r>
          </w:p>
        </w:tc>
        <w:tc>
          <w:tcPr>
            <w:tcW w:w="120" w:type="dxa"/>
            <w:vAlign w:val="bottom"/>
            <w:tcBorders>
              <w:lef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3,634</w:t>
            </w:r>
          </w:p>
        </w:tc>
        <w:tc>
          <w:tcPr>
            <w:tcW w:w="120" w:type="dxa"/>
            <w:vAlign w:val="bottom"/>
            <w:shd w:val="clear" w:color="auto" w:fill="F0FFFF"/>
          </w:tcPr>
          <w:p>
            <w:pPr>
              <w:spacing w:after="0"/>
              <w:rPr>
                <w:sz w:val="12"/>
                <w:szCs w:val="12"/>
                <w:color w:val="auto"/>
              </w:rPr>
            </w:pPr>
          </w:p>
        </w:tc>
        <w:tc>
          <w:tcPr>
            <w:tcW w:w="8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lef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8,676</w:t>
            </w:r>
          </w:p>
        </w:tc>
        <w:tc>
          <w:tcPr>
            <w:tcW w:w="80" w:type="dxa"/>
            <w:vAlign w:val="bottom"/>
            <w:shd w:val="clear" w:color="auto" w:fill="F0FFFF"/>
          </w:tcPr>
          <w:p>
            <w:pPr>
              <w:spacing w:after="0"/>
              <w:rPr>
                <w:sz w:val="12"/>
                <w:szCs w:val="12"/>
                <w:color w:val="auto"/>
              </w:rPr>
            </w:pPr>
          </w:p>
        </w:tc>
        <w:tc>
          <w:tcPr>
            <w:tcW w:w="8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6,843</w:t>
            </w:r>
          </w:p>
        </w:tc>
        <w:tc>
          <w:tcPr>
            <w:tcW w:w="100" w:type="dxa"/>
            <w:vAlign w:val="bottom"/>
            <w:tcBorders>
              <w:lef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ind w:left="160"/>
              <w:spacing w:after="0" w:line="149" w:lineRule="exact"/>
              <w:rPr>
                <w:sz w:val="20"/>
                <w:szCs w:val="20"/>
                <w:color w:val="auto"/>
              </w:rPr>
            </w:pPr>
            <w:r>
              <w:rPr>
                <w:rFonts w:ascii="Arial" w:cs="Arial" w:eastAsia="Arial" w:hAnsi="Arial"/>
                <w:sz w:val="14"/>
                <w:szCs w:val="14"/>
                <w:color w:val="auto"/>
              </w:rPr>
              <w:t>Home equity lines of credit</w:t>
            </w:r>
          </w:p>
        </w:tc>
        <w:tc>
          <w:tcPr>
            <w:tcW w:w="120" w:type="dxa"/>
            <w:vAlign w:val="bottom"/>
          </w:tcPr>
          <w:p>
            <w:pPr>
              <w:spacing w:after="0"/>
              <w:rPr>
                <w:sz w:val="12"/>
                <w:szCs w:val="12"/>
                <w:color w:val="auto"/>
              </w:rPr>
            </w:pPr>
          </w:p>
        </w:tc>
        <w:tc>
          <w:tcPr>
            <w:tcW w:w="8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F0FFFF"/>
          </w:tcPr>
          <w:p>
            <w:pPr>
              <w:ind w:left="160"/>
              <w:spacing w:after="0" w:line="149" w:lineRule="exact"/>
              <w:rPr>
                <w:sz w:val="20"/>
                <w:szCs w:val="20"/>
                <w:color w:val="auto"/>
              </w:rPr>
            </w:pPr>
            <w:r>
              <w:rPr>
                <w:rFonts w:ascii="Arial" w:cs="Arial" w:eastAsia="Arial" w:hAnsi="Arial"/>
                <w:sz w:val="14"/>
                <w:szCs w:val="14"/>
                <w:color w:val="auto"/>
              </w:rPr>
              <w:t>Residential construction</w:t>
            </w:r>
          </w:p>
        </w:tc>
        <w:tc>
          <w:tcPr>
            <w:tcW w:w="120" w:type="dxa"/>
            <w:vAlign w:val="bottom"/>
            <w:shd w:val="clear" w:color="auto" w:fill="F0FFFF"/>
          </w:tcPr>
          <w:p>
            <w:pPr>
              <w:spacing w:after="0"/>
              <w:rPr>
                <w:sz w:val="12"/>
                <w:szCs w:val="12"/>
                <w:color w:val="auto"/>
              </w:rPr>
            </w:pPr>
          </w:p>
        </w:tc>
        <w:tc>
          <w:tcPr>
            <w:tcW w:w="74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6,168</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5,491</w:t>
            </w:r>
          </w:p>
        </w:tc>
        <w:tc>
          <w:tcPr>
            <w:tcW w:w="10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2"/>
                <w:szCs w:val="12"/>
                <w:color w:val="auto"/>
              </w:rPr>
            </w:pPr>
          </w:p>
        </w:tc>
        <w:tc>
          <w:tcPr>
            <w:tcW w:w="76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9,462</w:t>
            </w:r>
          </w:p>
        </w:tc>
        <w:tc>
          <w:tcPr>
            <w:tcW w:w="120" w:type="dxa"/>
            <w:vAlign w:val="bottom"/>
            <w:tcBorders>
              <w:lef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7,807</w:t>
            </w:r>
          </w:p>
        </w:tc>
        <w:tc>
          <w:tcPr>
            <w:tcW w:w="120" w:type="dxa"/>
            <w:vAlign w:val="bottom"/>
            <w:shd w:val="clear" w:color="auto" w:fill="F0FFFF"/>
          </w:tcPr>
          <w:p>
            <w:pPr>
              <w:spacing w:after="0"/>
              <w:rPr>
                <w:sz w:val="12"/>
                <w:szCs w:val="12"/>
                <w:color w:val="auto"/>
              </w:rPr>
            </w:pPr>
          </w:p>
        </w:tc>
        <w:tc>
          <w:tcPr>
            <w:tcW w:w="8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lef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8,476</w:t>
            </w:r>
          </w:p>
        </w:tc>
        <w:tc>
          <w:tcPr>
            <w:tcW w:w="80" w:type="dxa"/>
            <w:vAlign w:val="bottom"/>
            <w:shd w:val="clear" w:color="auto" w:fill="F0FFFF"/>
          </w:tcPr>
          <w:p>
            <w:pPr>
              <w:spacing w:after="0"/>
              <w:rPr>
                <w:sz w:val="12"/>
                <w:szCs w:val="12"/>
                <w:color w:val="auto"/>
              </w:rPr>
            </w:pPr>
          </w:p>
        </w:tc>
        <w:tc>
          <w:tcPr>
            <w:tcW w:w="8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4,992</w:t>
            </w:r>
          </w:p>
        </w:tc>
        <w:tc>
          <w:tcPr>
            <w:tcW w:w="100" w:type="dxa"/>
            <w:vAlign w:val="bottom"/>
            <w:tcBorders>
              <w:lef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ind w:left="160"/>
              <w:spacing w:after="0" w:line="149" w:lineRule="exact"/>
              <w:rPr>
                <w:sz w:val="20"/>
                <w:szCs w:val="20"/>
                <w:color w:val="auto"/>
              </w:rPr>
            </w:pPr>
            <w:r>
              <w:rPr>
                <w:rFonts w:ascii="Arial" w:cs="Arial" w:eastAsia="Arial" w:hAnsi="Arial"/>
                <w:sz w:val="14"/>
                <w:szCs w:val="14"/>
                <w:color w:val="auto"/>
              </w:rPr>
              <w:t>Consumer installment</w:t>
            </w:r>
          </w:p>
        </w:tc>
        <w:tc>
          <w:tcPr>
            <w:tcW w:w="120" w:type="dxa"/>
            <w:vAlign w:val="bottom"/>
          </w:tcPr>
          <w:p>
            <w:pPr>
              <w:spacing w:after="0"/>
              <w:rPr>
                <w:sz w:val="12"/>
                <w:szCs w:val="12"/>
                <w:color w:val="auto"/>
              </w:rPr>
            </w:pPr>
          </w:p>
        </w:tc>
        <w:tc>
          <w:tcPr>
            <w:tcW w:w="8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203</w:t>
            </w: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60" w:type="dxa"/>
            <w:vAlign w:val="bottom"/>
            <w:shd w:val="clear" w:color="auto" w:fill="F0FFFF"/>
          </w:tcPr>
          <w:p>
            <w:pPr>
              <w:ind w:left="160"/>
              <w:spacing w:after="0" w:line="149" w:lineRule="exact"/>
              <w:rPr>
                <w:sz w:val="20"/>
                <w:szCs w:val="20"/>
                <w:color w:val="auto"/>
              </w:rPr>
            </w:pPr>
            <w:r>
              <w:rPr>
                <w:rFonts w:ascii="Arial" w:cs="Arial" w:eastAsia="Arial" w:hAnsi="Arial"/>
                <w:sz w:val="14"/>
                <w:szCs w:val="14"/>
                <w:color w:val="auto"/>
              </w:rPr>
              <w:t>Indirect auto</w:t>
            </w:r>
          </w:p>
        </w:tc>
        <w:tc>
          <w:tcPr>
            <w:tcW w:w="120" w:type="dxa"/>
            <w:vAlign w:val="bottom"/>
            <w:shd w:val="clear" w:color="auto" w:fill="F0FFFF"/>
          </w:tcPr>
          <w:p>
            <w:pPr>
              <w:spacing w:after="0"/>
              <w:rPr>
                <w:sz w:val="13"/>
                <w:szCs w:val="13"/>
                <w:color w:val="auto"/>
              </w:rPr>
            </w:pPr>
          </w:p>
        </w:tc>
        <w:tc>
          <w:tcPr>
            <w:tcW w:w="860" w:type="dxa"/>
            <w:vAlign w:val="bottom"/>
            <w:gridSpan w:val="2"/>
            <w:shd w:val="clear" w:color="auto" w:fill="F0FFFF"/>
          </w:tcPr>
          <w:p>
            <w:pPr>
              <w:ind w:left="6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3"/>
                <w:szCs w:val="13"/>
                <w:color w:val="auto"/>
              </w:rPr>
            </w:pPr>
          </w:p>
        </w:tc>
        <w:tc>
          <w:tcPr>
            <w:tcW w:w="92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3"/>
                <w:szCs w:val="13"/>
                <w:color w:val="auto"/>
              </w:rPr>
            </w:pPr>
          </w:p>
        </w:tc>
        <w:tc>
          <w:tcPr>
            <w:tcW w:w="90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3"/>
                <w:szCs w:val="13"/>
                <w:color w:val="auto"/>
              </w:rPr>
            </w:pPr>
          </w:p>
        </w:tc>
        <w:tc>
          <w:tcPr>
            <w:tcW w:w="76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left w:val="single" w:sz="8" w:color="F0FFFF"/>
            </w:tcBorders>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92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3"/>
                <w:szCs w:val="13"/>
                <w:color w:val="auto"/>
              </w:rPr>
            </w:pPr>
          </w:p>
        </w:tc>
        <w:tc>
          <w:tcPr>
            <w:tcW w:w="8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left w:val="single" w:sz="8" w:color="F0FFFF"/>
            </w:tcBorders>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90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3"/>
                <w:szCs w:val="13"/>
                <w:color w:val="auto"/>
              </w:rPr>
            </w:pPr>
          </w:p>
        </w:tc>
        <w:tc>
          <w:tcPr>
            <w:tcW w:w="8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left w:val="single" w:sz="8" w:color="F0FFFF"/>
            </w:tcBorders>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92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60" w:type="dxa"/>
            <w:vAlign w:val="bottom"/>
            <w:tcBorders>
              <w:top w:val="single" w:sz="8" w:color="F0FFFF"/>
            </w:tcBorders>
          </w:tcPr>
          <w:p>
            <w:pPr>
              <w:ind w:left="320"/>
              <w:spacing w:after="0" w:line="130" w:lineRule="exact"/>
              <w:rPr>
                <w:sz w:val="20"/>
                <w:szCs w:val="20"/>
                <w:color w:val="auto"/>
              </w:rPr>
            </w:pPr>
            <w:r>
              <w:rPr>
                <w:rFonts w:ascii="Arial" w:cs="Arial" w:eastAsia="Arial" w:hAnsi="Arial"/>
                <w:sz w:val="14"/>
                <w:szCs w:val="14"/>
                <w:color w:val="auto"/>
              </w:rPr>
              <w:t>Total with no related allowance</w:t>
            </w: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Borders>
              <w:top w:val="single" w:sz="8" w:color="F0FF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Borders>
              <w:top w:val="single" w:sz="8" w:color="F0FF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Borders>
              <w:top w:val="single" w:sz="8" w:color="F0FF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Borders>
              <w:top w:val="single" w:sz="8" w:color="F0FF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Borders>
              <w:top w:val="single" w:sz="8" w:color="F0FF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Borders>
              <w:top w:val="single" w:sz="8" w:color="F0FF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Borders>
              <w:top w:val="single" w:sz="8" w:color="F0FF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Borders>
              <w:top w:val="single" w:sz="8" w:color="F0FFFF"/>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Borders>
              <w:top w:val="single" w:sz="8" w:color="F0FFFF"/>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360" w:type="dxa"/>
            <w:vAlign w:val="bottom"/>
          </w:tcPr>
          <w:p>
            <w:pPr>
              <w:ind w:left="480"/>
              <w:spacing w:after="0"/>
              <w:rPr>
                <w:sz w:val="20"/>
                <w:szCs w:val="20"/>
                <w:color w:val="auto"/>
              </w:rPr>
            </w:pPr>
            <w:r>
              <w:rPr>
                <w:rFonts w:ascii="Arial" w:cs="Arial" w:eastAsia="Arial" w:hAnsi="Arial"/>
                <w:sz w:val="14"/>
                <w:szCs w:val="14"/>
                <w:color w:val="auto"/>
              </w:rPr>
              <w:t>recorded</w:t>
            </w: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38,656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35,038</w:t>
            </w:r>
          </w:p>
        </w:tc>
        <w:tc>
          <w:tcPr>
            <w:tcW w:w="10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47,545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38,872</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49,824</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34,045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360" w:type="dxa"/>
            <w:vAlign w:val="bottom"/>
            <w:shd w:val="clear" w:color="auto" w:fill="F0FFFF"/>
          </w:tcPr>
          <w:p>
            <w:pPr>
              <w:spacing w:after="0"/>
              <w:rPr>
                <w:sz w:val="12"/>
                <w:szCs w:val="12"/>
                <w:color w:val="auto"/>
              </w:rPr>
            </w:pPr>
          </w:p>
        </w:tc>
        <w:tc>
          <w:tcPr>
            <w:tcW w:w="120" w:type="dxa"/>
            <w:vAlign w:val="bottom"/>
            <w:tcBorders>
              <w:top w:val="single" w:sz="8" w:color="auto"/>
            </w:tcBorders>
            <w:shd w:val="clear" w:color="auto" w:fill="F0FFFF"/>
          </w:tcPr>
          <w:p>
            <w:pPr>
              <w:spacing w:after="0"/>
              <w:rPr>
                <w:sz w:val="12"/>
                <w:szCs w:val="12"/>
                <w:color w:val="auto"/>
              </w:rPr>
            </w:pPr>
          </w:p>
        </w:tc>
        <w:tc>
          <w:tcPr>
            <w:tcW w:w="740" w:type="dxa"/>
            <w:vAlign w:val="bottom"/>
            <w:tcBorders>
              <w:top w:val="single" w:sz="8" w:color="auto"/>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800" w:type="dxa"/>
            <w:vAlign w:val="bottom"/>
            <w:tcBorders>
              <w:top w:val="single" w:sz="8" w:color="auto"/>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780" w:type="dxa"/>
            <w:vAlign w:val="bottom"/>
            <w:tcBorders>
              <w:top w:val="single" w:sz="8" w:color="auto"/>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120" w:type="dxa"/>
            <w:vAlign w:val="bottom"/>
            <w:tcBorders>
              <w:top w:val="single" w:sz="8" w:color="auto"/>
            </w:tcBorders>
            <w:shd w:val="clear" w:color="auto" w:fill="F0FFFF"/>
          </w:tcPr>
          <w:p>
            <w:pPr>
              <w:spacing w:after="0"/>
              <w:rPr>
                <w:sz w:val="12"/>
                <w:szCs w:val="12"/>
                <w:color w:val="auto"/>
              </w:rPr>
            </w:pPr>
          </w:p>
        </w:tc>
        <w:tc>
          <w:tcPr>
            <w:tcW w:w="760" w:type="dxa"/>
            <w:vAlign w:val="bottom"/>
            <w:tcBorders>
              <w:top w:val="single" w:sz="8" w:color="auto"/>
            </w:tcBorders>
            <w:shd w:val="clear" w:color="auto" w:fill="F0FFFF"/>
          </w:tcPr>
          <w:p>
            <w:pPr>
              <w:spacing w:after="0"/>
              <w:rPr>
                <w:sz w:val="12"/>
                <w:szCs w:val="12"/>
                <w:color w:val="auto"/>
              </w:rPr>
            </w:pPr>
          </w:p>
        </w:tc>
        <w:tc>
          <w:tcPr>
            <w:tcW w:w="120" w:type="dxa"/>
            <w:vAlign w:val="bottom"/>
            <w:tcBorders>
              <w:left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820" w:type="dxa"/>
            <w:vAlign w:val="bottom"/>
            <w:tcBorders>
              <w:top w:val="single" w:sz="8" w:color="auto"/>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120" w:type="dxa"/>
            <w:vAlign w:val="bottom"/>
            <w:tcBorders>
              <w:top w:val="single" w:sz="8" w:color="auto"/>
            </w:tcBorders>
            <w:shd w:val="clear" w:color="auto" w:fill="F0FFFF"/>
          </w:tcPr>
          <w:p>
            <w:pPr>
              <w:spacing w:after="0"/>
              <w:rPr>
                <w:sz w:val="12"/>
                <w:szCs w:val="12"/>
                <w:color w:val="auto"/>
              </w:rPr>
            </w:pPr>
          </w:p>
        </w:tc>
        <w:tc>
          <w:tcPr>
            <w:tcW w:w="800" w:type="dxa"/>
            <w:vAlign w:val="bottom"/>
            <w:tcBorders>
              <w:top w:val="single" w:sz="8" w:color="auto"/>
            </w:tcBorders>
            <w:shd w:val="clear" w:color="auto" w:fill="F0FFFF"/>
          </w:tcPr>
          <w:p>
            <w:pPr>
              <w:spacing w:after="0"/>
              <w:rPr>
                <w:sz w:val="12"/>
                <w:szCs w:val="12"/>
                <w:color w:val="auto"/>
              </w:rPr>
            </w:pPr>
          </w:p>
        </w:tc>
        <w:tc>
          <w:tcPr>
            <w:tcW w:w="100" w:type="dxa"/>
            <w:vAlign w:val="bottom"/>
            <w:tcBorders>
              <w:left w:val="single" w:sz="8" w:color="F0FFFF"/>
            </w:tcBorders>
            <w:shd w:val="clear" w:color="auto" w:fill="F0FFFF"/>
          </w:tcPr>
          <w:p>
            <w:pPr>
              <w:spacing w:after="0"/>
              <w:rPr>
                <w:sz w:val="12"/>
                <w:szCs w:val="12"/>
                <w:color w:val="auto"/>
              </w:rPr>
            </w:pPr>
          </w:p>
        </w:tc>
        <w:tc>
          <w:tcPr>
            <w:tcW w:w="120" w:type="dxa"/>
            <w:vAlign w:val="bottom"/>
            <w:tcBorders>
              <w:top w:val="single" w:sz="8" w:color="auto"/>
            </w:tcBorders>
            <w:shd w:val="clear" w:color="auto" w:fill="F0FFFF"/>
          </w:tcPr>
          <w:p>
            <w:pPr>
              <w:spacing w:after="0"/>
              <w:rPr>
                <w:sz w:val="12"/>
                <w:szCs w:val="12"/>
                <w:color w:val="auto"/>
              </w:rPr>
            </w:pPr>
          </w:p>
        </w:tc>
        <w:tc>
          <w:tcPr>
            <w:tcW w:w="780" w:type="dxa"/>
            <w:vAlign w:val="bottom"/>
            <w:tcBorders>
              <w:top w:val="single" w:sz="8" w:color="auto"/>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820" w:type="dxa"/>
            <w:vAlign w:val="bottom"/>
            <w:tcBorders>
              <w:top w:val="single" w:sz="8" w:color="auto"/>
            </w:tcBorders>
            <w:shd w:val="clear" w:color="auto" w:fill="F0FFFF"/>
          </w:tcPr>
          <w:p>
            <w:pPr>
              <w:spacing w:after="0"/>
              <w:rPr>
                <w:sz w:val="12"/>
                <w:szCs w:val="12"/>
                <w:color w:val="auto"/>
              </w:rPr>
            </w:pPr>
          </w:p>
        </w:tc>
        <w:tc>
          <w:tcPr>
            <w:tcW w:w="100" w:type="dxa"/>
            <w:vAlign w:val="bottom"/>
            <w:tcBorders>
              <w:left w:val="single" w:sz="8" w:color="F0FFFF"/>
            </w:tcBorders>
            <w:shd w:val="clear" w:color="auto" w:fill="F0FFFF"/>
          </w:tcPr>
          <w:p>
            <w:pPr>
              <w:spacing w:after="0"/>
              <w:rPr>
                <w:sz w:val="12"/>
                <w:szCs w:val="12"/>
                <w:color w:val="auto"/>
              </w:rPr>
            </w:pPr>
          </w:p>
        </w:tc>
        <w:tc>
          <w:tcPr>
            <w:tcW w:w="100" w:type="dxa"/>
            <w:vAlign w:val="bottom"/>
            <w:tcBorders>
              <w:top w:val="single" w:sz="8" w:color="auto"/>
            </w:tcBorders>
            <w:shd w:val="clear" w:color="auto" w:fill="F0FFFF"/>
          </w:tcPr>
          <w:p>
            <w:pPr>
              <w:spacing w:after="0"/>
              <w:rPr>
                <w:sz w:val="12"/>
                <w:szCs w:val="12"/>
                <w:color w:val="auto"/>
              </w:rPr>
            </w:pPr>
          </w:p>
        </w:tc>
        <w:tc>
          <w:tcPr>
            <w:tcW w:w="820" w:type="dxa"/>
            <w:vAlign w:val="bottom"/>
            <w:tcBorders>
              <w:top w:val="single" w:sz="8" w:color="auto"/>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60" w:type="dxa"/>
            <w:vAlign w:val="bottom"/>
          </w:tcPr>
          <w:p>
            <w:pPr>
              <w:spacing w:after="0" w:line="149" w:lineRule="exact"/>
              <w:rPr>
                <w:sz w:val="20"/>
                <w:szCs w:val="20"/>
                <w:color w:val="auto"/>
              </w:rPr>
            </w:pPr>
            <w:r>
              <w:rPr>
                <w:rFonts w:ascii="Arial" w:cs="Arial" w:eastAsia="Arial" w:hAnsi="Arial"/>
                <w:sz w:val="14"/>
                <w:szCs w:val="14"/>
                <w:color w:val="auto"/>
              </w:rPr>
              <w:t>With an allowance recorded:</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60" w:type="dxa"/>
            <w:vAlign w:val="bottom"/>
            <w:shd w:val="clear" w:color="auto" w:fill="F0FFFF"/>
          </w:tcPr>
          <w:p>
            <w:pPr>
              <w:ind w:left="160"/>
              <w:spacing w:after="0" w:line="130" w:lineRule="exact"/>
              <w:rPr>
                <w:sz w:val="20"/>
                <w:szCs w:val="20"/>
                <w:color w:val="auto"/>
              </w:rPr>
            </w:pPr>
            <w:r>
              <w:rPr>
                <w:rFonts w:ascii="Arial" w:cs="Arial" w:eastAsia="Arial" w:hAnsi="Arial"/>
                <w:sz w:val="14"/>
                <w:szCs w:val="14"/>
                <w:color w:val="auto"/>
              </w:rPr>
              <w:t>Owner occupied commercial real</w:t>
            </w:r>
          </w:p>
        </w:tc>
        <w:tc>
          <w:tcPr>
            <w:tcW w:w="120" w:type="dxa"/>
            <w:vAlign w:val="bottom"/>
            <w:shd w:val="clear" w:color="auto" w:fill="F0FFFF"/>
          </w:tcPr>
          <w:p>
            <w:pPr>
              <w:spacing w:after="0"/>
              <w:rPr>
                <w:sz w:val="11"/>
                <w:szCs w:val="11"/>
                <w:color w:val="auto"/>
              </w:rPr>
            </w:pPr>
          </w:p>
        </w:tc>
        <w:tc>
          <w:tcPr>
            <w:tcW w:w="74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760" w:type="dxa"/>
            <w:vAlign w:val="bottom"/>
            <w:shd w:val="clear" w:color="auto" w:fill="F0FFFF"/>
          </w:tcPr>
          <w:p>
            <w:pPr>
              <w:spacing w:after="0"/>
              <w:rPr>
                <w:sz w:val="11"/>
                <w:szCs w:val="11"/>
                <w:color w:val="auto"/>
              </w:rPr>
            </w:pPr>
          </w:p>
        </w:tc>
        <w:tc>
          <w:tcPr>
            <w:tcW w:w="120" w:type="dxa"/>
            <w:vAlign w:val="bottom"/>
            <w:tcBorders>
              <w:lef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0" w:type="dxa"/>
            <w:vAlign w:val="bottom"/>
            <w:shd w:val="clear" w:color="auto" w:fill="F0FFFF"/>
          </w:tcPr>
          <w:p>
            <w:pPr>
              <w:spacing w:after="0"/>
              <w:rPr>
                <w:sz w:val="11"/>
                <w:szCs w:val="11"/>
                <w:color w:val="auto"/>
              </w:rPr>
            </w:pPr>
          </w:p>
        </w:tc>
        <w:tc>
          <w:tcPr>
            <w:tcW w:w="100" w:type="dxa"/>
            <w:vAlign w:val="bottom"/>
            <w:tcBorders>
              <w:lef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7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20" w:type="dxa"/>
            <w:vAlign w:val="bottom"/>
            <w:shd w:val="clear" w:color="auto" w:fill="F0FFFF"/>
          </w:tcPr>
          <w:p>
            <w:pPr>
              <w:spacing w:after="0"/>
              <w:rPr>
                <w:sz w:val="11"/>
                <w:szCs w:val="11"/>
                <w:color w:val="auto"/>
              </w:rPr>
            </w:pPr>
          </w:p>
        </w:tc>
        <w:tc>
          <w:tcPr>
            <w:tcW w:w="100" w:type="dxa"/>
            <w:vAlign w:val="bottom"/>
            <w:tcBorders>
              <w:lef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8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shd w:val="clear" w:color="auto" w:fill="F0FFFF"/>
          </w:tcPr>
          <w:p>
            <w:pPr>
              <w:ind w:left="320"/>
              <w:spacing w:after="0"/>
              <w:rPr>
                <w:sz w:val="20"/>
                <w:szCs w:val="20"/>
                <w:color w:val="auto"/>
              </w:rPr>
            </w:pPr>
            <w:r>
              <w:rPr>
                <w:rFonts w:ascii="Arial" w:cs="Arial" w:eastAsia="Arial" w:hAnsi="Arial"/>
                <w:sz w:val="14"/>
                <w:szCs w:val="14"/>
                <w:color w:val="auto"/>
              </w:rPr>
              <w:t>estate</w:t>
            </w:r>
          </w:p>
        </w:tc>
        <w:tc>
          <w:tcPr>
            <w:tcW w:w="120" w:type="dxa"/>
            <w:vAlign w:val="bottom"/>
            <w:shd w:val="clear" w:color="auto" w:fill="F0FFFF"/>
          </w:tcPr>
          <w:p>
            <w:pPr>
              <w:spacing w:after="0"/>
              <w:rPr>
                <w:sz w:val="14"/>
                <w:szCs w:val="14"/>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20,287</w:t>
            </w:r>
          </w:p>
        </w:tc>
        <w:tc>
          <w:tcPr>
            <w:tcW w:w="120" w:type="dxa"/>
            <w:vAlign w:val="bottom"/>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92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18,967</w:t>
            </w:r>
          </w:p>
        </w:tc>
        <w:tc>
          <w:tcPr>
            <w:tcW w:w="100" w:type="dxa"/>
            <w:vAlign w:val="bottom"/>
            <w:shd w:val="clear" w:color="auto" w:fill="F0FFFF"/>
          </w:tcPr>
          <w:p>
            <w:pPr>
              <w:spacing w:after="0"/>
              <w:rPr>
                <w:sz w:val="14"/>
                <w:szCs w:val="14"/>
                <w:color w:val="auto"/>
              </w:rPr>
            </w:pPr>
          </w:p>
        </w:tc>
        <w:tc>
          <w:tcPr>
            <w:tcW w:w="9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2,483</w:t>
            </w:r>
          </w:p>
        </w:tc>
        <w:tc>
          <w:tcPr>
            <w:tcW w:w="120" w:type="dxa"/>
            <w:vAlign w:val="bottom"/>
            <w:shd w:val="clear" w:color="auto" w:fill="F0FFFF"/>
          </w:tcPr>
          <w:p>
            <w:pPr>
              <w:spacing w:after="0"/>
              <w:rPr>
                <w:sz w:val="14"/>
                <w:szCs w:val="14"/>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18,595</w:t>
            </w:r>
          </w:p>
        </w:tc>
        <w:tc>
          <w:tcPr>
            <w:tcW w:w="120" w:type="dxa"/>
            <w:vAlign w:val="bottom"/>
            <w:tcBorders>
              <w:left w:val="single" w:sz="8" w:color="F0FFFF"/>
            </w:tcBorders>
            <w:shd w:val="clear" w:color="auto" w:fill="F0FFFF"/>
          </w:tcPr>
          <w:p>
            <w:pPr>
              <w:spacing w:after="0"/>
              <w:rPr>
                <w:sz w:val="14"/>
                <w:szCs w:val="14"/>
                <w:color w:val="auto"/>
              </w:rPr>
            </w:pPr>
          </w:p>
        </w:tc>
        <w:tc>
          <w:tcPr>
            <w:tcW w:w="80" w:type="dxa"/>
            <w:vAlign w:val="bottom"/>
            <w:shd w:val="clear" w:color="auto" w:fill="F0FFFF"/>
          </w:tcPr>
          <w:p>
            <w:pPr>
              <w:spacing w:after="0"/>
              <w:rPr>
                <w:sz w:val="14"/>
                <w:szCs w:val="14"/>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18,513</w:t>
            </w:r>
          </w:p>
        </w:tc>
        <w:tc>
          <w:tcPr>
            <w:tcW w:w="120" w:type="dxa"/>
            <w:vAlign w:val="bottom"/>
            <w:shd w:val="clear" w:color="auto" w:fill="F0FFFF"/>
          </w:tcPr>
          <w:p>
            <w:pPr>
              <w:spacing w:after="0"/>
              <w:rPr>
                <w:sz w:val="14"/>
                <w:szCs w:val="14"/>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1,023</w:t>
            </w:r>
          </w:p>
        </w:tc>
        <w:tc>
          <w:tcPr>
            <w:tcW w:w="100" w:type="dxa"/>
            <w:vAlign w:val="bottom"/>
            <w:tcBorders>
              <w:left w:val="single" w:sz="8" w:color="F0FFFF"/>
            </w:tcBorders>
            <w:shd w:val="clear" w:color="auto" w:fill="F0FFFF"/>
          </w:tcPr>
          <w:p>
            <w:pPr>
              <w:spacing w:after="0"/>
              <w:rPr>
                <w:sz w:val="14"/>
                <w:szCs w:val="14"/>
                <w:color w:val="auto"/>
              </w:rPr>
            </w:pPr>
          </w:p>
        </w:tc>
        <w:tc>
          <w:tcPr>
            <w:tcW w:w="120" w:type="dxa"/>
            <w:vAlign w:val="bottom"/>
            <w:shd w:val="clear" w:color="auto" w:fill="F0FFFF"/>
          </w:tcPr>
          <w:p>
            <w:pPr>
              <w:spacing w:after="0"/>
              <w:rPr>
                <w:sz w:val="14"/>
                <w:szCs w:val="14"/>
                <w:color w:val="auto"/>
              </w:rPr>
            </w:pPr>
          </w:p>
        </w:tc>
        <w:tc>
          <w:tcPr>
            <w:tcW w:w="90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20,067</w:t>
            </w:r>
          </w:p>
        </w:tc>
        <w:tc>
          <w:tcPr>
            <w:tcW w:w="80" w:type="dxa"/>
            <w:vAlign w:val="bottom"/>
            <w:shd w:val="clear" w:color="auto" w:fill="F0FFFF"/>
          </w:tcPr>
          <w:p>
            <w:pPr>
              <w:spacing w:after="0"/>
              <w:rPr>
                <w:sz w:val="14"/>
                <w:szCs w:val="14"/>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19,983</w:t>
            </w:r>
          </w:p>
        </w:tc>
        <w:tc>
          <w:tcPr>
            <w:tcW w:w="100" w:type="dxa"/>
            <w:vAlign w:val="bottom"/>
            <w:tcBorders>
              <w:left w:val="single" w:sz="8" w:color="F0FFFF"/>
            </w:tcBorders>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1,364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360" w:type="dxa"/>
            <w:vAlign w:val="bottom"/>
          </w:tcPr>
          <w:p>
            <w:pPr>
              <w:ind w:left="160"/>
              <w:spacing w:after="0" w:line="130" w:lineRule="exact"/>
              <w:rPr>
                <w:sz w:val="20"/>
                <w:szCs w:val="20"/>
                <w:color w:val="auto"/>
              </w:rPr>
            </w:pPr>
            <w:r>
              <w:rPr>
                <w:rFonts w:ascii="Arial" w:cs="Arial" w:eastAsia="Arial" w:hAnsi="Arial"/>
                <w:sz w:val="14"/>
                <w:szCs w:val="14"/>
                <w:color w:val="auto"/>
              </w:rPr>
              <w:t>Income producing commercial real</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60" w:type="dxa"/>
            <w:vAlign w:val="bottom"/>
          </w:tcPr>
          <w:p>
            <w:pPr>
              <w:ind w:left="320"/>
              <w:spacing w:after="0"/>
              <w:rPr>
                <w:sz w:val="20"/>
                <w:szCs w:val="20"/>
                <w:color w:val="auto"/>
              </w:rPr>
            </w:pPr>
            <w:r>
              <w:rPr>
                <w:rFonts w:ascii="Arial" w:cs="Arial" w:eastAsia="Arial" w:hAnsi="Arial"/>
                <w:sz w:val="14"/>
                <w:szCs w:val="14"/>
                <w:color w:val="auto"/>
              </w:rPr>
              <w:t>estate</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14,706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14,237</w:t>
            </w: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1,404</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17,490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17,490</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990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14,674</w:t>
            </w: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14,674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1,498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F0FFFF"/>
          </w:tcPr>
          <w:p>
            <w:pPr>
              <w:ind w:left="160"/>
              <w:spacing w:after="0" w:line="149" w:lineRule="exact"/>
              <w:rPr>
                <w:sz w:val="20"/>
                <w:szCs w:val="20"/>
                <w:color w:val="auto"/>
              </w:rPr>
            </w:pPr>
            <w:r>
              <w:rPr>
                <w:rFonts w:ascii="Arial" w:cs="Arial" w:eastAsia="Arial" w:hAnsi="Arial"/>
                <w:sz w:val="14"/>
                <w:szCs w:val="14"/>
                <w:color w:val="auto"/>
              </w:rPr>
              <w:t>Commercial &amp; industrial</w:t>
            </w:r>
          </w:p>
        </w:tc>
        <w:tc>
          <w:tcPr>
            <w:tcW w:w="120" w:type="dxa"/>
            <w:vAlign w:val="bottom"/>
            <w:shd w:val="clear" w:color="auto" w:fill="F0FFFF"/>
          </w:tcPr>
          <w:p>
            <w:pPr>
              <w:spacing w:after="0"/>
              <w:rPr>
                <w:sz w:val="12"/>
                <w:szCs w:val="12"/>
                <w:color w:val="auto"/>
              </w:rPr>
            </w:pPr>
          </w:p>
        </w:tc>
        <w:tc>
          <w:tcPr>
            <w:tcW w:w="74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1,931</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1,931</w:t>
            </w:r>
          </w:p>
        </w:tc>
        <w:tc>
          <w:tcPr>
            <w:tcW w:w="100" w:type="dxa"/>
            <w:vAlign w:val="bottom"/>
            <w:shd w:val="clear" w:color="auto" w:fill="F0FFFF"/>
          </w:tcPr>
          <w:p>
            <w:pPr>
              <w:spacing w:after="0"/>
              <w:rPr>
                <w:sz w:val="12"/>
                <w:szCs w:val="12"/>
                <w:color w:val="auto"/>
              </w:rPr>
            </w:pPr>
          </w:p>
        </w:tc>
        <w:tc>
          <w:tcPr>
            <w:tcW w:w="7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399</w:t>
            </w:r>
          </w:p>
        </w:tc>
        <w:tc>
          <w:tcPr>
            <w:tcW w:w="1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6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2,248</w:t>
            </w:r>
          </w:p>
        </w:tc>
        <w:tc>
          <w:tcPr>
            <w:tcW w:w="120" w:type="dxa"/>
            <w:vAlign w:val="bottom"/>
            <w:tcBorders>
              <w:lef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1,965</w:t>
            </w:r>
          </w:p>
        </w:tc>
        <w:tc>
          <w:tcPr>
            <w:tcW w:w="120" w:type="dxa"/>
            <w:vAlign w:val="bottom"/>
            <w:shd w:val="clear" w:color="auto" w:fill="F0FFFF"/>
          </w:tcPr>
          <w:p>
            <w:pPr>
              <w:spacing w:after="0"/>
              <w:rPr>
                <w:sz w:val="12"/>
                <w:szCs w:val="12"/>
                <w:color w:val="auto"/>
              </w:rPr>
            </w:pPr>
          </w:p>
        </w:tc>
        <w:tc>
          <w:tcPr>
            <w:tcW w:w="8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66</w:t>
            </w:r>
          </w:p>
        </w:tc>
        <w:tc>
          <w:tcPr>
            <w:tcW w:w="100" w:type="dxa"/>
            <w:vAlign w:val="bottom"/>
            <w:tcBorders>
              <w:lef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2,091</w:t>
            </w:r>
          </w:p>
        </w:tc>
        <w:tc>
          <w:tcPr>
            <w:tcW w:w="80" w:type="dxa"/>
            <w:vAlign w:val="bottom"/>
            <w:shd w:val="clear" w:color="auto" w:fill="F0FFFF"/>
          </w:tcPr>
          <w:p>
            <w:pPr>
              <w:spacing w:after="0"/>
              <w:rPr>
                <w:sz w:val="12"/>
                <w:szCs w:val="12"/>
                <w:color w:val="auto"/>
              </w:rPr>
            </w:pPr>
          </w:p>
        </w:tc>
        <w:tc>
          <w:tcPr>
            <w:tcW w:w="8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1,929</w:t>
            </w:r>
          </w:p>
        </w:tc>
        <w:tc>
          <w:tcPr>
            <w:tcW w:w="100" w:type="dxa"/>
            <w:vAlign w:val="bottom"/>
            <w:tcBorders>
              <w:lef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ind w:left="160"/>
              <w:spacing w:after="0" w:line="149" w:lineRule="exact"/>
              <w:rPr>
                <w:sz w:val="20"/>
                <w:szCs w:val="20"/>
                <w:color w:val="auto"/>
              </w:rPr>
            </w:pPr>
            <w:r>
              <w:rPr>
                <w:rFonts w:ascii="Arial" w:cs="Arial" w:eastAsia="Arial" w:hAnsi="Arial"/>
                <w:sz w:val="14"/>
                <w:szCs w:val="14"/>
                <w:color w:val="auto"/>
              </w:rPr>
              <w:t>Commercial construction</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11,194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11,019</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412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12,821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12,741</w:t>
            </w: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112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12,376</w:t>
            </w: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12,296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F0FFFF"/>
          </w:tcPr>
          <w:p>
            <w:pPr>
              <w:ind w:left="320"/>
              <w:spacing w:after="0" w:line="149" w:lineRule="exact"/>
              <w:rPr>
                <w:sz w:val="20"/>
                <w:szCs w:val="20"/>
                <w:color w:val="auto"/>
              </w:rPr>
            </w:pPr>
            <w:r>
              <w:rPr>
                <w:rFonts w:ascii="Arial" w:cs="Arial" w:eastAsia="Arial" w:hAnsi="Arial"/>
                <w:sz w:val="14"/>
                <w:szCs w:val="14"/>
                <w:color w:val="auto"/>
              </w:rPr>
              <w:t>Total commercial</w:t>
            </w:r>
          </w:p>
        </w:tc>
        <w:tc>
          <w:tcPr>
            <w:tcW w:w="120" w:type="dxa"/>
            <w:vAlign w:val="bottom"/>
            <w:shd w:val="clear" w:color="auto" w:fill="F0FFFF"/>
          </w:tcPr>
          <w:p>
            <w:pPr>
              <w:spacing w:after="0"/>
              <w:rPr>
                <w:sz w:val="12"/>
                <w:szCs w:val="12"/>
                <w:color w:val="auto"/>
              </w:rPr>
            </w:pPr>
          </w:p>
        </w:tc>
        <w:tc>
          <w:tcPr>
            <w:tcW w:w="74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48,118</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46,154</w:t>
            </w:r>
          </w:p>
        </w:tc>
        <w:tc>
          <w:tcPr>
            <w:tcW w:w="10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4,698</w:t>
            </w:r>
          </w:p>
        </w:tc>
        <w:tc>
          <w:tcPr>
            <w:tcW w:w="120" w:type="dxa"/>
            <w:vAlign w:val="bottom"/>
            <w:shd w:val="clear" w:color="auto" w:fill="F0FFFF"/>
          </w:tcPr>
          <w:p>
            <w:pPr>
              <w:spacing w:after="0"/>
              <w:rPr>
                <w:sz w:val="12"/>
                <w:szCs w:val="12"/>
                <w:color w:val="auto"/>
              </w:rPr>
            </w:pPr>
          </w:p>
        </w:tc>
        <w:tc>
          <w:tcPr>
            <w:tcW w:w="76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51,154</w:t>
            </w:r>
          </w:p>
        </w:tc>
        <w:tc>
          <w:tcPr>
            <w:tcW w:w="120" w:type="dxa"/>
            <w:vAlign w:val="bottom"/>
            <w:tcBorders>
              <w:lef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50,709</w:t>
            </w:r>
          </w:p>
        </w:tc>
        <w:tc>
          <w:tcPr>
            <w:tcW w:w="120" w:type="dxa"/>
            <w:vAlign w:val="bottom"/>
            <w:shd w:val="clear" w:color="auto" w:fill="F0FFFF"/>
          </w:tcPr>
          <w:p>
            <w:pPr>
              <w:spacing w:after="0"/>
              <w:rPr>
                <w:sz w:val="12"/>
                <w:szCs w:val="12"/>
                <w:color w:val="auto"/>
              </w:rPr>
            </w:pPr>
          </w:p>
        </w:tc>
        <w:tc>
          <w:tcPr>
            <w:tcW w:w="8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2,191</w:t>
            </w:r>
          </w:p>
        </w:tc>
        <w:tc>
          <w:tcPr>
            <w:tcW w:w="100" w:type="dxa"/>
            <w:vAlign w:val="bottom"/>
            <w:tcBorders>
              <w:lef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49,208</w:t>
            </w:r>
          </w:p>
        </w:tc>
        <w:tc>
          <w:tcPr>
            <w:tcW w:w="80" w:type="dxa"/>
            <w:vAlign w:val="bottom"/>
            <w:shd w:val="clear" w:color="auto" w:fill="F0FFFF"/>
          </w:tcPr>
          <w:p>
            <w:pPr>
              <w:spacing w:after="0"/>
              <w:rPr>
                <w:sz w:val="12"/>
                <w:szCs w:val="12"/>
                <w:color w:val="auto"/>
              </w:rPr>
            </w:pPr>
          </w:p>
        </w:tc>
        <w:tc>
          <w:tcPr>
            <w:tcW w:w="8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48,882</w:t>
            </w:r>
          </w:p>
        </w:tc>
        <w:tc>
          <w:tcPr>
            <w:tcW w:w="100" w:type="dxa"/>
            <w:vAlign w:val="bottom"/>
            <w:tcBorders>
              <w:lef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3,431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ind w:left="160"/>
              <w:spacing w:after="0" w:line="149" w:lineRule="exact"/>
              <w:rPr>
                <w:sz w:val="20"/>
                <w:szCs w:val="20"/>
                <w:color w:val="auto"/>
              </w:rPr>
            </w:pPr>
            <w:r>
              <w:rPr>
                <w:rFonts w:ascii="Arial" w:cs="Arial" w:eastAsia="Arial" w:hAnsi="Arial"/>
                <w:sz w:val="14"/>
                <w:szCs w:val="14"/>
                <w:color w:val="auto"/>
              </w:rPr>
              <w:t>Residential mortgage</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18,077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17,606</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3,117</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17,119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16,533</w:t>
            </w: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2,914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11,794</w:t>
            </w: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11,550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F0FFFF"/>
          </w:tcPr>
          <w:p>
            <w:pPr>
              <w:ind w:left="160"/>
              <w:spacing w:after="0" w:line="149" w:lineRule="exact"/>
              <w:rPr>
                <w:sz w:val="20"/>
                <w:szCs w:val="20"/>
                <w:color w:val="auto"/>
              </w:rPr>
            </w:pPr>
            <w:r>
              <w:rPr>
                <w:rFonts w:ascii="Arial" w:cs="Arial" w:eastAsia="Arial" w:hAnsi="Arial"/>
                <w:sz w:val="14"/>
                <w:szCs w:val="14"/>
                <w:color w:val="auto"/>
              </w:rPr>
              <w:t>Home equity lines of credit</w:t>
            </w:r>
          </w:p>
        </w:tc>
        <w:tc>
          <w:tcPr>
            <w:tcW w:w="120" w:type="dxa"/>
            <w:vAlign w:val="bottom"/>
            <w:shd w:val="clear" w:color="auto" w:fill="F0FFFF"/>
          </w:tcPr>
          <w:p>
            <w:pPr>
              <w:spacing w:after="0"/>
              <w:rPr>
                <w:sz w:val="12"/>
                <w:szCs w:val="12"/>
                <w:color w:val="auto"/>
              </w:rPr>
            </w:pPr>
          </w:p>
        </w:tc>
        <w:tc>
          <w:tcPr>
            <w:tcW w:w="74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540</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540</w:t>
            </w:r>
          </w:p>
        </w:tc>
        <w:tc>
          <w:tcPr>
            <w:tcW w:w="10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115</w:t>
            </w:r>
          </w:p>
        </w:tc>
        <w:tc>
          <w:tcPr>
            <w:tcW w:w="120" w:type="dxa"/>
            <w:vAlign w:val="bottom"/>
            <w:shd w:val="clear" w:color="auto" w:fill="F0FFFF"/>
          </w:tcPr>
          <w:p>
            <w:pPr>
              <w:spacing w:after="0"/>
              <w:rPr>
                <w:sz w:val="12"/>
                <w:szCs w:val="12"/>
                <w:color w:val="auto"/>
              </w:rPr>
            </w:pPr>
          </w:p>
        </w:tc>
        <w:tc>
          <w:tcPr>
            <w:tcW w:w="76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505</w:t>
            </w:r>
          </w:p>
        </w:tc>
        <w:tc>
          <w:tcPr>
            <w:tcW w:w="120" w:type="dxa"/>
            <w:vAlign w:val="bottom"/>
            <w:tcBorders>
              <w:lef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505</w:t>
            </w:r>
          </w:p>
        </w:tc>
        <w:tc>
          <w:tcPr>
            <w:tcW w:w="120" w:type="dxa"/>
            <w:vAlign w:val="bottom"/>
            <w:shd w:val="clear" w:color="auto" w:fill="F0FFFF"/>
          </w:tcPr>
          <w:p>
            <w:pPr>
              <w:spacing w:after="0"/>
              <w:rPr>
                <w:sz w:val="12"/>
                <w:szCs w:val="12"/>
                <w:color w:val="auto"/>
              </w:rPr>
            </w:pPr>
          </w:p>
        </w:tc>
        <w:tc>
          <w:tcPr>
            <w:tcW w:w="8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5</w:t>
            </w:r>
          </w:p>
        </w:tc>
        <w:tc>
          <w:tcPr>
            <w:tcW w:w="100" w:type="dxa"/>
            <w:vAlign w:val="bottom"/>
            <w:tcBorders>
              <w:lef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F0FFFF"/>
          </w:tcPr>
          <w:p>
            <w:pPr>
              <w:spacing w:after="0"/>
              <w:rPr>
                <w:sz w:val="12"/>
                <w:szCs w:val="12"/>
                <w:color w:val="auto"/>
              </w:rPr>
            </w:pPr>
          </w:p>
        </w:tc>
        <w:tc>
          <w:tcPr>
            <w:tcW w:w="8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lef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ind w:left="160"/>
              <w:spacing w:after="0" w:line="149" w:lineRule="exact"/>
              <w:rPr>
                <w:sz w:val="20"/>
                <w:szCs w:val="20"/>
                <w:color w:val="auto"/>
              </w:rPr>
            </w:pPr>
            <w:r>
              <w:rPr>
                <w:rFonts w:ascii="Arial" w:cs="Arial" w:eastAsia="Arial" w:hAnsi="Arial"/>
                <w:sz w:val="14"/>
                <w:szCs w:val="14"/>
                <w:color w:val="auto"/>
              </w:rPr>
              <w:t>Residential construction</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9,255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7,829</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1,054</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8,469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7,001</w:t>
            </w: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688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9,411</w:t>
            </w: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9,103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F0FFFF"/>
          </w:tcPr>
          <w:p>
            <w:pPr>
              <w:ind w:left="160"/>
              <w:spacing w:after="0" w:line="149" w:lineRule="exact"/>
              <w:rPr>
                <w:sz w:val="20"/>
                <w:szCs w:val="20"/>
                <w:color w:val="auto"/>
              </w:rPr>
            </w:pPr>
            <w:r>
              <w:rPr>
                <w:rFonts w:ascii="Arial" w:cs="Arial" w:eastAsia="Arial" w:hAnsi="Arial"/>
                <w:sz w:val="14"/>
                <w:szCs w:val="14"/>
                <w:color w:val="auto"/>
              </w:rPr>
              <w:t>Consumer installment</w:t>
            </w:r>
          </w:p>
        </w:tc>
        <w:tc>
          <w:tcPr>
            <w:tcW w:w="120" w:type="dxa"/>
            <w:vAlign w:val="bottom"/>
            <w:shd w:val="clear" w:color="auto" w:fill="F0FFFF"/>
          </w:tcPr>
          <w:p>
            <w:pPr>
              <w:spacing w:after="0"/>
              <w:rPr>
                <w:sz w:val="12"/>
                <w:szCs w:val="12"/>
                <w:color w:val="auto"/>
              </w:rPr>
            </w:pPr>
          </w:p>
        </w:tc>
        <w:tc>
          <w:tcPr>
            <w:tcW w:w="74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329</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329</w:t>
            </w:r>
          </w:p>
        </w:tc>
        <w:tc>
          <w:tcPr>
            <w:tcW w:w="100" w:type="dxa"/>
            <w:vAlign w:val="bottom"/>
            <w:shd w:val="clear" w:color="auto" w:fill="F0FFFF"/>
          </w:tcPr>
          <w:p>
            <w:pPr>
              <w:spacing w:after="0"/>
              <w:rPr>
                <w:sz w:val="12"/>
                <w:szCs w:val="12"/>
                <w:color w:val="auto"/>
              </w:rPr>
            </w:pPr>
          </w:p>
        </w:tc>
        <w:tc>
          <w:tcPr>
            <w:tcW w:w="7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33</w:t>
            </w:r>
          </w:p>
        </w:tc>
        <w:tc>
          <w:tcPr>
            <w:tcW w:w="1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6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999</w:t>
            </w:r>
          </w:p>
        </w:tc>
        <w:tc>
          <w:tcPr>
            <w:tcW w:w="120" w:type="dxa"/>
            <w:vAlign w:val="bottom"/>
            <w:tcBorders>
              <w:lef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999</w:t>
            </w:r>
          </w:p>
        </w:tc>
        <w:tc>
          <w:tcPr>
            <w:tcW w:w="120" w:type="dxa"/>
            <w:vAlign w:val="bottom"/>
            <w:shd w:val="clear" w:color="auto" w:fill="F0FFFF"/>
          </w:tcPr>
          <w:p>
            <w:pPr>
              <w:spacing w:after="0"/>
              <w:rPr>
                <w:sz w:val="12"/>
                <w:szCs w:val="12"/>
                <w:color w:val="auto"/>
              </w:rPr>
            </w:pPr>
          </w:p>
        </w:tc>
        <w:tc>
          <w:tcPr>
            <w:tcW w:w="8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224</w:t>
            </w:r>
          </w:p>
        </w:tc>
        <w:tc>
          <w:tcPr>
            <w:tcW w:w="100" w:type="dxa"/>
            <w:vAlign w:val="bottom"/>
            <w:tcBorders>
              <w:lef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244</w:t>
            </w:r>
          </w:p>
        </w:tc>
        <w:tc>
          <w:tcPr>
            <w:tcW w:w="80" w:type="dxa"/>
            <w:vAlign w:val="bottom"/>
            <w:shd w:val="clear" w:color="auto" w:fill="F0FFFF"/>
          </w:tcPr>
          <w:p>
            <w:pPr>
              <w:spacing w:after="0"/>
              <w:rPr>
                <w:sz w:val="12"/>
                <w:szCs w:val="12"/>
                <w:color w:val="auto"/>
              </w:rPr>
            </w:pPr>
          </w:p>
        </w:tc>
        <w:tc>
          <w:tcPr>
            <w:tcW w:w="8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235</w:t>
            </w:r>
          </w:p>
        </w:tc>
        <w:tc>
          <w:tcPr>
            <w:tcW w:w="100" w:type="dxa"/>
            <w:vAlign w:val="bottom"/>
            <w:tcBorders>
              <w:lef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ind w:left="160"/>
              <w:spacing w:after="0" w:line="149" w:lineRule="exact"/>
              <w:rPr>
                <w:sz w:val="20"/>
                <w:szCs w:val="20"/>
                <w:color w:val="auto"/>
              </w:rPr>
            </w:pPr>
            <w:r>
              <w:rPr>
                <w:rFonts w:ascii="Arial" w:cs="Arial" w:eastAsia="Arial" w:hAnsi="Arial"/>
                <w:sz w:val="14"/>
                <w:szCs w:val="14"/>
                <w:color w:val="auto"/>
              </w:rPr>
              <w:t>Indirect auto</w:t>
            </w:r>
          </w:p>
        </w:tc>
        <w:tc>
          <w:tcPr>
            <w:tcW w:w="120" w:type="dxa"/>
            <w:vAlign w:val="bottom"/>
          </w:tcPr>
          <w:p>
            <w:pPr>
              <w:spacing w:after="0"/>
              <w:rPr>
                <w:sz w:val="12"/>
                <w:szCs w:val="12"/>
                <w:color w:val="auto"/>
              </w:rPr>
            </w:pPr>
          </w:p>
        </w:tc>
        <w:tc>
          <w:tcPr>
            <w:tcW w:w="8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F0FFFF"/>
          </w:tcPr>
          <w:p>
            <w:pPr>
              <w:ind w:left="320"/>
              <w:spacing w:after="0" w:line="149" w:lineRule="exact"/>
              <w:rPr>
                <w:sz w:val="20"/>
                <w:szCs w:val="20"/>
                <w:color w:val="auto"/>
              </w:rPr>
            </w:pPr>
            <w:r>
              <w:rPr>
                <w:rFonts w:ascii="Arial" w:cs="Arial" w:eastAsia="Arial" w:hAnsi="Arial"/>
                <w:sz w:val="14"/>
                <w:szCs w:val="14"/>
                <w:color w:val="auto"/>
                <w:w w:val="98"/>
              </w:rPr>
              <w:t>Total with an allowance recorded</w:t>
            </w:r>
          </w:p>
        </w:tc>
        <w:tc>
          <w:tcPr>
            <w:tcW w:w="120" w:type="dxa"/>
            <w:vAlign w:val="bottom"/>
            <w:shd w:val="clear" w:color="auto" w:fill="F0FFFF"/>
          </w:tcPr>
          <w:p>
            <w:pPr>
              <w:spacing w:after="0"/>
              <w:rPr>
                <w:sz w:val="12"/>
                <w:szCs w:val="12"/>
                <w:color w:val="auto"/>
              </w:rPr>
            </w:pPr>
          </w:p>
        </w:tc>
        <w:tc>
          <w:tcPr>
            <w:tcW w:w="74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76,319</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72,458</w:t>
            </w:r>
          </w:p>
        </w:tc>
        <w:tc>
          <w:tcPr>
            <w:tcW w:w="10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9,017</w:t>
            </w:r>
          </w:p>
        </w:tc>
        <w:tc>
          <w:tcPr>
            <w:tcW w:w="120" w:type="dxa"/>
            <w:vAlign w:val="bottom"/>
            <w:shd w:val="clear" w:color="auto" w:fill="F0FFFF"/>
          </w:tcPr>
          <w:p>
            <w:pPr>
              <w:spacing w:after="0"/>
              <w:rPr>
                <w:sz w:val="12"/>
                <w:szCs w:val="12"/>
                <w:color w:val="auto"/>
              </w:rPr>
            </w:pPr>
          </w:p>
        </w:tc>
        <w:tc>
          <w:tcPr>
            <w:tcW w:w="76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78,246</w:t>
            </w:r>
          </w:p>
        </w:tc>
        <w:tc>
          <w:tcPr>
            <w:tcW w:w="120" w:type="dxa"/>
            <w:vAlign w:val="bottom"/>
            <w:tcBorders>
              <w:lef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75,747</w:t>
            </w:r>
          </w:p>
        </w:tc>
        <w:tc>
          <w:tcPr>
            <w:tcW w:w="120" w:type="dxa"/>
            <w:vAlign w:val="bottom"/>
            <w:shd w:val="clear" w:color="auto" w:fill="F0FFFF"/>
          </w:tcPr>
          <w:p>
            <w:pPr>
              <w:spacing w:after="0"/>
              <w:rPr>
                <w:sz w:val="12"/>
                <w:szCs w:val="12"/>
                <w:color w:val="auto"/>
              </w:rPr>
            </w:pPr>
          </w:p>
        </w:tc>
        <w:tc>
          <w:tcPr>
            <w:tcW w:w="8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6,022</w:t>
            </w:r>
          </w:p>
        </w:tc>
        <w:tc>
          <w:tcPr>
            <w:tcW w:w="100" w:type="dxa"/>
            <w:vAlign w:val="bottom"/>
            <w:tcBorders>
              <w:lef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70,657</w:t>
            </w:r>
          </w:p>
        </w:tc>
        <w:tc>
          <w:tcPr>
            <w:tcW w:w="80" w:type="dxa"/>
            <w:vAlign w:val="bottom"/>
            <w:shd w:val="clear" w:color="auto" w:fill="F0FFFF"/>
          </w:tcPr>
          <w:p>
            <w:pPr>
              <w:spacing w:after="0"/>
              <w:rPr>
                <w:sz w:val="12"/>
                <w:szCs w:val="12"/>
                <w:color w:val="auto"/>
              </w:rPr>
            </w:pPr>
          </w:p>
        </w:tc>
        <w:tc>
          <w:tcPr>
            <w:tcW w:w="8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69,770</w:t>
            </w:r>
          </w:p>
        </w:tc>
        <w:tc>
          <w:tcPr>
            <w:tcW w:w="100" w:type="dxa"/>
            <w:vAlign w:val="bottom"/>
            <w:tcBorders>
              <w:left w:val="single" w:sz="8" w:color="F0FFFF"/>
            </w:tcBorders>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5,057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36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Borders>
              <w:left w:val="single" w:sz="8" w:color="F0FFFF"/>
            </w:tcBorders>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Borders>
              <w:left w:val="single" w:sz="8" w:color="F0FFFF"/>
            </w:tcBorders>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Borders>
              <w:left w:val="single" w:sz="8" w:color="F0FFFF"/>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tcPr>
          <w:p>
            <w:pPr>
              <w:ind w:left="480"/>
              <w:spacing w:after="0"/>
              <w:rPr>
                <w:sz w:val="20"/>
                <w:szCs w:val="20"/>
                <w:color w:val="auto"/>
              </w:rPr>
            </w:pPr>
            <w:r>
              <w:rPr>
                <w:rFonts w:ascii="Arial" w:cs="Arial" w:eastAsia="Arial" w:hAnsi="Arial"/>
                <w:sz w:val="14"/>
                <w:szCs w:val="14"/>
                <w:color w:val="auto"/>
              </w:rPr>
              <w:t>Total</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114,975</w:t>
            </w:r>
          </w:p>
        </w:tc>
        <w:tc>
          <w:tcPr>
            <w:tcW w:w="1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107,496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9,017</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125,791</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114,619</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6,022</w:t>
            </w: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120,481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103,815</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5,057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491"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were no loans more than 90 days past due and still accruing interest at June 30, 2014, December 31, 2013 or June 30, 2013. Nonaccrual loans include both homogeneous loans that are collectively evaluated for impairment and individually evaluated impaired loans. United’s policy is to place loans on nonaccrual status when, in the opinion of management, the principal and interest on a loan is not likely to be repaid in accordance with the loan terms or when the loan becomes 90 days past due and is not well secured and in the process of collection. When a loan is classified on nonaccrual status, interest previously accrued but not collected is reversed against current interest revenue. Principal and interest payments received on a nonaccrual loan are applied to reduce outstanding principal.</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gross additional interest revenue that would have been earned if the loans classified as nonaccrual had performed in accordance with the original terms was approximately $96,000, and $556,000 for the three months ended June 30, 2014 and 2013, respectively, and $60,000 and $1.19 million for the six months ended June 30, 2014 and 2013, respectively. The gross additional interest revenue that would have been earned in for the three and six months ended June 30, 2014 and 2013 had performing TDRs performed in accordance with the original terms is immaterial.</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average balances of impaired loans and income recognized on impaired loans while they were considered impaired are presented below for the three and six months ended June 30, 2014 and 2013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2014</w:t>
            </w: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2"/>
              </w:rPr>
              <w:t>Interest</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180"/>
              <w:spacing w:after="0" w:line="198" w:lineRule="exact"/>
              <w:rPr>
                <w:sz w:val="20"/>
                <w:szCs w:val="20"/>
                <w:color w:val="auto"/>
              </w:rPr>
            </w:pPr>
            <w:r>
              <w:rPr>
                <w:rFonts w:ascii="Arial" w:cs="Arial" w:eastAsia="Arial" w:hAnsi="Arial"/>
                <w:sz w:val="18"/>
                <w:szCs w:val="18"/>
                <w:b w:val="1"/>
                <w:bCs w:val="1"/>
                <w:color w:val="auto"/>
                <w:w w:val="92"/>
              </w:rPr>
              <w:t>Interest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Revenue</w:t>
            </w: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Cash Basis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Revenue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Cash Basis</w:t>
            </w:r>
          </w:p>
        </w:tc>
      </w:t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Recognized</w:t>
            </w: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Interest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Recognized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Interest</w:t>
            </w:r>
          </w:p>
        </w:tc>
      </w:t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During</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Revenue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Average</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During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Revenue</w:t>
            </w:r>
          </w:p>
        </w:tc>
      </w:tr>
      <w:tr>
        <w:trPr>
          <w:trHeight w:val="241"/>
        </w:trPr>
        <w:tc>
          <w:tcPr>
            <w:tcW w:w="32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Three Months Ended June 30,</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Balance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Impairment</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Received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8"/>
              </w:rPr>
              <w:t>Balance</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6"/>
              </w:rPr>
              <w:t>Impairment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5"/>
              </w:rPr>
              <w:t>Received</w:t>
            </w:r>
          </w:p>
        </w:tc>
        <w:tc>
          <w:tcPr>
            <w:tcW w:w="100" w:type="dxa"/>
            <w:vAlign w:val="bottom"/>
          </w:tcPr>
          <w:p>
            <w:pPr>
              <w:spacing w:after="0"/>
              <w:rPr>
                <w:sz w:val="20"/>
                <w:szCs w:val="20"/>
                <w:color w:val="auto"/>
              </w:rPr>
            </w:pPr>
          </w:p>
        </w:tc>
      </w:tr>
      <w:tr>
        <w:trPr>
          <w:trHeight w:val="216"/>
        </w:trPr>
        <w:tc>
          <w:tcPr>
            <w:tcW w:w="3340" w:type="dxa"/>
            <w:vAlign w:val="bottom"/>
            <w:gridSpan w:val="2"/>
            <w:shd w:val="clear" w:color="auto" w:fill="F0FFFF"/>
          </w:tcPr>
          <w:p>
            <w:pPr>
              <w:ind w:left="180"/>
              <w:spacing w:after="0"/>
              <w:rPr>
                <w:sz w:val="20"/>
                <w:szCs w:val="20"/>
                <w:color w:val="auto"/>
              </w:rPr>
            </w:pPr>
            <w:r>
              <w:rPr>
                <w:rFonts w:ascii="Arial" w:cs="Arial" w:eastAsia="Arial" w:hAnsi="Arial"/>
                <w:sz w:val="18"/>
                <w:szCs w:val="18"/>
                <w:color w:val="auto"/>
                <w:w w:val="99"/>
              </w:rPr>
              <w:t>Owner occupied commercial real estate</w:t>
            </w: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31,558</w:t>
            </w:r>
          </w:p>
        </w:tc>
        <w:tc>
          <w:tcPr>
            <w:tcW w:w="2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403</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391</w:t>
            </w:r>
          </w:p>
        </w:tc>
        <w:tc>
          <w:tcPr>
            <w:tcW w:w="2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30,553</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373</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410</w:t>
            </w:r>
          </w:p>
        </w:tc>
      </w:tr>
      <w:tr>
        <w:trPr>
          <w:trHeight w:val="216"/>
        </w:trPr>
        <w:tc>
          <w:tcPr>
            <w:tcW w:w="3340" w:type="dxa"/>
            <w:vAlign w:val="bottom"/>
            <w:gridSpan w:val="2"/>
          </w:tcPr>
          <w:p>
            <w:pPr>
              <w:ind w:left="180"/>
              <w:spacing w:after="0"/>
              <w:rPr>
                <w:sz w:val="20"/>
                <w:szCs w:val="20"/>
                <w:color w:val="auto"/>
              </w:rPr>
            </w:pPr>
            <w:r>
              <w:rPr>
                <w:rFonts w:ascii="Arial" w:cs="Arial" w:eastAsia="Arial" w:hAnsi="Arial"/>
                <w:sz w:val="18"/>
                <w:szCs w:val="18"/>
                <w:color w:val="auto"/>
                <w:w w:val="95"/>
              </w:rPr>
              <w:t>Income producing commercial real estate</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26,415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21,638</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255</w:t>
            </w:r>
          </w:p>
        </w:tc>
      </w:tr>
      <w:tr>
        <w:trPr>
          <w:trHeight w:val="216"/>
        </w:trPr>
        <w:tc>
          <w:tcPr>
            <w:tcW w:w="3340" w:type="dxa"/>
            <w:vAlign w:val="bottom"/>
            <w:gridSpan w:val="2"/>
            <w:shd w:val="clear" w:color="auto" w:fill="F0FFFF"/>
          </w:tcPr>
          <w:p>
            <w:pPr>
              <w:ind w:left="180"/>
              <w:spacing w:after="0"/>
              <w:rPr>
                <w:sz w:val="20"/>
                <w:szCs w:val="20"/>
                <w:color w:val="auto"/>
              </w:rPr>
            </w:pPr>
            <w:r>
              <w:rPr>
                <w:rFonts w:ascii="Arial" w:cs="Arial" w:eastAsia="Arial" w:hAnsi="Arial"/>
                <w:sz w:val="18"/>
                <w:szCs w:val="18"/>
                <w:color w:val="auto"/>
              </w:rPr>
              <w:t>Commercial &amp; industrial</w:t>
            </w:r>
          </w:p>
        </w:tc>
        <w:tc>
          <w:tcPr>
            <w:tcW w:w="1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3,683</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5,804</w:t>
            </w:r>
          </w:p>
        </w:tc>
        <w:tc>
          <w:tcPr>
            <w:tcW w:w="1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70</w:t>
            </w:r>
          </w:p>
        </w:tc>
      </w:tr>
      <w:tr>
        <w:trPr>
          <w:trHeight w:val="216"/>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Commercial construction</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11,340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13,034</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340" w:type="dxa"/>
            <w:vAlign w:val="bottom"/>
            <w:gridSpan w:val="2"/>
            <w:shd w:val="clear" w:color="auto" w:fill="F0FFFF"/>
          </w:tcPr>
          <w:p>
            <w:pPr>
              <w:ind w:left="340"/>
              <w:spacing w:after="0"/>
              <w:rPr>
                <w:sz w:val="20"/>
                <w:szCs w:val="20"/>
                <w:color w:val="auto"/>
              </w:rPr>
            </w:pPr>
            <w:r>
              <w:rPr>
                <w:rFonts w:ascii="Arial" w:cs="Arial" w:eastAsia="Arial" w:hAnsi="Arial"/>
                <w:sz w:val="18"/>
                <w:szCs w:val="18"/>
                <w:color w:val="auto"/>
              </w:rPr>
              <w:t>Total commercial</w:t>
            </w:r>
          </w:p>
        </w:tc>
        <w:tc>
          <w:tcPr>
            <w:tcW w:w="16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72,996</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863</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865</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71,029</w:t>
            </w:r>
          </w:p>
        </w:tc>
        <w:tc>
          <w:tcPr>
            <w:tcW w:w="1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808</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850</w:t>
            </w:r>
          </w:p>
        </w:tc>
      </w:tr>
      <w:tr>
        <w:trPr>
          <w:trHeight w:val="216"/>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Residential mortgage</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20,598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18,426</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r>
      <w:tr>
        <w:trPr>
          <w:trHeight w:val="216"/>
        </w:trPr>
        <w:tc>
          <w:tcPr>
            <w:tcW w:w="3340" w:type="dxa"/>
            <w:vAlign w:val="bottom"/>
            <w:gridSpan w:val="2"/>
            <w:shd w:val="clear" w:color="auto" w:fill="F0FFFF"/>
          </w:tcPr>
          <w:p>
            <w:pPr>
              <w:ind w:left="180"/>
              <w:spacing w:after="0"/>
              <w:rPr>
                <w:sz w:val="20"/>
                <w:szCs w:val="20"/>
                <w:color w:val="auto"/>
              </w:rPr>
            </w:pPr>
            <w:r>
              <w:rPr>
                <w:rFonts w:ascii="Arial" w:cs="Arial" w:eastAsia="Arial" w:hAnsi="Arial"/>
                <w:sz w:val="18"/>
                <w:szCs w:val="18"/>
                <w:color w:val="auto"/>
              </w:rPr>
              <w:t>Home equity lines of credit</w:t>
            </w:r>
          </w:p>
        </w:tc>
        <w:tc>
          <w:tcPr>
            <w:tcW w:w="1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Residential construction</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13,762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14,058</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r>
      <w:tr>
        <w:trPr>
          <w:trHeight w:val="216"/>
        </w:trPr>
        <w:tc>
          <w:tcPr>
            <w:tcW w:w="3340" w:type="dxa"/>
            <w:vAlign w:val="bottom"/>
            <w:gridSpan w:val="2"/>
            <w:shd w:val="clear" w:color="auto" w:fill="F0FFFF"/>
          </w:tcPr>
          <w:p>
            <w:pPr>
              <w:ind w:left="180"/>
              <w:spacing w:after="0"/>
              <w:rPr>
                <w:sz w:val="20"/>
                <w:szCs w:val="20"/>
                <w:color w:val="auto"/>
              </w:rPr>
            </w:pPr>
            <w:r>
              <w:rPr>
                <w:rFonts w:ascii="Arial" w:cs="Arial" w:eastAsia="Arial" w:hAnsi="Arial"/>
                <w:sz w:val="18"/>
                <w:szCs w:val="18"/>
                <w:color w:val="auto"/>
              </w:rPr>
              <w:t>Consumer installment</w:t>
            </w:r>
          </w:p>
        </w:tc>
        <w:tc>
          <w:tcPr>
            <w:tcW w:w="1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335</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w:t>
            </w: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Indirect auto</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3340" w:type="dxa"/>
            <w:vAlign w:val="bottom"/>
            <w:gridSpan w:val="2"/>
            <w:shd w:val="clear" w:color="auto" w:fill="F0FFFF"/>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108,241</w:t>
            </w:r>
          </w:p>
        </w:tc>
        <w:tc>
          <w:tcPr>
            <w:tcW w:w="120" w:type="dxa"/>
            <w:vAlign w:val="bottom"/>
            <w:shd w:val="clear" w:color="auto" w:fill="F0FFFF"/>
          </w:tcPr>
          <w:p>
            <w:pPr>
              <w:spacing w:after="0"/>
              <w:rPr>
                <w:sz w:val="22"/>
                <w:szCs w:val="22"/>
                <w:color w:val="auto"/>
              </w:rPr>
            </w:pPr>
          </w:p>
        </w:tc>
        <w:tc>
          <w:tcPr>
            <w:tcW w:w="2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1,279</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1,268</w:t>
            </w:r>
          </w:p>
        </w:tc>
        <w:tc>
          <w:tcPr>
            <w:tcW w:w="2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104,283</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1,195</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1,194</w:t>
            </w:r>
          </w:p>
        </w:tc>
      </w:tr>
      <w:tr>
        <w:trPr>
          <w:trHeight w:val="210"/>
        </w:trPr>
        <w:tc>
          <w:tcPr>
            <w:tcW w:w="3200" w:type="dxa"/>
            <w:vAlign w:val="bottom"/>
            <w:tcBorders>
              <w:top w:val="single" w:sz="8" w:color="F0FFFF"/>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r>
      <w:tr>
        <w:trPr>
          <w:trHeight w:val="223"/>
        </w:trPr>
        <w:tc>
          <w:tcPr>
            <w:tcW w:w="3200" w:type="dxa"/>
            <w:vAlign w:val="bottom"/>
            <w:tcBorders>
              <w:bottom w:val="single" w:sz="8" w:color="auto"/>
            </w:tcBorders>
            <w:shd w:val="clear" w:color="auto" w:fill="F0FFFF"/>
          </w:tcPr>
          <w:p>
            <w:pPr>
              <w:ind w:left="180"/>
              <w:spacing w:after="0"/>
              <w:rPr>
                <w:sz w:val="20"/>
                <w:szCs w:val="20"/>
                <w:color w:val="auto"/>
              </w:rPr>
            </w:pPr>
            <w:r>
              <w:rPr>
                <w:rFonts w:ascii="Arial" w:cs="Arial" w:eastAsia="Arial" w:hAnsi="Arial"/>
                <w:sz w:val="18"/>
                <w:szCs w:val="18"/>
                <w:b w:val="1"/>
                <w:bCs w:val="1"/>
                <w:color w:val="auto"/>
              </w:rPr>
              <w:t>Six Months Ended June 30,</w:t>
            </w:r>
          </w:p>
        </w:tc>
        <w:tc>
          <w:tcPr>
            <w:tcW w:w="140" w:type="dxa"/>
            <w:vAlign w:val="bottom"/>
            <w:tcBorders>
              <w:bottom w:val="single" w:sz="8" w:color="F0FFFF"/>
            </w:tcBorders>
            <w:shd w:val="clear" w:color="auto" w:fill="F0FFFF"/>
          </w:tcPr>
          <w:p>
            <w:pPr>
              <w:spacing w:after="0"/>
              <w:rPr>
                <w:sz w:val="19"/>
                <w:szCs w:val="19"/>
                <w:color w:val="auto"/>
              </w:rPr>
            </w:pPr>
          </w:p>
        </w:tc>
        <w:tc>
          <w:tcPr>
            <w:tcW w:w="160" w:type="dxa"/>
            <w:vAlign w:val="bottom"/>
            <w:tcBorders>
              <w:bottom w:val="single" w:sz="8" w:color="F0FFFF"/>
            </w:tcBorders>
            <w:shd w:val="clear" w:color="auto" w:fill="F0FFFF"/>
          </w:tcPr>
          <w:p>
            <w:pPr>
              <w:spacing w:after="0"/>
              <w:rPr>
                <w:sz w:val="19"/>
                <w:szCs w:val="19"/>
                <w:color w:val="auto"/>
              </w:rPr>
            </w:pPr>
          </w:p>
        </w:tc>
        <w:tc>
          <w:tcPr>
            <w:tcW w:w="100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106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102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160" w:type="dxa"/>
            <w:vAlign w:val="bottom"/>
            <w:tcBorders>
              <w:bottom w:val="single" w:sz="8" w:color="F0FFFF"/>
            </w:tcBorders>
            <w:shd w:val="clear" w:color="auto" w:fill="F0FFFF"/>
          </w:tcPr>
          <w:p>
            <w:pPr>
              <w:spacing w:after="0"/>
              <w:rPr>
                <w:sz w:val="19"/>
                <w:szCs w:val="19"/>
                <w:color w:val="auto"/>
              </w:rPr>
            </w:pPr>
          </w:p>
        </w:tc>
        <w:tc>
          <w:tcPr>
            <w:tcW w:w="98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104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102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r>
      <w:tr>
        <w:trPr>
          <w:trHeight w:val="216"/>
        </w:trPr>
        <w:tc>
          <w:tcPr>
            <w:tcW w:w="3340" w:type="dxa"/>
            <w:vAlign w:val="bottom"/>
            <w:gridSpan w:val="2"/>
          </w:tcPr>
          <w:p>
            <w:pPr>
              <w:ind w:left="180"/>
              <w:spacing w:after="0"/>
              <w:rPr>
                <w:sz w:val="20"/>
                <w:szCs w:val="20"/>
                <w:color w:val="auto"/>
              </w:rPr>
            </w:pPr>
            <w:r>
              <w:rPr>
                <w:rFonts w:ascii="Arial" w:cs="Arial" w:eastAsia="Arial" w:hAnsi="Arial"/>
                <w:sz w:val="18"/>
                <w:szCs w:val="18"/>
                <w:color w:val="auto"/>
                <w:w w:val="99"/>
              </w:rPr>
              <w:t>Owner occupied commercial real estate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30,334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761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771</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56,372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1,099</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1,188</w:t>
            </w:r>
          </w:p>
        </w:tc>
      </w:tr>
      <w:tr>
        <w:trPr>
          <w:trHeight w:val="216"/>
        </w:trPr>
        <w:tc>
          <w:tcPr>
            <w:tcW w:w="3340" w:type="dxa"/>
            <w:vAlign w:val="bottom"/>
            <w:gridSpan w:val="2"/>
            <w:shd w:val="clear" w:color="auto" w:fill="F0FFFF"/>
          </w:tcPr>
          <w:p>
            <w:pPr>
              <w:ind w:left="180"/>
              <w:spacing w:after="0"/>
              <w:rPr>
                <w:sz w:val="20"/>
                <w:szCs w:val="20"/>
                <w:color w:val="auto"/>
              </w:rPr>
            </w:pPr>
            <w:r>
              <w:rPr>
                <w:rFonts w:ascii="Arial" w:cs="Arial" w:eastAsia="Arial" w:hAnsi="Arial"/>
                <w:sz w:val="18"/>
                <w:szCs w:val="18"/>
                <w:color w:val="auto"/>
                <w:w w:val="95"/>
              </w:rPr>
              <w:t>Income producing commercial real estate</w:t>
            </w:r>
          </w:p>
        </w:tc>
        <w:tc>
          <w:tcPr>
            <w:tcW w:w="1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26,138</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628</w:t>
            </w: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650</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17,861</w:t>
            </w:r>
          </w:p>
        </w:tc>
        <w:tc>
          <w:tcPr>
            <w:tcW w:w="1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478</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477</w:t>
            </w:r>
          </w:p>
        </w:tc>
      </w:tr>
      <w:tr>
        <w:trPr>
          <w:trHeight w:val="216"/>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Commercial &amp; industrial</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4,122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27,277</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699</w:t>
            </w:r>
          </w:p>
        </w:tc>
      </w:tr>
      <w:tr>
        <w:trPr>
          <w:trHeight w:val="216"/>
        </w:trPr>
        <w:tc>
          <w:tcPr>
            <w:tcW w:w="3340" w:type="dxa"/>
            <w:vAlign w:val="bottom"/>
            <w:gridSpan w:val="2"/>
            <w:shd w:val="clear" w:color="auto" w:fill="F0FFFF"/>
          </w:tcPr>
          <w:p>
            <w:pPr>
              <w:ind w:left="180"/>
              <w:spacing w:after="0"/>
              <w:rPr>
                <w:sz w:val="20"/>
                <w:szCs w:val="20"/>
                <w:color w:val="auto"/>
              </w:rPr>
            </w:pPr>
            <w:r>
              <w:rPr>
                <w:rFonts w:ascii="Arial" w:cs="Arial" w:eastAsia="Arial" w:hAnsi="Arial"/>
                <w:sz w:val="18"/>
                <w:szCs w:val="18"/>
                <w:color w:val="auto"/>
              </w:rPr>
              <w:t>Commercial construction</w:t>
            </w:r>
          </w:p>
        </w:tc>
        <w:tc>
          <w:tcPr>
            <w:tcW w:w="16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12,027</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216</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27,983</w:t>
            </w:r>
          </w:p>
        </w:tc>
        <w:tc>
          <w:tcPr>
            <w:tcW w:w="1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347</w:t>
            </w:r>
          </w:p>
        </w:tc>
      </w:tr>
      <w:tr>
        <w:trPr>
          <w:trHeight w:val="27"/>
        </w:trPr>
        <w:tc>
          <w:tcPr>
            <w:tcW w:w="3200" w:type="dxa"/>
            <w:vAlign w:val="bottom"/>
            <w:shd w:val="clear" w:color="auto" w:fill="F0FFFF"/>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r>
      <w:tr>
        <w:trPr>
          <w:trHeight w:val="216"/>
        </w:trPr>
        <w:tc>
          <w:tcPr>
            <w:tcW w:w="3340" w:type="dxa"/>
            <w:vAlign w:val="bottom"/>
            <w:gridSpan w:val="2"/>
          </w:tcPr>
          <w:p>
            <w:pPr>
              <w:ind w:left="340"/>
              <w:spacing w:after="0"/>
              <w:rPr>
                <w:sz w:val="20"/>
                <w:szCs w:val="20"/>
                <w:color w:val="auto"/>
              </w:rPr>
            </w:pPr>
            <w:r>
              <w:rPr>
                <w:rFonts w:ascii="Arial" w:cs="Arial" w:eastAsia="Arial" w:hAnsi="Arial"/>
                <w:sz w:val="18"/>
                <w:szCs w:val="18"/>
                <w:color w:val="auto"/>
              </w:rPr>
              <w:t>Total commercial</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72,621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1,697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129,493</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2,711</w:t>
            </w:r>
          </w:p>
        </w:tc>
      </w:tr>
      <w:tr>
        <w:trPr>
          <w:trHeight w:val="216"/>
        </w:trPr>
        <w:tc>
          <w:tcPr>
            <w:tcW w:w="3340" w:type="dxa"/>
            <w:vAlign w:val="bottom"/>
            <w:gridSpan w:val="2"/>
            <w:shd w:val="clear" w:color="auto" w:fill="F0FFFF"/>
          </w:tcPr>
          <w:p>
            <w:pPr>
              <w:ind w:left="180"/>
              <w:spacing w:after="0"/>
              <w:rPr>
                <w:sz w:val="20"/>
                <w:szCs w:val="20"/>
                <w:color w:val="auto"/>
              </w:rPr>
            </w:pPr>
            <w:r>
              <w:rPr>
                <w:rFonts w:ascii="Arial" w:cs="Arial" w:eastAsia="Arial" w:hAnsi="Arial"/>
                <w:sz w:val="18"/>
                <w:szCs w:val="18"/>
                <w:color w:val="auto"/>
              </w:rPr>
              <w:t>Residential mortgage</w:t>
            </w:r>
          </w:p>
        </w:tc>
        <w:tc>
          <w:tcPr>
            <w:tcW w:w="1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20,960</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457</w:t>
            </w: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19,654</w:t>
            </w:r>
          </w:p>
        </w:tc>
        <w:tc>
          <w:tcPr>
            <w:tcW w:w="1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435</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406</w:t>
            </w:r>
          </w:p>
        </w:tc>
      </w:tr>
      <w:tr>
        <w:trPr>
          <w:trHeight w:val="216"/>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Home equity lines of credit</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3340" w:type="dxa"/>
            <w:vAlign w:val="bottom"/>
            <w:gridSpan w:val="2"/>
            <w:shd w:val="clear" w:color="auto" w:fill="F0FFFF"/>
          </w:tcPr>
          <w:p>
            <w:pPr>
              <w:ind w:left="180"/>
              <w:spacing w:after="0"/>
              <w:rPr>
                <w:sz w:val="20"/>
                <w:szCs w:val="20"/>
                <w:color w:val="auto"/>
              </w:rPr>
            </w:pPr>
            <w:r>
              <w:rPr>
                <w:rFonts w:ascii="Arial" w:cs="Arial" w:eastAsia="Arial" w:hAnsi="Arial"/>
                <w:sz w:val="18"/>
                <w:szCs w:val="18"/>
                <w:color w:val="auto"/>
              </w:rPr>
              <w:t>Residential construction</w:t>
            </w:r>
          </w:p>
        </w:tc>
        <w:tc>
          <w:tcPr>
            <w:tcW w:w="1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13,400</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322</w:t>
            </w: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29,374</w:t>
            </w:r>
          </w:p>
        </w:tc>
        <w:tc>
          <w:tcPr>
            <w:tcW w:w="1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504</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575</w:t>
            </w:r>
          </w:p>
        </w:tc>
      </w:tr>
      <w:tr>
        <w:trPr>
          <w:trHeight w:val="216"/>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Consumer installment</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3340" w:type="dxa"/>
            <w:vAlign w:val="bottom"/>
            <w:gridSpan w:val="2"/>
            <w:shd w:val="clear" w:color="auto" w:fill="F0FFFF"/>
          </w:tcPr>
          <w:p>
            <w:pPr>
              <w:ind w:left="180"/>
              <w:spacing w:after="0"/>
              <w:rPr>
                <w:sz w:val="20"/>
                <w:szCs w:val="20"/>
                <w:color w:val="auto"/>
              </w:rPr>
            </w:pPr>
            <w:r>
              <w:rPr>
                <w:rFonts w:ascii="Arial" w:cs="Arial" w:eastAsia="Arial" w:hAnsi="Arial"/>
                <w:sz w:val="18"/>
                <w:szCs w:val="18"/>
                <w:color w:val="auto"/>
              </w:rPr>
              <w:t>Indirect auto</w:t>
            </w:r>
          </w:p>
        </w:tc>
        <w:tc>
          <w:tcPr>
            <w:tcW w:w="160" w:type="dxa"/>
            <w:vAlign w:val="bottom"/>
            <w:shd w:val="clear" w:color="auto" w:fill="F0FFFF"/>
          </w:tcPr>
          <w:p>
            <w:pPr>
              <w:spacing w:after="0"/>
              <w:rPr>
                <w:sz w:val="18"/>
                <w:szCs w:val="18"/>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3200" w:type="dxa"/>
            <w:vAlign w:val="bottom"/>
            <w:shd w:val="clear" w:color="auto" w:fill="F0FFFF"/>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r>
      <w:tr>
        <w:trPr>
          <w:trHeight w:val="216"/>
        </w:trPr>
        <w:tc>
          <w:tcPr>
            <w:tcW w:w="334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107,901</w:t>
            </w:r>
          </w:p>
        </w:tc>
        <w:tc>
          <w:tcPr>
            <w:tcW w:w="12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2,498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2,570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179,309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3,021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3,712</w:t>
            </w:r>
          </w:p>
        </w:tc>
      </w:tr>
      <w:tr>
        <w:trPr>
          <w:trHeight w:val="21"/>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42"/>
        </w:trPr>
        <w:tc>
          <w:tcPr>
            <w:tcW w:w="32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60" w:type="dxa"/>
            <w:vAlign w:val="bottom"/>
            <w:tcBorders>
              <w:bottom w:val="single" w:sz="8" w:color="DCDCDC"/>
            </w:tcBorders>
          </w:tcPr>
          <w:p>
            <w:pPr>
              <w:jc w:val="right"/>
              <w:ind w:right="10"/>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18"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presents the aging of the recorded investment in past due loans as of June 30, 2014, December 31, 2013 and June 30, 2013 by class of loans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8"/>
                <w:szCs w:val="18"/>
                <w:b w:val="1"/>
                <w:bCs w:val="1"/>
                <w:color w:val="auto"/>
              </w:rPr>
              <w:t>Loans Past Due</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Loans Not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34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As of June 30, 2014</w:t>
            </w:r>
          </w:p>
        </w:tc>
        <w:tc>
          <w:tcPr>
            <w:tcW w:w="100" w:type="dxa"/>
            <w:vAlign w:val="bottom"/>
          </w:tcPr>
          <w:p>
            <w:pPr>
              <w:spacing w:after="0"/>
              <w:rPr>
                <w:sz w:val="15"/>
                <w:szCs w:val="15"/>
                <w:color w:val="auto"/>
              </w:rPr>
            </w:pPr>
          </w:p>
        </w:tc>
        <w:tc>
          <w:tcPr>
            <w:tcW w:w="118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30 - 59 Days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60 - 89 Days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300"/>
              <w:spacing w:after="0" w:line="176" w:lineRule="exact"/>
              <w:rPr>
                <w:sz w:val="20"/>
                <w:szCs w:val="20"/>
                <w:color w:val="auto"/>
              </w:rPr>
            </w:pPr>
            <w:r>
              <w:rPr>
                <w:rFonts w:ascii="Arial" w:cs="Arial" w:eastAsia="Arial" w:hAnsi="Arial"/>
                <w:sz w:val="18"/>
                <w:szCs w:val="18"/>
                <w:b w:val="1"/>
                <w:bCs w:val="1"/>
                <w:color w:val="auto"/>
                <w:w w:val="93"/>
              </w:rPr>
              <w:t>&gt; 90 Days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290"/>
              <w:spacing w:after="0" w:line="176" w:lineRule="exact"/>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tcPr>
          <w:p>
            <w:pPr>
              <w:jc w:val="right"/>
              <w:ind w:right="320"/>
              <w:spacing w:after="0" w:line="176" w:lineRule="exact"/>
              <w:rPr>
                <w:sz w:val="20"/>
                <w:szCs w:val="20"/>
                <w:color w:val="auto"/>
              </w:rPr>
            </w:pPr>
            <w:r>
              <w:rPr>
                <w:rFonts w:ascii="Arial" w:cs="Arial" w:eastAsia="Arial" w:hAnsi="Arial"/>
                <w:sz w:val="18"/>
                <w:szCs w:val="18"/>
                <w:b w:val="1"/>
                <w:bCs w:val="1"/>
                <w:color w:val="auto"/>
                <w:w w:val="98"/>
              </w:rPr>
              <w:t>Past Due</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ind w:left="140"/>
              <w:spacing w:after="0" w:line="176"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Owner occupied commercial real estate</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448</w:t>
            </w:r>
          </w:p>
        </w:tc>
        <w:tc>
          <w:tcPr>
            <w:tcW w:w="2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1,239</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762</w:t>
            </w:r>
          </w:p>
        </w:tc>
        <w:tc>
          <w:tcPr>
            <w:tcW w:w="3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2,449</w:t>
            </w: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1,160,878</w:t>
            </w:r>
          </w:p>
        </w:tc>
        <w:tc>
          <w:tcPr>
            <w:tcW w:w="3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1,163,327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Income producing commercial real estate</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2,030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2,272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596,046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598,318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1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930</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405</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1,436</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552,653</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554,089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Commercial construction</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166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159,589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159,755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F0FFFF"/>
          </w:tcPr>
          <w:p>
            <w:pPr>
              <w:ind w:left="320"/>
              <w:spacing w:after="0"/>
              <w:rPr>
                <w:sz w:val="20"/>
                <w:szCs w:val="20"/>
                <w:color w:val="auto"/>
              </w:rPr>
            </w:pPr>
            <w:r>
              <w:rPr>
                <w:rFonts w:ascii="Arial" w:cs="Arial" w:eastAsia="Arial" w:hAnsi="Arial"/>
                <w:sz w:val="18"/>
                <w:szCs w:val="18"/>
                <w:color w:val="auto"/>
              </w:rPr>
              <w:t>Total commercial</w:t>
            </w:r>
          </w:p>
        </w:tc>
        <w:tc>
          <w:tcPr>
            <w:tcW w:w="10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3,524</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1,340</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1,459</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6,323</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2,469,166</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2,475,489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Residential mortgage</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7,372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1,404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11,926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848,599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860,525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Home equity lines of credit</w:t>
            </w:r>
          </w:p>
        </w:tc>
        <w:tc>
          <w:tcPr>
            <w:tcW w:w="1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1,609</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1,881</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449,554</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451,435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Residential construction</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1,246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1,331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3,161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298,576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301,737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Consumer installment</w:t>
            </w:r>
          </w:p>
        </w:tc>
        <w:tc>
          <w:tcPr>
            <w:tcW w:w="1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677</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758</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104,402</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105,160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Indirect auto</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550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215,389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215,939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gridSpan w:val="3"/>
            <w:shd w:val="clear" w:color="auto" w:fill="F0FFFF"/>
          </w:tcPr>
          <w:p>
            <w:pPr>
              <w:ind w:left="160"/>
              <w:spacing w:after="0"/>
              <w:rPr>
                <w:sz w:val="20"/>
                <w:szCs w:val="20"/>
                <w:color w:val="auto"/>
              </w:rPr>
            </w:pPr>
            <w:r>
              <w:rPr>
                <w:rFonts w:ascii="Arial" w:cs="Arial" w:eastAsia="Arial" w:hAnsi="Arial"/>
                <w:sz w:val="18"/>
                <w:szCs w:val="18"/>
                <w:color w:val="auto"/>
              </w:rPr>
              <w:t>Total loans</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14,686</w:t>
            </w:r>
          </w:p>
        </w:tc>
        <w:tc>
          <w:tcPr>
            <w:tcW w:w="120" w:type="dxa"/>
            <w:vAlign w:val="bottom"/>
            <w:shd w:val="clear" w:color="auto" w:fill="F0FFFF"/>
          </w:tcPr>
          <w:p>
            <w:pPr>
              <w:spacing w:after="0"/>
              <w:rPr>
                <w:sz w:val="22"/>
                <w:szCs w:val="22"/>
                <w:color w:val="auto"/>
              </w:rPr>
            </w:pPr>
          </w:p>
        </w:tc>
        <w:tc>
          <w:tcPr>
            <w:tcW w:w="2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3,700</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6,213</w:t>
            </w:r>
          </w:p>
        </w:tc>
        <w:tc>
          <w:tcPr>
            <w:tcW w:w="3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24,599</w:t>
            </w: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4,385,686</w:t>
            </w:r>
          </w:p>
        </w:tc>
        <w:tc>
          <w:tcPr>
            <w:tcW w:w="3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4,410,285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tcBorders>
              <w:top w:val="single" w:sz="8" w:color="F0FFFF"/>
            </w:tcBorders>
            <w:gridSpan w:val="3"/>
          </w:tcPr>
          <w:p>
            <w:pPr>
              <w:spacing w:after="0" w:line="170" w:lineRule="exact"/>
              <w:rPr>
                <w:sz w:val="20"/>
                <w:szCs w:val="20"/>
                <w:color w:val="auto"/>
              </w:rPr>
            </w:pPr>
            <w:r>
              <w:rPr>
                <w:rFonts w:ascii="Arial" w:cs="Arial" w:eastAsia="Arial" w:hAnsi="Arial"/>
                <w:sz w:val="18"/>
                <w:szCs w:val="18"/>
                <w:b w:val="1"/>
                <w:bCs w:val="1"/>
                <w:color w:val="auto"/>
              </w:rPr>
              <w:t>As of December 31, 2013</w:t>
            </w: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Borders>
              <w:top w:val="single" w:sz="8" w:color="F0FFFF"/>
            </w:tcBorders>
          </w:tcPr>
          <w:p>
            <w:pPr>
              <w:spacing w:after="0"/>
              <w:rPr>
                <w:sz w:val="14"/>
                <w:szCs w:val="14"/>
                <w:color w:val="auto"/>
              </w:rPr>
            </w:pPr>
          </w:p>
        </w:tc>
        <w:tc>
          <w:tcPr>
            <w:tcW w:w="120" w:type="dxa"/>
            <w:vAlign w:val="bottom"/>
            <w:tcBorders>
              <w:top w:val="single" w:sz="8" w:color="F0FF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Borders>
              <w:top w:val="single" w:sz="8" w:color="F0FFFF"/>
            </w:tcBorders>
          </w:tcPr>
          <w:p>
            <w:pPr>
              <w:spacing w:after="0"/>
              <w:rPr>
                <w:sz w:val="14"/>
                <w:szCs w:val="14"/>
                <w:color w:val="auto"/>
              </w:rPr>
            </w:pPr>
          </w:p>
        </w:tc>
        <w:tc>
          <w:tcPr>
            <w:tcW w:w="100" w:type="dxa"/>
            <w:vAlign w:val="bottom"/>
            <w:tcBorders>
              <w:top w:val="single" w:sz="8" w:color="F0FF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Borders>
              <w:top w:val="single" w:sz="8" w:color="F0FFFF"/>
            </w:tcBorders>
          </w:tcPr>
          <w:p>
            <w:pPr>
              <w:spacing w:after="0"/>
              <w:rPr>
                <w:sz w:val="14"/>
                <w:szCs w:val="14"/>
                <w:color w:val="auto"/>
              </w:rPr>
            </w:pPr>
          </w:p>
        </w:tc>
        <w:tc>
          <w:tcPr>
            <w:tcW w:w="120" w:type="dxa"/>
            <w:vAlign w:val="bottom"/>
            <w:tcBorders>
              <w:top w:val="single" w:sz="8" w:color="F0FF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00" w:type="dxa"/>
            <w:vAlign w:val="bottom"/>
            <w:tcBorders>
              <w:top w:val="single" w:sz="8" w:color="F0FF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Borders>
              <w:top w:val="single" w:sz="8" w:color="F0FFFF"/>
            </w:tcBorders>
          </w:tcPr>
          <w:p>
            <w:pPr>
              <w:spacing w:after="0"/>
              <w:rPr>
                <w:sz w:val="14"/>
                <w:szCs w:val="14"/>
                <w:color w:val="auto"/>
              </w:rPr>
            </w:pPr>
          </w:p>
        </w:tc>
        <w:tc>
          <w:tcPr>
            <w:tcW w:w="120" w:type="dxa"/>
            <w:vAlign w:val="bottom"/>
            <w:tcBorders>
              <w:top w:val="single" w:sz="8" w:color="F0FF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F0FFFF"/>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Owner occupied commercial real estate</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1,845</w:t>
            </w:r>
          </w:p>
        </w:tc>
        <w:tc>
          <w:tcPr>
            <w:tcW w:w="2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705</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2,017</w:t>
            </w:r>
          </w:p>
        </w:tc>
        <w:tc>
          <w:tcPr>
            <w:tcW w:w="3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4,567</w:t>
            </w: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1,128,976</w:t>
            </w:r>
          </w:p>
        </w:tc>
        <w:tc>
          <w:tcPr>
            <w:tcW w:w="3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1,133,543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Income producing commercial real estate</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3,879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2,092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6,501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616,666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623,167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1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2,349</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88</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2,660</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469,301</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471,961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Commercial construction</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519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148,384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148,903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F0FFFF"/>
          </w:tcPr>
          <w:p>
            <w:pPr>
              <w:ind w:left="320"/>
              <w:spacing w:after="0"/>
              <w:rPr>
                <w:sz w:val="20"/>
                <w:szCs w:val="20"/>
                <w:color w:val="auto"/>
              </w:rPr>
            </w:pPr>
            <w:r>
              <w:rPr>
                <w:rFonts w:ascii="Arial" w:cs="Arial" w:eastAsia="Arial" w:hAnsi="Arial"/>
                <w:sz w:val="18"/>
                <w:szCs w:val="18"/>
                <w:color w:val="auto"/>
              </w:rPr>
              <w:t>Total commercial</w:t>
            </w:r>
          </w:p>
        </w:tc>
        <w:tc>
          <w:tcPr>
            <w:tcW w:w="10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8,167</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3,210</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2,870</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14,247</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2,363,327</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2,377,574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Residential mortgage</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9,011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2,832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4,140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15,983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859,094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875,077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Home equity lines of credit</w:t>
            </w:r>
          </w:p>
        </w:tc>
        <w:tc>
          <w:tcPr>
            <w:tcW w:w="1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2,056</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941</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3,427</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437,460</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440,887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Residential construction</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1,335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1,375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3,298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325,281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328,579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Consumer installment</w:t>
            </w:r>
          </w:p>
        </w:tc>
        <w:tc>
          <w:tcPr>
            <w:tcW w:w="1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1,058</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1,440</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109,605</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111,045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Indirect auto</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292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195,812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196,104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320" w:type="dxa"/>
            <w:vAlign w:val="bottom"/>
            <w:gridSpan w:val="3"/>
            <w:shd w:val="clear" w:color="auto" w:fill="F0FFFF"/>
          </w:tcPr>
          <w:p>
            <w:pPr>
              <w:ind w:left="160"/>
              <w:spacing w:after="0"/>
              <w:rPr>
                <w:sz w:val="20"/>
                <w:szCs w:val="20"/>
                <w:color w:val="auto"/>
              </w:rPr>
            </w:pPr>
            <w:r>
              <w:rPr>
                <w:rFonts w:ascii="Arial" w:cs="Arial" w:eastAsia="Arial" w:hAnsi="Arial"/>
                <w:sz w:val="18"/>
                <w:szCs w:val="18"/>
                <w:color w:val="auto"/>
              </w:rPr>
              <w:t>Total loans</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21,812</w:t>
            </w:r>
          </w:p>
        </w:tc>
        <w:tc>
          <w:tcPr>
            <w:tcW w:w="120" w:type="dxa"/>
            <w:vAlign w:val="bottom"/>
            <w:shd w:val="clear" w:color="auto" w:fill="F0FFFF"/>
          </w:tcPr>
          <w:p>
            <w:pPr>
              <w:spacing w:after="0"/>
              <w:rPr>
                <w:sz w:val="22"/>
                <w:szCs w:val="22"/>
                <w:color w:val="auto"/>
              </w:rPr>
            </w:pPr>
          </w:p>
        </w:tc>
        <w:tc>
          <w:tcPr>
            <w:tcW w:w="2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7,483</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9,392</w:t>
            </w:r>
          </w:p>
        </w:tc>
        <w:tc>
          <w:tcPr>
            <w:tcW w:w="3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38,687</w:t>
            </w: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4,290,579</w:t>
            </w:r>
          </w:p>
        </w:tc>
        <w:tc>
          <w:tcPr>
            <w:tcW w:w="3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4,329,266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320" w:type="dxa"/>
            <w:vAlign w:val="bottom"/>
            <w:tcBorders>
              <w:top w:val="single" w:sz="8" w:color="F0FFFF"/>
            </w:tcBorders>
            <w:gridSpan w:val="3"/>
          </w:tcPr>
          <w:p>
            <w:pPr>
              <w:spacing w:after="0" w:line="170" w:lineRule="exact"/>
              <w:rPr>
                <w:sz w:val="20"/>
                <w:szCs w:val="20"/>
                <w:color w:val="auto"/>
              </w:rPr>
            </w:pPr>
            <w:r>
              <w:rPr>
                <w:rFonts w:ascii="Arial" w:cs="Arial" w:eastAsia="Arial" w:hAnsi="Arial"/>
                <w:sz w:val="18"/>
                <w:szCs w:val="18"/>
                <w:b w:val="1"/>
                <w:bCs w:val="1"/>
                <w:color w:val="auto"/>
              </w:rPr>
              <w:t>As of June 30, 2013</w:t>
            </w: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Borders>
              <w:top w:val="single" w:sz="8" w:color="F0FFFF"/>
            </w:tcBorders>
          </w:tcPr>
          <w:p>
            <w:pPr>
              <w:spacing w:after="0"/>
              <w:rPr>
                <w:sz w:val="14"/>
                <w:szCs w:val="14"/>
                <w:color w:val="auto"/>
              </w:rPr>
            </w:pPr>
          </w:p>
        </w:tc>
        <w:tc>
          <w:tcPr>
            <w:tcW w:w="120" w:type="dxa"/>
            <w:vAlign w:val="bottom"/>
            <w:tcBorders>
              <w:top w:val="single" w:sz="8" w:color="F0FF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Borders>
              <w:top w:val="single" w:sz="8" w:color="F0FFFF"/>
            </w:tcBorders>
          </w:tcPr>
          <w:p>
            <w:pPr>
              <w:spacing w:after="0"/>
              <w:rPr>
                <w:sz w:val="14"/>
                <w:szCs w:val="14"/>
                <w:color w:val="auto"/>
              </w:rPr>
            </w:pPr>
          </w:p>
        </w:tc>
        <w:tc>
          <w:tcPr>
            <w:tcW w:w="100" w:type="dxa"/>
            <w:vAlign w:val="bottom"/>
            <w:tcBorders>
              <w:top w:val="single" w:sz="8" w:color="F0FF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Borders>
              <w:top w:val="single" w:sz="8" w:color="F0FFFF"/>
            </w:tcBorders>
          </w:tcPr>
          <w:p>
            <w:pPr>
              <w:spacing w:after="0"/>
              <w:rPr>
                <w:sz w:val="14"/>
                <w:szCs w:val="14"/>
                <w:color w:val="auto"/>
              </w:rPr>
            </w:pPr>
          </w:p>
        </w:tc>
        <w:tc>
          <w:tcPr>
            <w:tcW w:w="120" w:type="dxa"/>
            <w:vAlign w:val="bottom"/>
            <w:tcBorders>
              <w:top w:val="single" w:sz="8" w:color="F0FF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00" w:type="dxa"/>
            <w:vAlign w:val="bottom"/>
            <w:tcBorders>
              <w:top w:val="single" w:sz="8" w:color="F0FF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Borders>
              <w:top w:val="single" w:sz="8" w:color="F0FFFF"/>
            </w:tcBorders>
          </w:tcPr>
          <w:p>
            <w:pPr>
              <w:spacing w:after="0"/>
              <w:rPr>
                <w:sz w:val="14"/>
                <w:szCs w:val="14"/>
                <w:color w:val="auto"/>
              </w:rPr>
            </w:pPr>
          </w:p>
        </w:tc>
        <w:tc>
          <w:tcPr>
            <w:tcW w:w="120" w:type="dxa"/>
            <w:vAlign w:val="bottom"/>
            <w:tcBorders>
              <w:top w:val="single" w:sz="8" w:color="F0FF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Borders>
              <w:top w:val="single" w:sz="8" w:color="F0FFFF"/>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Owner occupied commercial real estate</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2,502</w:t>
            </w:r>
          </w:p>
        </w:tc>
        <w:tc>
          <w:tcPr>
            <w:tcW w:w="2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631</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1,655</w:t>
            </w:r>
          </w:p>
        </w:tc>
        <w:tc>
          <w:tcPr>
            <w:tcW w:w="3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4,788</w:t>
            </w: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1,114,228</w:t>
            </w:r>
          </w:p>
        </w:tc>
        <w:tc>
          <w:tcPr>
            <w:tcW w:w="3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1,119,016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Income producing commercial real estate</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1,585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627,544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629,129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1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1,123</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1,768</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435,220</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436,988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Commercial construction</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1,559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131,003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132,562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F0FFFF"/>
          </w:tcPr>
          <w:p>
            <w:pPr>
              <w:ind w:left="320"/>
              <w:spacing w:after="0"/>
              <w:rPr>
                <w:sz w:val="20"/>
                <w:szCs w:val="20"/>
                <w:color w:val="auto"/>
              </w:rPr>
            </w:pPr>
            <w:r>
              <w:rPr>
                <w:rFonts w:ascii="Arial" w:cs="Arial" w:eastAsia="Arial" w:hAnsi="Arial"/>
                <w:sz w:val="18"/>
                <w:szCs w:val="18"/>
                <w:color w:val="auto"/>
              </w:rPr>
              <w:t>Total commercial</w:t>
            </w:r>
          </w:p>
        </w:tc>
        <w:tc>
          <w:tcPr>
            <w:tcW w:w="10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5,792</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1,431</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2,477</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9,700</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2,307,995</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2,317,695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Residential mortgage</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8,856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3,953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4,782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17,591</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859,017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876,608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Home equity lines of credit</w:t>
            </w:r>
          </w:p>
        </w:tc>
        <w:tc>
          <w:tcPr>
            <w:tcW w:w="1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1,687</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857</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2,584</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399,367</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401,951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Residential construction</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2,037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1,261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3,633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328,048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331,681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Consumer installment</w:t>
            </w:r>
          </w:p>
        </w:tc>
        <w:tc>
          <w:tcPr>
            <w:tcW w:w="1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770</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983</w:t>
            </w:r>
          </w:p>
        </w:tc>
        <w:tc>
          <w:tcPr>
            <w:tcW w:w="1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108,240</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109,223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Indirect auto</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152,087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152,210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gridSpan w:val="3"/>
            <w:shd w:val="clear" w:color="auto" w:fill="F0FFFF"/>
          </w:tcPr>
          <w:p>
            <w:pPr>
              <w:ind w:left="160"/>
              <w:spacing w:after="0"/>
              <w:rPr>
                <w:sz w:val="20"/>
                <w:szCs w:val="20"/>
                <w:color w:val="auto"/>
              </w:rPr>
            </w:pPr>
            <w:r>
              <w:rPr>
                <w:rFonts w:ascii="Arial" w:cs="Arial" w:eastAsia="Arial" w:hAnsi="Arial"/>
                <w:sz w:val="18"/>
                <w:szCs w:val="18"/>
                <w:color w:val="auto"/>
              </w:rPr>
              <w:t>Total loans</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19,265</w:t>
            </w:r>
          </w:p>
        </w:tc>
        <w:tc>
          <w:tcPr>
            <w:tcW w:w="120" w:type="dxa"/>
            <w:vAlign w:val="bottom"/>
            <w:shd w:val="clear" w:color="auto" w:fill="F0FFFF"/>
          </w:tcPr>
          <w:p>
            <w:pPr>
              <w:spacing w:after="0"/>
              <w:rPr>
                <w:sz w:val="20"/>
                <w:szCs w:val="20"/>
                <w:color w:val="auto"/>
              </w:rPr>
            </w:pPr>
          </w:p>
        </w:tc>
        <w:tc>
          <w:tcPr>
            <w:tcW w:w="2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5,942</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9,407</w:t>
            </w:r>
          </w:p>
        </w:tc>
        <w:tc>
          <w:tcPr>
            <w:tcW w:w="3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34,614</w:t>
            </w: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4,154,754</w:t>
            </w:r>
          </w:p>
        </w:tc>
        <w:tc>
          <w:tcPr>
            <w:tcW w:w="3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4,189,368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top w:val="single" w:sz="8" w:color="F0FFFF"/>
            </w:tcBorders>
            <w:shd w:val="clear" w:color="auto" w:fill="F0FFFF"/>
          </w:tcPr>
          <w:p>
            <w:pPr>
              <w:spacing w:after="0" w:line="20" w:lineRule="exact"/>
              <w:rPr>
                <w:sz w:val="1"/>
                <w:szCs w:val="1"/>
                <w:color w:val="auto"/>
              </w:rPr>
            </w:pPr>
          </w:p>
        </w:tc>
        <w:tc>
          <w:tcPr>
            <w:tcW w:w="400" w:type="dxa"/>
            <w:vAlign w:val="bottom"/>
            <w:tcBorders>
              <w:top w:val="single" w:sz="8" w:color="F0FFFF"/>
            </w:tcBorders>
            <w:shd w:val="clear" w:color="auto" w:fill="F0FFFF"/>
          </w:tcPr>
          <w:p>
            <w:pPr>
              <w:spacing w:after="0" w:line="20" w:lineRule="exact"/>
              <w:rPr>
                <w:sz w:val="1"/>
                <w:szCs w:val="1"/>
                <w:color w:val="auto"/>
              </w:rPr>
            </w:pPr>
          </w:p>
        </w:tc>
        <w:tc>
          <w:tcPr>
            <w:tcW w:w="144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June 30, 2014, December 31, 2013, and June 30, 2013, $8.98 million, $5.64 million and $4.34 million, respectively, of specific reserves were allocated to customers whose loan terms have been modified in TDRs. United committed to lend additional amounts totaling up to $44,000, $6,000 and $35,000 as of June 30, 2014, December 31, 2013 and June 30, 2013, respectively, to customers with outstanding loans that are classified as TDRs.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modification of the terms of the TDRs included one or a combination of the following: a reduction of the stated interest rate of the loan or an extension of the amortization period that would not otherwise be considered in the current market for new debt with similar risk characteristics; a permanent reduction of the principal amount; a restructuring of the borrower’s debt into an A/B note structure where the A note would fall within the borrower’s ability to pay and the remainder would be included in the B note, or a mandated bankruptcy restructuring.</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21" w:name="page22"/>
    <w:bookmarkEnd w:id="21"/>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presents information on TDRs including the number of loan contracts restructured and the pre- and post-modification recorded investment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3"/>
          </w:tcPr>
          <w:p>
            <w:pPr>
              <w:ind w:left="40"/>
              <w:spacing w:after="0"/>
              <w:rPr>
                <w:sz w:val="20"/>
                <w:szCs w:val="20"/>
                <w:color w:val="auto"/>
              </w:rPr>
            </w:pPr>
            <w:r>
              <w:rPr>
                <w:rFonts w:ascii="Arial" w:cs="Arial" w:eastAsia="Arial" w:hAnsi="Arial"/>
                <w:sz w:val="18"/>
                <w:szCs w:val="18"/>
                <w:b w:val="1"/>
                <w:bCs w:val="1"/>
                <w:color w:val="auto"/>
                <w:w w:val="87"/>
              </w:rPr>
              <w:t>June 30, 2014</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20" w:type="dxa"/>
            <w:vAlign w:val="bottom"/>
            <w:gridSpan w:val="8"/>
          </w:tcPr>
          <w:p>
            <w:pPr>
              <w:ind w:left="800"/>
              <w:spacing w:after="0"/>
              <w:rPr>
                <w:sz w:val="20"/>
                <w:szCs w:val="20"/>
                <w:color w:val="auto"/>
              </w:rPr>
            </w:pPr>
            <w:r>
              <w:rPr>
                <w:rFonts w:ascii="Arial" w:cs="Arial" w:eastAsia="Arial" w:hAnsi="Arial"/>
                <w:sz w:val="18"/>
                <w:szCs w:val="18"/>
                <w:b w:val="1"/>
                <w:bCs w:val="1"/>
                <w:color w:val="auto"/>
              </w:rPr>
              <w:t>December 31, 2013</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88"/>
              </w:rPr>
              <w:t>June 30, 2013</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1"/>
              </w:rPr>
              <w:t>Pre-</w:t>
            </w: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88"/>
              </w:rPr>
              <w:t>Post-</w:t>
            </w:r>
          </w:p>
        </w:tc>
        <w:tc>
          <w:tcPr>
            <w:tcW w:w="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1"/>
              </w:rPr>
              <w:t>Pre-</w:t>
            </w: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88"/>
              </w:rPr>
              <w:t>Post-</w:t>
            </w:r>
          </w:p>
        </w:tc>
        <w:tc>
          <w:tcPr>
            <w:tcW w:w="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6"/>
              </w:rPr>
              <w:t>Pre-</w:t>
            </w: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84"/>
              </w:rPr>
              <w:t>Post-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4"/>
              </w:rPr>
              <w:t>Modification</w:t>
            </w:r>
          </w:p>
        </w:tc>
        <w:tc>
          <w:tcPr>
            <w:tcW w:w="10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4"/>
              </w:rPr>
              <w:t>Modification</w:t>
            </w: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4"/>
              </w:rPr>
              <w:t>Modification</w:t>
            </w:r>
          </w:p>
        </w:tc>
        <w:tc>
          <w:tcPr>
            <w:tcW w:w="10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4"/>
              </w:rPr>
              <w:t>Modification</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Modification</w:t>
            </w:r>
          </w:p>
        </w:tc>
        <w:tc>
          <w:tcPr>
            <w:tcW w:w="10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Modification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80" w:type="dxa"/>
            <w:vAlign w:val="bottom"/>
          </w:tcPr>
          <w:p>
            <w:pPr>
              <w:spacing w:after="0"/>
              <w:rPr>
                <w:sz w:val="18"/>
                <w:szCs w:val="18"/>
                <w:color w:val="auto"/>
              </w:rPr>
            </w:pPr>
          </w:p>
        </w:tc>
        <w:tc>
          <w:tcPr>
            <w:tcW w:w="10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Outstanding</w:t>
            </w:r>
          </w:p>
        </w:tc>
        <w:tc>
          <w:tcPr>
            <w:tcW w:w="10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Outstanding</w:t>
            </w:r>
          </w:p>
        </w:tc>
        <w:tc>
          <w:tcPr>
            <w:tcW w:w="9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Number</w:t>
            </w:r>
          </w:p>
        </w:tc>
        <w:tc>
          <w:tcPr>
            <w:tcW w:w="10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Outstanding</w:t>
            </w:r>
          </w:p>
        </w:tc>
        <w:tc>
          <w:tcPr>
            <w:tcW w:w="10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Outstanding</w:t>
            </w:r>
          </w:p>
        </w:tc>
        <w:tc>
          <w:tcPr>
            <w:tcW w:w="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10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Outstanding</w:t>
            </w:r>
          </w:p>
        </w:tc>
        <w:tc>
          <w:tcPr>
            <w:tcW w:w="10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Outstanding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3"/>
              </w:rPr>
              <w:t>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Recorded</w:t>
            </w: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Recorded</w:t>
            </w:r>
          </w:p>
        </w:tc>
        <w:tc>
          <w:tcPr>
            <w:tcW w:w="9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of</w:t>
            </w: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Recorded</w:t>
            </w: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Recorded</w:t>
            </w:r>
          </w:p>
        </w:tc>
        <w:tc>
          <w:tcPr>
            <w:tcW w:w="9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2"/>
              </w:rPr>
              <w:t>of</w:t>
            </w:r>
          </w:p>
        </w:tc>
        <w:tc>
          <w:tcPr>
            <w:tcW w:w="10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Recorded</w:t>
            </w:r>
          </w:p>
        </w:tc>
        <w:tc>
          <w:tcPr>
            <w:tcW w:w="10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Recorded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0"/>
              </w:rPr>
              <w:t>Contracts</w:t>
            </w:r>
          </w:p>
        </w:tc>
        <w:tc>
          <w:tcPr>
            <w:tcW w:w="80" w:type="dxa"/>
            <w:vAlign w:val="bottom"/>
          </w:tcPr>
          <w:p>
            <w:pPr>
              <w:spacing w:after="0"/>
              <w:rPr>
                <w:sz w:val="20"/>
                <w:szCs w:val="20"/>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Investment</w:t>
            </w:r>
          </w:p>
        </w:tc>
        <w:tc>
          <w:tcPr>
            <w:tcW w:w="10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Investment</w:t>
            </w:r>
          </w:p>
        </w:tc>
        <w:tc>
          <w:tcPr>
            <w:tcW w:w="9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Contracts</w:t>
            </w:r>
          </w:p>
        </w:tc>
        <w:tc>
          <w:tcPr>
            <w:tcW w:w="10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Investment</w:t>
            </w:r>
          </w:p>
        </w:tc>
        <w:tc>
          <w:tcPr>
            <w:tcW w:w="10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Investment</w:t>
            </w:r>
          </w:p>
        </w:tc>
        <w:tc>
          <w:tcPr>
            <w:tcW w:w="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Contracts</w:t>
            </w:r>
          </w:p>
        </w:tc>
        <w:tc>
          <w:tcPr>
            <w:tcW w:w="10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Investment</w:t>
            </w:r>
          </w:p>
        </w:tc>
        <w:tc>
          <w:tcPr>
            <w:tcW w:w="10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Investment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02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Owner occupied</w:t>
            </w:r>
          </w:p>
        </w:tc>
        <w:tc>
          <w:tcPr>
            <w:tcW w:w="880" w:type="dxa"/>
            <w:vAlign w:val="bottom"/>
            <w:shd w:val="clear" w:color="auto" w:fill="F0FFFF"/>
          </w:tcPr>
          <w:p>
            <w:pPr>
              <w:spacing w:after="0"/>
              <w:rPr>
                <w:sz w:val="17"/>
                <w:szCs w:val="17"/>
                <w:color w:val="auto"/>
              </w:rPr>
            </w:pPr>
          </w:p>
        </w:tc>
        <w:tc>
          <w:tcPr>
            <w:tcW w:w="80" w:type="dxa"/>
            <w:vAlign w:val="bottom"/>
            <w:tcBorders>
              <w:left w:val="single" w:sz="8" w:color="F0FFFF"/>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commercial real estate</w:t>
            </w: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52</w:t>
            </w:r>
          </w:p>
        </w:tc>
        <w:tc>
          <w:tcPr>
            <w:tcW w:w="200" w:type="dxa"/>
            <w:vAlign w:val="bottom"/>
            <w:tcBorders>
              <w:left w:val="single" w:sz="8" w:color="F0FFFF"/>
            </w:tcBorders>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28,233</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26,670</w:t>
            </w:r>
          </w:p>
        </w:tc>
        <w:tc>
          <w:tcPr>
            <w:tcW w:w="9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24,064</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22,399</w:t>
            </w: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23,496</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23,326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20" w:type="dxa"/>
            <w:vAlign w:val="bottom"/>
          </w:tcPr>
          <w:p>
            <w:pPr>
              <w:spacing w:after="0" w:line="201" w:lineRule="exact"/>
              <w:rPr>
                <w:sz w:val="20"/>
                <w:szCs w:val="20"/>
                <w:color w:val="auto"/>
              </w:rPr>
            </w:pPr>
            <w:r>
              <w:rPr>
                <w:rFonts w:ascii="Arial" w:cs="Arial" w:eastAsia="Arial" w:hAnsi="Arial"/>
                <w:sz w:val="18"/>
                <w:szCs w:val="18"/>
                <w:color w:val="auto"/>
              </w:rPr>
              <w:t>Income producing</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tcPr>
          <w:p>
            <w:pPr>
              <w:ind w:left="160"/>
              <w:spacing w:after="0"/>
              <w:rPr>
                <w:sz w:val="20"/>
                <w:szCs w:val="20"/>
                <w:color w:val="auto"/>
              </w:rPr>
            </w:pPr>
            <w:r>
              <w:rPr>
                <w:rFonts w:ascii="Arial" w:cs="Arial" w:eastAsia="Arial" w:hAnsi="Arial"/>
                <w:sz w:val="18"/>
                <w:szCs w:val="18"/>
                <w:color w:val="auto"/>
              </w:rPr>
              <w:t>commercial real estate</w:t>
            </w: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19,427</w:t>
            </w:r>
          </w:p>
        </w:tc>
        <w:tc>
          <w:tcPr>
            <w:tcW w:w="1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18,957</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20,900</w:t>
            </w:r>
          </w:p>
        </w:tc>
        <w:tc>
          <w:tcPr>
            <w:tcW w:w="1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18,268</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22,378</w:t>
            </w: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31</w:t>
            </w:r>
          </w:p>
        </w:tc>
        <w:tc>
          <w:tcPr>
            <w:tcW w:w="80" w:type="dxa"/>
            <w:vAlign w:val="bottom"/>
            <w:tcBorders>
              <w:left w:val="single" w:sz="8" w:color="F0FFFF"/>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2,893</w:t>
            </w:r>
          </w:p>
        </w:tc>
        <w:tc>
          <w:tcPr>
            <w:tcW w:w="1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2,893</w:t>
            </w:r>
          </w:p>
        </w:tc>
        <w:tc>
          <w:tcPr>
            <w:tcW w:w="9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3,527</w:t>
            </w:r>
          </w:p>
        </w:tc>
        <w:tc>
          <w:tcPr>
            <w:tcW w:w="12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3,245</w:t>
            </w:r>
          </w:p>
        </w:tc>
        <w:tc>
          <w:tcPr>
            <w:tcW w:w="8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3,091</w:t>
            </w:r>
          </w:p>
        </w:tc>
        <w:tc>
          <w:tcPr>
            <w:tcW w:w="1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2,929</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11,390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11,213</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13,042</w:t>
            </w: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13,185</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12,956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F0FFFF"/>
          </w:tcPr>
          <w:p>
            <w:pPr>
              <w:ind w:left="320"/>
              <w:spacing w:after="0"/>
              <w:rPr>
                <w:sz w:val="20"/>
                <w:szCs w:val="20"/>
                <w:color w:val="auto"/>
              </w:rPr>
            </w:pPr>
            <w:r>
              <w:rPr>
                <w:rFonts w:ascii="Arial" w:cs="Arial" w:eastAsia="Arial" w:hAnsi="Arial"/>
                <w:sz w:val="18"/>
                <w:szCs w:val="18"/>
                <w:color w:val="auto"/>
              </w:rPr>
              <w:t>Total commercial</w:t>
            </w: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131</w:t>
            </w:r>
          </w:p>
        </w:tc>
        <w:tc>
          <w:tcPr>
            <w:tcW w:w="80" w:type="dxa"/>
            <w:vAlign w:val="bottom"/>
            <w:tcBorders>
              <w:left w:val="single" w:sz="8" w:color="F0FFFF"/>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61,943</w:t>
            </w: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59,733</w:t>
            </w:r>
          </w:p>
        </w:tc>
        <w:tc>
          <w:tcPr>
            <w:tcW w:w="8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126</w:t>
            </w: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61,613</w:t>
            </w: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56,954</w:t>
            </w:r>
          </w:p>
        </w:tc>
        <w:tc>
          <w:tcPr>
            <w:tcW w:w="8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62,150</w:t>
            </w:r>
          </w:p>
        </w:tc>
        <w:tc>
          <w:tcPr>
            <w:tcW w:w="10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58,251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Residential mortgage</w:t>
            </w:r>
          </w:p>
        </w:tc>
        <w:tc>
          <w:tcPr>
            <w:tcW w:w="880" w:type="dxa"/>
            <w:vAlign w:val="bottom"/>
          </w:tcPr>
          <w:p>
            <w:pPr>
              <w:jc w:val="right"/>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21,008</w:t>
            </w: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20,030</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20,117</w:t>
            </w: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18,852</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17,250</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15,859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2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Home equity lines of</w:t>
            </w:r>
          </w:p>
        </w:tc>
        <w:tc>
          <w:tcPr>
            <w:tcW w:w="880" w:type="dxa"/>
            <w:vAlign w:val="bottom"/>
            <w:shd w:val="clear" w:color="auto" w:fill="F0FFFF"/>
          </w:tcPr>
          <w:p>
            <w:pPr>
              <w:spacing w:after="0"/>
              <w:rPr>
                <w:sz w:val="17"/>
                <w:szCs w:val="17"/>
                <w:color w:val="auto"/>
              </w:rPr>
            </w:pPr>
          </w:p>
        </w:tc>
        <w:tc>
          <w:tcPr>
            <w:tcW w:w="80" w:type="dxa"/>
            <w:vAlign w:val="bottom"/>
            <w:tcBorders>
              <w:left w:val="single" w:sz="8" w:color="F0FFFF"/>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credit</w:t>
            </w: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left w:val="single" w:sz="8" w:color="F0FFFF"/>
            </w:tcBorders>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9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540</w:t>
            </w:r>
          </w:p>
        </w:tc>
        <w:tc>
          <w:tcPr>
            <w:tcW w:w="120" w:type="dxa"/>
            <w:vAlign w:val="bottom"/>
            <w:shd w:val="clear" w:color="auto" w:fill="F0FFFF"/>
          </w:tcPr>
          <w:p>
            <w:pPr>
              <w:spacing w:after="0"/>
              <w:rPr>
                <w:sz w:val="20"/>
                <w:szCs w:val="20"/>
                <w:color w:val="auto"/>
              </w:rPr>
            </w:pPr>
          </w:p>
        </w:tc>
        <w:tc>
          <w:tcPr>
            <w:tcW w:w="9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540</w:t>
            </w:r>
          </w:p>
        </w:tc>
        <w:tc>
          <w:tcPr>
            <w:tcW w:w="9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w:t>
            </w:r>
          </w:p>
        </w:tc>
        <w:tc>
          <w:tcPr>
            <w:tcW w:w="120" w:type="dxa"/>
            <w:vAlign w:val="bottom"/>
            <w:shd w:val="clear" w:color="auto" w:fill="F0FFFF"/>
          </w:tcPr>
          <w:p>
            <w:pPr>
              <w:spacing w:after="0"/>
              <w:rPr>
                <w:sz w:val="20"/>
                <w:szCs w:val="20"/>
                <w:color w:val="auto"/>
              </w:rPr>
            </w:pPr>
          </w:p>
        </w:tc>
        <w:tc>
          <w:tcPr>
            <w:tcW w:w="9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505</w:t>
            </w:r>
          </w:p>
        </w:tc>
        <w:tc>
          <w:tcPr>
            <w:tcW w:w="120" w:type="dxa"/>
            <w:vAlign w:val="bottom"/>
            <w:shd w:val="clear" w:color="auto" w:fill="F0FFFF"/>
          </w:tcPr>
          <w:p>
            <w:pPr>
              <w:spacing w:after="0"/>
              <w:rPr>
                <w:sz w:val="20"/>
                <w:szCs w:val="20"/>
                <w:color w:val="auto"/>
              </w:rPr>
            </w:pPr>
          </w:p>
        </w:tc>
        <w:tc>
          <w:tcPr>
            <w:tcW w:w="9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505</w:t>
            </w: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F0FFFF"/>
          </w:tcPr>
          <w:p>
            <w:pPr>
              <w:spacing w:after="0"/>
              <w:rPr>
                <w:sz w:val="20"/>
                <w:szCs w:val="20"/>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F0FFFF"/>
          </w:tcPr>
          <w:p>
            <w:pPr>
              <w:spacing w:after="0"/>
              <w:rPr>
                <w:sz w:val="20"/>
                <w:szCs w:val="20"/>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880" w:type="dxa"/>
            <w:vAlign w:val="bottom"/>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12,463</w:t>
            </w: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10,361</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12,459</w:t>
            </w:r>
          </w:p>
        </w:tc>
        <w:tc>
          <w:tcPr>
            <w:tcW w:w="1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10,452</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9,908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F0FFFF"/>
          </w:tcPr>
          <w:p>
            <w:pPr>
              <w:spacing w:after="0"/>
              <w:rPr>
                <w:sz w:val="20"/>
                <w:szCs w:val="20"/>
                <w:color w:val="auto"/>
              </w:rPr>
            </w:pPr>
            <w:r>
              <w:rPr>
                <w:rFonts w:ascii="Arial" w:cs="Arial" w:eastAsia="Arial" w:hAnsi="Arial"/>
                <w:sz w:val="18"/>
                <w:szCs w:val="18"/>
                <w:color w:val="auto"/>
              </w:rPr>
              <w:t>Consumer installment</w:t>
            </w: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23</w:t>
            </w:r>
          </w:p>
        </w:tc>
        <w:tc>
          <w:tcPr>
            <w:tcW w:w="80" w:type="dxa"/>
            <w:vAlign w:val="bottom"/>
            <w:tcBorders>
              <w:left w:val="single" w:sz="8" w:color="F0FFFF"/>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329</w:t>
            </w:r>
          </w:p>
        </w:tc>
        <w:tc>
          <w:tcPr>
            <w:tcW w:w="1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329</w:t>
            </w:r>
          </w:p>
        </w:tc>
        <w:tc>
          <w:tcPr>
            <w:tcW w:w="9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203</w:t>
            </w: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Indirect auto</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0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Total loans</w:t>
            </w: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366</w:t>
            </w:r>
          </w:p>
        </w:tc>
        <w:tc>
          <w:tcPr>
            <w:tcW w:w="80" w:type="dxa"/>
            <w:vAlign w:val="bottom"/>
            <w:tcBorders>
              <w:left w:val="single" w:sz="8" w:color="F0FFFF"/>
            </w:tcBorders>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96,283</w:t>
            </w:r>
          </w:p>
        </w:tc>
        <w:tc>
          <w:tcPr>
            <w:tcW w:w="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90,993</w:t>
            </w:r>
          </w:p>
        </w:tc>
        <w:tc>
          <w:tcPr>
            <w:tcW w:w="80" w:type="dxa"/>
            <w:vAlign w:val="bottom"/>
            <w:shd w:val="clear" w:color="auto" w:fill="F0FFFF"/>
          </w:tcPr>
          <w:p>
            <w:pPr>
              <w:spacing w:after="0"/>
              <w:rPr>
                <w:sz w:val="20"/>
                <w:szCs w:val="20"/>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345</w:t>
            </w:r>
          </w:p>
        </w:tc>
        <w:tc>
          <w:tcPr>
            <w:tcW w:w="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94,897</w:t>
            </w:r>
          </w:p>
        </w:tc>
        <w:tc>
          <w:tcPr>
            <w:tcW w:w="80" w:type="dxa"/>
            <w:vAlign w:val="bottom"/>
            <w:shd w:val="clear" w:color="auto" w:fill="F0FFFF"/>
          </w:tcPr>
          <w:p>
            <w:pPr>
              <w:spacing w:after="0"/>
              <w:rPr>
                <w:sz w:val="20"/>
                <w:szCs w:val="20"/>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86,966</w:t>
            </w:r>
          </w:p>
        </w:tc>
        <w:tc>
          <w:tcPr>
            <w:tcW w:w="80" w:type="dxa"/>
            <w:vAlign w:val="bottom"/>
            <w:shd w:val="clear" w:color="auto" w:fill="F0FFFF"/>
          </w:tcPr>
          <w:p>
            <w:pPr>
              <w:spacing w:after="0"/>
              <w:rPr>
                <w:sz w:val="20"/>
                <w:szCs w:val="20"/>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F0FFFF"/>
          </w:tcPr>
          <w:p>
            <w:pPr>
              <w:spacing w:after="0"/>
              <w:rPr>
                <w:sz w:val="20"/>
                <w:szCs w:val="20"/>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92,264</w:t>
            </w:r>
          </w:p>
        </w:tc>
        <w:tc>
          <w:tcPr>
            <w:tcW w:w="100" w:type="dxa"/>
            <w:vAlign w:val="bottom"/>
            <w:shd w:val="clear" w:color="auto" w:fill="F0FFFF"/>
          </w:tcPr>
          <w:p>
            <w:pPr>
              <w:spacing w:after="0"/>
              <w:rPr>
                <w:sz w:val="20"/>
                <w:szCs w:val="20"/>
                <w:color w:val="auto"/>
              </w:rPr>
            </w:pPr>
          </w:p>
        </w:tc>
        <w:tc>
          <w:tcPr>
            <w:tcW w:w="9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84,877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Borders>
              <w:top w:val="single" w:sz="8" w:color="F0FFFF"/>
            </w:tcBorders>
            <w:shd w:val="clear" w:color="auto" w:fill="F0FF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F0FFFF"/>
              <w:left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Loans modified under the terms of a TDR during the three and six months ended June 30, 2014 and 2013 are presented in the table below. In addition, the following table presents loans modified under the terms of a TDR that became 90 days or more delinquent during the three and six months ended June 30, 2014 and 2013, that were initially restructured within one year prior to becoming delinquent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54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w w:val="93"/>
              </w:rPr>
              <w:t>New Troubled Debt Restructurings for the Three Months Ended June 30,</w:t>
            </w:r>
          </w:p>
        </w:tc>
        <w:tc>
          <w:tcPr>
            <w:tcW w:w="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0" w:type="dxa"/>
            <w:vAlign w:val="bottom"/>
            <w:tcBorders>
              <w:bottom w:val="single" w:sz="8" w:color="auto"/>
            </w:tcBorders>
            <w:gridSpan w:val="12"/>
          </w:tcPr>
          <w:p>
            <w:pPr>
              <w:jc w:val="right"/>
              <w:ind w:right="68"/>
              <w:spacing w:after="0"/>
              <w:rPr>
                <w:sz w:val="20"/>
                <w:szCs w:val="20"/>
                <w:color w:val="auto"/>
              </w:rPr>
            </w:pPr>
            <w:r>
              <w:rPr>
                <w:rFonts w:ascii="Arial" w:cs="Arial" w:eastAsia="Arial" w:hAnsi="Arial"/>
                <w:sz w:val="14"/>
                <w:szCs w:val="14"/>
                <w:b w:val="1"/>
                <w:bCs w:val="1"/>
                <w:color w:val="auto"/>
                <w:w w:val="95"/>
              </w:rPr>
              <w:t>New Troubled Debt Restructurings for the Six Months Ended June 30,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gridSpan w:val="3"/>
          </w:tcPr>
          <w:p>
            <w:pPr>
              <w:jc w:val="center"/>
              <w:ind w:left="168"/>
              <w:spacing w:after="0"/>
              <w:rPr>
                <w:sz w:val="20"/>
                <w:szCs w:val="20"/>
                <w:color w:val="auto"/>
              </w:rPr>
            </w:pPr>
            <w:r>
              <w:rPr>
                <w:rFonts w:ascii="Arial" w:cs="Arial" w:eastAsia="Arial" w:hAnsi="Arial"/>
                <w:sz w:val="14"/>
                <w:szCs w:val="14"/>
                <w:b w:val="1"/>
                <w:bCs w:val="1"/>
                <w:color w:val="auto"/>
                <w:w w:val="97"/>
              </w:rPr>
              <w:t>Modified Within the</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7"/>
              </w:rPr>
              <w:t>Modified Within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Previous Twelve Months</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Previous Twelve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Pre-</w:t>
            </w:r>
          </w:p>
        </w:tc>
        <w:tc>
          <w:tcPr>
            <w:tcW w:w="200" w:type="dxa"/>
            <w:vAlign w:val="bottom"/>
          </w:tcPr>
          <w:p>
            <w:pPr>
              <w:spacing w:after="0"/>
              <w:rPr>
                <w:sz w:val="12"/>
                <w:szCs w:val="12"/>
                <w:color w:val="auto"/>
              </w:rPr>
            </w:pP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Post-</w:t>
            </w:r>
          </w:p>
        </w:tc>
        <w:tc>
          <w:tcPr>
            <w:tcW w:w="184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that Have Subsequently</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Pre-</w:t>
            </w:r>
          </w:p>
        </w:tc>
        <w:tc>
          <w:tcPr>
            <w:tcW w:w="100" w:type="dxa"/>
            <w:vAlign w:val="bottom"/>
          </w:tcPr>
          <w:p>
            <w:pPr>
              <w:spacing w:after="0"/>
              <w:rPr>
                <w:sz w:val="12"/>
                <w:szCs w:val="12"/>
                <w:color w:val="auto"/>
              </w:rPr>
            </w:pPr>
          </w:p>
        </w:tc>
        <w:tc>
          <w:tcPr>
            <w:tcW w:w="80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1"/>
              </w:rPr>
              <w:t>Post-</w:t>
            </w:r>
          </w:p>
        </w:tc>
        <w:tc>
          <w:tcPr>
            <w:tcW w:w="180" w:type="dxa"/>
            <w:vAlign w:val="bottom"/>
          </w:tcPr>
          <w:p>
            <w:pPr>
              <w:spacing w:after="0"/>
              <w:rPr>
                <w:sz w:val="12"/>
                <w:szCs w:val="12"/>
                <w:color w:val="auto"/>
              </w:rPr>
            </w:pPr>
          </w:p>
        </w:tc>
        <w:tc>
          <w:tcPr>
            <w:tcW w:w="172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that Have Subsequently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4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Defaulted During the</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Defaulted During the Six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Modification</w:t>
            </w:r>
          </w:p>
        </w:tc>
        <w:tc>
          <w:tcPr>
            <w:tcW w:w="20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Modification</w:t>
            </w:r>
          </w:p>
        </w:tc>
        <w:tc>
          <w:tcPr>
            <w:tcW w:w="184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Modification</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Modification</w:t>
            </w:r>
          </w:p>
        </w:tc>
        <w:tc>
          <w:tcPr>
            <w:tcW w:w="180" w:type="dxa"/>
            <w:vAlign w:val="bottom"/>
          </w:tcPr>
          <w:p>
            <w:pPr>
              <w:spacing w:after="0"/>
              <w:rPr>
                <w:sz w:val="12"/>
                <w:szCs w:val="12"/>
                <w:color w:val="auto"/>
              </w:rPr>
            </w:pPr>
          </w:p>
        </w:tc>
        <w:tc>
          <w:tcPr>
            <w:tcW w:w="1260" w:type="dxa"/>
            <w:vAlign w:val="bottom"/>
            <w:gridSpan w:val="3"/>
          </w:tcPr>
          <w:p>
            <w:pPr>
              <w:jc w:val="center"/>
              <w:ind w:left="208"/>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0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Outstanding</w:t>
            </w:r>
          </w:p>
        </w:tc>
        <w:tc>
          <w:tcPr>
            <w:tcW w:w="1500" w:type="dxa"/>
            <w:vAlign w:val="bottom"/>
            <w:tcBorders>
              <w:bottom w:val="single" w:sz="8" w:color="auto"/>
            </w:tcBorders>
            <w:gridSpan w:val="3"/>
          </w:tcPr>
          <w:p>
            <w:pPr>
              <w:jc w:val="center"/>
              <w:ind w:left="168"/>
              <w:spacing w:after="0"/>
              <w:rPr>
                <w:sz w:val="20"/>
                <w:szCs w:val="20"/>
                <w:color w:val="auto"/>
              </w:rPr>
            </w:pPr>
            <w:r>
              <w:rPr>
                <w:rFonts w:ascii="Arial" w:cs="Arial" w:eastAsia="Arial" w:hAnsi="Arial"/>
                <w:sz w:val="14"/>
                <w:szCs w:val="14"/>
                <w:b w:val="1"/>
                <w:bCs w:val="1"/>
                <w:color w:val="auto"/>
                <w:w w:val="90"/>
              </w:rPr>
              <w:t>June 30, 2014</w:t>
            </w:r>
          </w:p>
        </w:tc>
        <w:tc>
          <w:tcPr>
            <w:tcW w:w="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Outstanding</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80" w:type="dxa"/>
            <w:vAlign w:val="bottom"/>
          </w:tcPr>
          <w:p>
            <w:pPr>
              <w:spacing w:after="0"/>
              <w:rPr>
                <w:sz w:val="15"/>
                <w:szCs w:val="15"/>
                <w:color w:val="auto"/>
              </w:rPr>
            </w:pPr>
          </w:p>
        </w:tc>
        <w:tc>
          <w:tcPr>
            <w:tcW w:w="1260" w:type="dxa"/>
            <w:vAlign w:val="bottom"/>
            <w:tcBorders>
              <w:bottom w:val="single" w:sz="8" w:color="auto"/>
            </w:tcBorders>
            <w:gridSpan w:val="3"/>
          </w:tcPr>
          <w:p>
            <w:pPr>
              <w:jc w:val="center"/>
              <w:ind w:left="228"/>
              <w:spacing w:after="0"/>
              <w:rPr>
                <w:sz w:val="20"/>
                <w:szCs w:val="20"/>
                <w:color w:val="auto"/>
              </w:rPr>
            </w:pPr>
            <w:r>
              <w:rPr>
                <w:rFonts w:ascii="Arial" w:cs="Arial" w:eastAsia="Arial" w:hAnsi="Arial"/>
                <w:sz w:val="14"/>
                <w:szCs w:val="14"/>
                <w:b w:val="1"/>
                <w:bCs w:val="1"/>
                <w:color w:val="auto"/>
                <w:w w:val="92"/>
              </w:rPr>
              <w:t>June 30, 2014</w:t>
            </w: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0"/>
                <w:szCs w:val="10"/>
                <w:color w:val="auto"/>
              </w:rPr>
            </w:pPr>
          </w:p>
        </w:tc>
        <w:tc>
          <w:tcPr>
            <w:tcW w:w="82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4"/>
              </w:rPr>
              <w:t>Number of</w:t>
            </w:r>
          </w:p>
        </w:tc>
        <w:tc>
          <w:tcPr>
            <w:tcW w:w="180" w:type="dxa"/>
            <w:vAlign w:val="bottom"/>
          </w:tcPr>
          <w:p>
            <w:pPr>
              <w:spacing w:after="0"/>
              <w:rPr>
                <w:sz w:val="10"/>
                <w:szCs w:val="10"/>
                <w:color w:val="auto"/>
              </w:rPr>
            </w:pPr>
          </w:p>
        </w:tc>
        <w:tc>
          <w:tcPr>
            <w:tcW w:w="86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2"/>
              </w:rPr>
              <w:t>Recorded</w:t>
            </w:r>
          </w:p>
        </w:tc>
        <w:tc>
          <w:tcPr>
            <w:tcW w:w="200" w:type="dxa"/>
            <w:vAlign w:val="bottom"/>
          </w:tcPr>
          <w:p>
            <w:pPr>
              <w:spacing w:after="0"/>
              <w:rPr>
                <w:sz w:val="10"/>
                <w:szCs w:val="10"/>
                <w:color w:val="auto"/>
              </w:rPr>
            </w:pPr>
          </w:p>
        </w:tc>
        <w:tc>
          <w:tcPr>
            <w:tcW w:w="980" w:type="dxa"/>
            <w:vAlign w:val="bottom"/>
            <w:gridSpan w:val="2"/>
          </w:tcPr>
          <w:p>
            <w:pPr>
              <w:jc w:val="center"/>
              <w:ind w:right="180"/>
              <w:spacing w:after="0" w:line="126" w:lineRule="exact"/>
              <w:rPr>
                <w:sz w:val="20"/>
                <w:szCs w:val="20"/>
                <w:color w:val="auto"/>
              </w:rPr>
            </w:pPr>
            <w:r>
              <w:rPr>
                <w:rFonts w:ascii="Arial" w:cs="Arial" w:eastAsia="Arial" w:hAnsi="Arial"/>
                <w:sz w:val="14"/>
                <w:szCs w:val="14"/>
                <w:b w:val="1"/>
                <w:bCs w:val="1"/>
                <w:color w:val="auto"/>
                <w:w w:val="92"/>
              </w:rPr>
              <w:t>Recorded</w:t>
            </w:r>
          </w:p>
        </w:tc>
        <w:tc>
          <w:tcPr>
            <w:tcW w:w="82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0"/>
                <w:szCs w:val="10"/>
                <w:color w:val="auto"/>
              </w:rPr>
            </w:pPr>
          </w:p>
        </w:tc>
        <w:tc>
          <w:tcPr>
            <w:tcW w:w="800" w:type="dxa"/>
            <w:vAlign w:val="bottom"/>
            <w:gridSpan w:val="2"/>
          </w:tcPr>
          <w:p>
            <w:pPr>
              <w:jc w:val="center"/>
              <w:spacing w:after="0" w:line="126" w:lineRule="exact"/>
              <w:rPr>
                <w:sz w:val="20"/>
                <w:szCs w:val="20"/>
                <w:color w:val="auto"/>
              </w:rPr>
            </w:pPr>
            <w:r>
              <w:rPr>
                <w:rFonts w:ascii="Arial" w:cs="Arial" w:eastAsia="Arial" w:hAnsi="Arial"/>
                <w:sz w:val="14"/>
                <w:szCs w:val="14"/>
                <w:b w:val="1"/>
                <w:bCs w:val="1"/>
                <w:color w:val="auto"/>
                <w:w w:val="89"/>
              </w:rPr>
              <w:t>Recorded</w:t>
            </w:r>
          </w:p>
        </w:tc>
        <w:tc>
          <w:tcPr>
            <w:tcW w:w="100" w:type="dxa"/>
            <w:vAlign w:val="bottom"/>
          </w:tcPr>
          <w:p>
            <w:pPr>
              <w:spacing w:after="0"/>
              <w:rPr>
                <w:sz w:val="10"/>
                <w:szCs w:val="10"/>
                <w:color w:val="auto"/>
              </w:rPr>
            </w:pPr>
          </w:p>
        </w:tc>
        <w:tc>
          <w:tcPr>
            <w:tcW w:w="78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200"/>
              <w:spacing w:after="0" w:line="126" w:lineRule="exact"/>
              <w:rPr>
                <w:sz w:val="20"/>
                <w:szCs w:val="20"/>
                <w:color w:val="auto"/>
              </w:rPr>
            </w:pPr>
            <w:r>
              <w:rPr>
                <w:rFonts w:ascii="Arial" w:cs="Arial" w:eastAsia="Arial" w:hAnsi="Arial"/>
                <w:sz w:val="14"/>
                <w:szCs w:val="14"/>
                <w:b w:val="1"/>
                <w:bCs w:val="1"/>
                <w:color w:val="auto"/>
                <w:w w:val="92"/>
              </w:rPr>
              <w:t>Recorded</w:t>
            </w:r>
          </w:p>
        </w:tc>
        <w:tc>
          <w:tcPr>
            <w:tcW w:w="100" w:type="dxa"/>
            <w:vAlign w:val="bottom"/>
          </w:tcPr>
          <w:p>
            <w:pPr>
              <w:spacing w:after="0"/>
              <w:rPr>
                <w:sz w:val="10"/>
                <w:szCs w:val="10"/>
                <w:color w:val="auto"/>
              </w:rPr>
            </w:pPr>
          </w:p>
        </w:tc>
        <w:tc>
          <w:tcPr>
            <w:tcW w:w="800" w:type="dxa"/>
            <w:vAlign w:val="bottom"/>
          </w:tcPr>
          <w:p>
            <w:pPr>
              <w:jc w:val="center"/>
              <w:ind w:right="8"/>
              <w:spacing w:after="0" w:line="126" w:lineRule="exact"/>
              <w:rPr>
                <w:sz w:val="20"/>
                <w:szCs w:val="20"/>
                <w:color w:val="auto"/>
              </w:rPr>
            </w:pPr>
            <w:r>
              <w:rPr>
                <w:rFonts w:ascii="Arial" w:cs="Arial" w:eastAsia="Arial" w:hAnsi="Arial"/>
                <w:sz w:val="14"/>
                <w:szCs w:val="14"/>
                <w:b w:val="1"/>
                <w:bCs w:val="1"/>
                <w:color w:val="auto"/>
                <w:w w:val="92"/>
              </w:rPr>
              <w:t>Recorded</w:t>
            </w:r>
          </w:p>
        </w:tc>
        <w:tc>
          <w:tcPr>
            <w:tcW w:w="180" w:type="dxa"/>
            <w:vAlign w:val="bottom"/>
          </w:tcPr>
          <w:p>
            <w:pPr>
              <w:spacing w:after="0"/>
              <w:rPr>
                <w:sz w:val="10"/>
                <w:szCs w:val="10"/>
                <w:color w:val="auto"/>
              </w:rPr>
            </w:pPr>
          </w:p>
        </w:tc>
        <w:tc>
          <w:tcPr>
            <w:tcW w:w="72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0"/>
                <w:szCs w:val="10"/>
                <w:color w:val="auto"/>
              </w:rPr>
            </w:pPr>
          </w:p>
        </w:tc>
        <w:tc>
          <w:tcPr>
            <w:tcW w:w="800" w:type="dxa"/>
            <w:vAlign w:val="bottom"/>
            <w:gridSpan w:val="2"/>
          </w:tcPr>
          <w:p>
            <w:pPr>
              <w:jc w:val="center"/>
              <w:spacing w:after="0" w:line="126" w:lineRule="exact"/>
              <w:rPr>
                <w:sz w:val="20"/>
                <w:szCs w:val="20"/>
                <w:color w:val="auto"/>
              </w:rPr>
            </w:pPr>
            <w:r>
              <w:rPr>
                <w:rFonts w:ascii="Arial" w:cs="Arial" w:eastAsia="Arial" w:hAnsi="Arial"/>
                <w:sz w:val="14"/>
                <w:szCs w:val="14"/>
                <w:b w:val="1"/>
                <w:bCs w:val="1"/>
                <w:color w:val="auto"/>
                <w:w w:val="92"/>
              </w:rPr>
              <w:t>Recorded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Contracts</w:t>
            </w:r>
          </w:p>
        </w:tc>
        <w:tc>
          <w:tcPr>
            <w:tcW w:w="1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20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Investment</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Contracts</w:t>
            </w:r>
          </w:p>
        </w:tc>
        <w:tc>
          <w:tcPr>
            <w:tcW w:w="120" w:type="dxa"/>
            <w:vAlign w:val="bottom"/>
          </w:tcPr>
          <w:p>
            <w:pPr>
              <w:spacing w:after="0"/>
              <w:rPr>
                <w:sz w:val="15"/>
                <w:szCs w:val="15"/>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Investment</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Contracts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Investment</w:t>
            </w:r>
          </w:p>
        </w:tc>
        <w:tc>
          <w:tcPr>
            <w:tcW w:w="100" w:type="dxa"/>
            <w:vAlign w:val="bottom"/>
          </w:tcPr>
          <w:p>
            <w:pPr>
              <w:spacing w:after="0"/>
              <w:rPr>
                <w:sz w:val="15"/>
                <w:szCs w:val="15"/>
                <w:color w:val="auto"/>
              </w:rPr>
            </w:pPr>
          </w:p>
        </w:tc>
        <w:tc>
          <w:tcPr>
            <w:tcW w:w="800" w:type="dxa"/>
            <w:vAlign w:val="bottom"/>
          </w:tcPr>
          <w:p>
            <w:pPr>
              <w:jc w:val="center"/>
              <w:ind w:right="8"/>
              <w:spacing w:after="0"/>
              <w:rPr>
                <w:sz w:val="20"/>
                <w:szCs w:val="20"/>
                <w:color w:val="auto"/>
              </w:rPr>
            </w:pPr>
            <w:r>
              <w:rPr>
                <w:rFonts w:ascii="Arial" w:cs="Arial" w:eastAsia="Arial" w:hAnsi="Arial"/>
                <w:sz w:val="14"/>
                <w:szCs w:val="14"/>
                <w:b w:val="1"/>
                <w:bCs w:val="1"/>
                <w:color w:val="auto"/>
                <w:w w:val="91"/>
              </w:rPr>
              <w:t>Investment</w:t>
            </w:r>
          </w:p>
        </w:tc>
        <w:tc>
          <w:tcPr>
            <w:tcW w:w="18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4"/>
              </w:rPr>
              <w:t>Contracts</w:t>
            </w:r>
          </w:p>
        </w:tc>
        <w:tc>
          <w:tcPr>
            <w:tcW w:w="100" w:type="dxa"/>
            <w:vAlign w:val="bottom"/>
          </w:tcPr>
          <w:p>
            <w:pPr>
              <w:spacing w:after="0"/>
              <w:rPr>
                <w:sz w:val="15"/>
                <w:szCs w:val="15"/>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00" w:type="dxa"/>
            <w:vAlign w:val="bottom"/>
            <w:tcBorders>
              <w:top w:val="single" w:sz="8" w:color="auto"/>
            </w:tcBorders>
            <w:shd w:val="clear" w:color="auto" w:fill="F0FFFF"/>
          </w:tcPr>
          <w:p>
            <w:pPr>
              <w:spacing w:after="0" w:line="130" w:lineRule="exact"/>
              <w:rPr>
                <w:sz w:val="20"/>
                <w:szCs w:val="20"/>
                <w:color w:val="auto"/>
              </w:rPr>
            </w:pPr>
            <w:r>
              <w:rPr>
                <w:rFonts w:ascii="Arial" w:cs="Arial" w:eastAsia="Arial" w:hAnsi="Arial"/>
                <w:sz w:val="14"/>
                <w:szCs w:val="14"/>
                <w:color w:val="auto"/>
                <w:w w:val="95"/>
              </w:rPr>
              <w:t>Owner occupied commercial</w:t>
            </w:r>
          </w:p>
        </w:tc>
        <w:tc>
          <w:tcPr>
            <w:tcW w:w="120" w:type="dxa"/>
            <w:vAlign w:val="bottom"/>
            <w:shd w:val="clear" w:color="auto" w:fill="F0FFFF"/>
          </w:tcPr>
          <w:p>
            <w:pPr>
              <w:spacing w:after="0"/>
              <w:rPr>
                <w:sz w:val="11"/>
                <w:szCs w:val="11"/>
                <w:color w:val="auto"/>
              </w:rPr>
            </w:pPr>
          </w:p>
        </w:tc>
        <w:tc>
          <w:tcPr>
            <w:tcW w:w="820" w:type="dxa"/>
            <w:vAlign w:val="bottom"/>
            <w:tcBorders>
              <w:top w:val="single" w:sz="8" w:color="auto"/>
            </w:tcBorders>
            <w:shd w:val="clear" w:color="auto" w:fill="F0FFFF"/>
          </w:tcPr>
          <w:p>
            <w:pPr>
              <w:spacing w:after="0"/>
              <w:rPr>
                <w:sz w:val="11"/>
                <w:szCs w:val="11"/>
                <w:color w:val="auto"/>
              </w:rPr>
            </w:pPr>
          </w:p>
        </w:tc>
        <w:tc>
          <w:tcPr>
            <w:tcW w:w="180" w:type="dxa"/>
            <w:vAlign w:val="bottom"/>
            <w:tcBorders>
              <w:left w:val="single" w:sz="8" w:color="F0FFFF"/>
              <w:right w:val="single" w:sz="8" w:color="F0FFFF"/>
            </w:tcBorders>
            <w:shd w:val="clear" w:color="auto" w:fill="F0FFFF"/>
          </w:tcPr>
          <w:p>
            <w:pPr>
              <w:spacing w:after="0"/>
              <w:rPr>
                <w:sz w:val="11"/>
                <w:szCs w:val="11"/>
                <w:color w:val="auto"/>
              </w:rPr>
            </w:pPr>
          </w:p>
        </w:tc>
        <w:tc>
          <w:tcPr>
            <w:tcW w:w="860" w:type="dxa"/>
            <w:vAlign w:val="bottom"/>
            <w:tcBorders>
              <w:top w:val="single" w:sz="8" w:color="auto"/>
            </w:tcBorders>
            <w:shd w:val="clear" w:color="auto" w:fill="F0FFFF"/>
          </w:tcPr>
          <w:p>
            <w:pPr>
              <w:spacing w:after="0"/>
              <w:rPr>
                <w:sz w:val="11"/>
                <w:szCs w:val="11"/>
                <w:color w:val="auto"/>
              </w:rPr>
            </w:pPr>
          </w:p>
        </w:tc>
        <w:tc>
          <w:tcPr>
            <w:tcW w:w="200" w:type="dxa"/>
            <w:vAlign w:val="bottom"/>
            <w:tcBorders>
              <w:left w:val="single" w:sz="8" w:color="F0FFFF"/>
              <w:right w:val="single" w:sz="8" w:color="F0FFFF"/>
            </w:tcBorders>
            <w:shd w:val="clear" w:color="auto" w:fill="F0FFFF"/>
          </w:tcPr>
          <w:p>
            <w:pPr>
              <w:spacing w:after="0"/>
              <w:rPr>
                <w:sz w:val="11"/>
                <w:szCs w:val="11"/>
                <w:color w:val="auto"/>
              </w:rPr>
            </w:pPr>
          </w:p>
        </w:tc>
        <w:tc>
          <w:tcPr>
            <w:tcW w:w="860" w:type="dxa"/>
            <w:vAlign w:val="bottom"/>
            <w:tcBorders>
              <w:top w:val="single" w:sz="8" w:color="auto"/>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20" w:type="dxa"/>
            <w:vAlign w:val="bottom"/>
            <w:tcBorders>
              <w:top w:val="single" w:sz="8" w:color="auto"/>
            </w:tcBorders>
            <w:shd w:val="clear" w:color="auto" w:fill="F0FFFF"/>
          </w:tcPr>
          <w:p>
            <w:pPr>
              <w:spacing w:after="0"/>
              <w:rPr>
                <w:sz w:val="11"/>
                <w:szCs w:val="11"/>
                <w:color w:val="auto"/>
              </w:rPr>
            </w:pPr>
          </w:p>
        </w:tc>
        <w:tc>
          <w:tcPr>
            <w:tcW w:w="120" w:type="dxa"/>
            <w:vAlign w:val="bottom"/>
            <w:tcBorders>
              <w:left w:val="single" w:sz="8" w:color="F0FFFF"/>
            </w:tcBorders>
            <w:shd w:val="clear" w:color="auto" w:fill="F0FFFF"/>
          </w:tcPr>
          <w:p>
            <w:pPr>
              <w:spacing w:after="0"/>
              <w:rPr>
                <w:sz w:val="11"/>
                <w:szCs w:val="11"/>
                <w:color w:val="auto"/>
              </w:rPr>
            </w:pPr>
          </w:p>
        </w:tc>
        <w:tc>
          <w:tcPr>
            <w:tcW w:w="560" w:type="dxa"/>
            <w:vAlign w:val="bottom"/>
            <w:tcBorders>
              <w:top w:val="single" w:sz="8" w:color="auto"/>
            </w:tcBorders>
            <w:shd w:val="clear" w:color="auto" w:fill="F0FFFF"/>
          </w:tcPr>
          <w:p>
            <w:pPr>
              <w:spacing w:after="0"/>
              <w:rPr>
                <w:sz w:val="11"/>
                <w:szCs w:val="11"/>
                <w:color w:val="auto"/>
              </w:rPr>
            </w:pPr>
          </w:p>
        </w:tc>
        <w:tc>
          <w:tcPr>
            <w:tcW w:w="240" w:type="dxa"/>
            <w:vAlign w:val="bottom"/>
            <w:tcBorders>
              <w:top w:val="single" w:sz="8" w:color="auto"/>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80" w:type="dxa"/>
            <w:vAlign w:val="bottom"/>
            <w:tcBorders>
              <w:top w:val="single" w:sz="8" w:color="auto"/>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tcBorders>
              <w:top w:val="single" w:sz="8" w:color="auto"/>
            </w:tcBorders>
            <w:shd w:val="clear" w:color="auto" w:fill="F0FFFF"/>
          </w:tcPr>
          <w:p>
            <w:pPr>
              <w:spacing w:after="0"/>
              <w:rPr>
                <w:sz w:val="11"/>
                <w:szCs w:val="11"/>
                <w:color w:val="auto"/>
              </w:rPr>
            </w:pPr>
          </w:p>
        </w:tc>
        <w:tc>
          <w:tcPr>
            <w:tcW w:w="820" w:type="dxa"/>
            <w:vAlign w:val="bottom"/>
            <w:tcBorders>
              <w:top w:val="single" w:sz="8" w:color="auto"/>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tcBorders>
              <w:top w:val="single" w:sz="8" w:color="auto"/>
            </w:tcBorders>
            <w:shd w:val="clear" w:color="auto" w:fill="F0FFFF"/>
          </w:tcPr>
          <w:p>
            <w:pPr>
              <w:spacing w:after="0"/>
              <w:rPr>
                <w:sz w:val="11"/>
                <w:szCs w:val="11"/>
                <w:color w:val="auto"/>
              </w:rPr>
            </w:pPr>
          </w:p>
        </w:tc>
        <w:tc>
          <w:tcPr>
            <w:tcW w:w="800" w:type="dxa"/>
            <w:vAlign w:val="bottom"/>
            <w:tcBorders>
              <w:top w:val="single" w:sz="8" w:color="auto"/>
            </w:tcBorders>
            <w:shd w:val="clear" w:color="auto" w:fill="F0FFFF"/>
          </w:tcPr>
          <w:p>
            <w:pPr>
              <w:spacing w:after="0"/>
              <w:rPr>
                <w:sz w:val="11"/>
                <w:szCs w:val="11"/>
                <w:color w:val="auto"/>
              </w:rPr>
            </w:pPr>
          </w:p>
        </w:tc>
        <w:tc>
          <w:tcPr>
            <w:tcW w:w="180" w:type="dxa"/>
            <w:vAlign w:val="bottom"/>
            <w:tcBorders>
              <w:left w:val="single" w:sz="8" w:color="F0FFFF"/>
              <w:right w:val="single" w:sz="8" w:color="F0FFFF"/>
            </w:tcBorders>
            <w:shd w:val="clear" w:color="auto" w:fill="F0FFFF"/>
          </w:tcPr>
          <w:p>
            <w:pPr>
              <w:spacing w:after="0"/>
              <w:rPr>
                <w:sz w:val="11"/>
                <w:szCs w:val="11"/>
                <w:color w:val="auto"/>
              </w:rPr>
            </w:pPr>
          </w:p>
        </w:tc>
        <w:tc>
          <w:tcPr>
            <w:tcW w:w="720" w:type="dxa"/>
            <w:vAlign w:val="bottom"/>
            <w:tcBorders>
              <w:top w:val="single" w:sz="8" w:color="auto"/>
            </w:tcBorders>
            <w:shd w:val="clear" w:color="auto" w:fill="F0FFFF"/>
          </w:tcPr>
          <w:p>
            <w:pPr>
              <w:spacing w:after="0"/>
              <w:rPr>
                <w:sz w:val="11"/>
                <w:szCs w:val="11"/>
                <w:color w:val="auto"/>
              </w:rPr>
            </w:pPr>
          </w:p>
        </w:tc>
        <w:tc>
          <w:tcPr>
            <w:tcW w:w="100" w:type="dxa"/>
            <w:vAlign w:val="bottom"/>
            <w:tcBorders>
              <w:left w:val="single" w:sz="8" w:color="F0FFFF"/>
            </w:tcBorders>
            <w:shd w:val="clear" w:color="auto" w:fill="F0FFFF"/>
          </w:tcPr>
          <w:p>
            <w:pPr>
              <w:spacing w:after="0"/>
              <w:rPr>
                <w:sz w:val="11"/>
                <w:szCs w:val="11"/>
                <w:color w:val="auto"/>
              </w:rPr>
            </w:pPr>
          </w:p>
        </w:tc>
        <w:tc>
          <w:tcPr>
            <w:tcW w:w="440" w:type="dxa"/>
            <w:vAlign w:val="bottom"/>
            <w:tcBorders>
              <w:top w:val="single" w:sz="8" w:color="auto"/>
            </w:tcBorders>
            <w:shd w:val="clear" w:color="auto" w:fill="F0FFFF"/>
          </w:tcPr>
          <w:p>
            <w:pPr>
              <w:spacing w:after="0"/>
              <w:rPr>
                <w:sz w:val="11"/>
                <w:szCs w:val="11"/>
                <w:color w:val="auto"/>
              </w:rPr>
            </w:pPr>
          </w:p>
        </w:tc>
        <w:tc>
          <w:tcPr>
            <w:tcW w:w="360" w:type="dxa"/>
            <w:vAlign w:val="bottom"/>
            <w:tcBorders>
              <w:top w:val="single" w:sz="8" w:color="auto"/>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gridSpan w:val="2"/>
            <w:shd w:val="clear" w:color="auto" w:fill="F0FFFF"/>
          </w:tcPr>
          <w:p>
            <w:pPr>
              <w:ind w:left="160"/>
              <w:spacing w:after="0"/>
              <w:rPr>
                <w:sz w:val="20"/>
                <w:szCs w:val="20"/>
                <w:color w:val="auto"/>
              </w:rPr>
            </w:pPr>
            <w:r>
              <w:rPr>
                <w:rFonts w:ascii="Arial" w:cs="Arial" w:eastAsia="Arial" w:hAnsi="Arial"/>
                <w:sz w:val="14"/>
                <w:szCs w:val="14"/>
                <w:color w:val="auto"/>
              </w:rPr>
              <w:t>real estate</w:t>
            </w:r>
          </w:p>
        </w:tc>
        <w:tc>
          <w:tcPr>
            <w:tcW w:w="8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5</w:t>
            </w:r>
          </w:p>
        </w:tc>
        <w:tc>
          <w:tcPr>
            <w:tcW w:w="180" w:type="dxa"/>
            <w:vAlign w:val="bottom"/>
            <w:tcBorders>
              <w:left w:val="single" w:sz="8" w:color="F0FFFF"/>
              <w:right w:val="single" w:sz="8" w:color="F0FFFF"/>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2,787</w:t>
            </w:r>
          </w:p>
        </w:tc>
        <w:tc>
          <w:tcPr>
            <w:tcW w:w="200" w:type="dxa"/>
            <w:vAlign w:val="bottom"/>
            <w:tcBorders>
              <w:left w:val="single" w:sz="8" w:color="F0FFFF"/>
              <w:right w:val="single" w:sz="8" w:color="F0FFFF"/>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2,787</w:t>
            </w:r>
          </w:p>
        </w:tc>
        <w:tc>
          <w:tcPr>
            <w:tcW w:w="8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left w:val="single" w:sz="8" w:color="F0FFFF"/>
            </w:tcBorders>
            <w:gridSpan w:val="2"/>
            <w:shd w:val="clear" w:color="auto" w:fill="F0FFFF"/>
          </w:tcPr>
          <w:p>
            <w:pPr>
              <w:jc w:val="right"/>
              <w:ind w:right="428"/>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7</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3,392</w:t>
            </w:r>
          </w:p>
        </w:tc>
        <w:tc>
          <w:tcPr>
            <w:tcW w:w="10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3,392</w:t>
            </w:r>
          </w:p>
        </w:tc>
        <w:tc>
          <w:tcPr>
            <w:tcW w:w="180" w:type="dxa"/>
            <w:vAlign w:val="bottom"/>
            <w:tcBorders>
              <w:left w:val="single" w:sz="8" w:color="F0FFFF"/>
              <w:right w:val="single" w:sz="8" w:color="F0FFFF"/>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w:t>
            </w:r>
          </w:p>
        </w:tc>
        <w:tc>
          <w:tcPr>
            <w:tcW w:w="540" w:type="dxa"/>
            <w:vAlign w:val="bottom"/>
            <w:tcBorders>
              <w:left w:val="single" w:sz="8" w:color="F0FFFF"/>
            </w:tcBorders>
            <w:gridSpan w:val="2"/>
            <w:shd w:val="clear" w:color="auto" w:fill="F0FFFF"/>
          </w:tcPr>
          <w:p>
            <w:pPr>
              <w:jc w:val="right"/>
              <w:ind w:right="288"/>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gridSpan w:val="2"/>
          </w:tcPr>
          <w:p>
            <w:pPr>
              <w:spacing w:after="0" w:line="130" w:lineRule="exact"/>
              <w:rPr>
                <w:sz w:val="20"/>
                <w:szCs w:val="20"/>
                <w:color w:val="auto"/>
              </w:rPr>
            </w:pPr>
            <w:r>
              <w:rPr>
                <w:rFonts w:ascii="Arial" w:cs="Arial" w:eastAsia="Arial" w:hAnsi="Arial"/>
                <w:sz w:val="14"/>
                <w:szCs w:val="14"/>
                <w:color w:val="auto"/>
              </w:rPr>
              <w:t>Income producing</w:t>
            </w: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gridSpan w:val="2"/>
          </w:tcPr>
          <w:p>
            <w:pPr>
              <w:ind w:left="160"/>
              <w:spacing w:after="0"/>
              <w:rPr>
                <w:sz w:val="20"/>
                <w:szCs w:val="20"/>
                <w:color w:val="auto"/>
              </w:rPr>
            </w:pPr>
            <w:r>
              <w:rPr>
                <w:rFonts w:ascii="Arial" w:cs="Arial" w:eastAsia="Arial" w:hAnsi="Arial"/>
                <w:sz w:val="14"/>
                <w:szCs w:val="14"/>
                <w:color w:val="auto"/>
              </w:rPr>
              <w:t>commercial real estate</w:t>
            </w:r>
          </w:p>
        </w:tc>
        <w:tc>
          <w:tcPr>
            <w:tcW w:w="820" w:type="dxa"/>
            <w:vAlign w:val="bottom"/>
          </w:tcPr>
          <w:p>
            <w:pPr>
              <w:jc w:val="right"/>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1,459</w:t>
            </w:r>
          </w:p>
        </w:tc>
        <w:tc>
          <w:tcPr>
            <w:tcW w:w="20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1,459</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1,992</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1,992</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gridSpan w:val="2"/>
            <w:shd w:val="clear" w:color="auto" w:fill="F0FFFF"/>
          </w:tcPr>
          <w:p>
            <w:pPr>
              <w:spacing w:after="0" w:line="149" w:lineRule="exact"/>
              <w:rPr>
                <w:sz w:val="20"/>
                <w:szCs w:val="20"/>
                <w:color w:val="auto"/>
              </w:rPr>
            </w:pPr>
            <w:r>
              <w:rPr>
                <w:rFonts w:ascii="Arial" w:cs="Arial" w:eastAsia="Arial" w:hAnsi="Arial"/>
                <w:sz w:val="14"/>
                <w:szCs w:val="14"/>
                <w:color w:val="auto"/>
              </w:rPr>
              <w:t>Commercial &amp; industrial</w:t>
            </w:r>
          </w:p>
        </w:tc>
        <w:tc>
          <w:tcPr>
            <w:tcW w:w="8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3</w:t>
            </w:r>
          </w:p>
        </w:tc>
        <w:tc>
          <w:tcPr>
            <w:tcW w:w="180" w:type="dxa"/>
            <w:vAlign w:val="bottom"/>
            <w:tcBorders>
              <w:left w:val="single" w:sz="8" w:color="F0FFFF"/>
              <w:right w:val="single" w:sz="8" w:color="F0FFFF"/>
            </w:tcBorders>
            <w:shd w:val="clear" w:color="auto" w:fill="F0FFFF"/>
          </w:tcPr>
          <w:p>
            <w:pPr>
              <w:spacing w:after="0"/>
              <w:rPr>
                <w:sz w:val="12"/>
                <w:szCs w:val="12"/>
                <w:color w:val="auto"/>
              </w:rPr>
            </w:pPr>
          </w:p>
        </w:tc>
        <w:tc>
          <w:tcPr>
            <w:tcW w:w="86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106</w:t>
            </w:r>
          </w:p>
        </w:tc>
        <w:tc>
          <w:tcPr>
            <w:tcW w:w="200" w:type="dxa"/>
            <w:vAlign w:val="bottom"/>
            <w:tcBorders>
              <w:left w:val="single" w:sz="8" w:color="F0FFFF"/>
              <w:right w:val="single" w:sz="8" w:color="F0FFFF"/>
            </w:tcBorders>
            <w:shd w:val="clear" w:color="auto" w:fill="F0FFFF"/>
          </w:tcPr>
          <w:p>
            <w:pPr>
              <w:spacing w:after="0"/>
              <w:rPr>
                <w:sz w:val="12"/>
                <w:szCs w:val="12"/>
                <w:color w:val="auto"/>
              </w:rPr>
            </w:pPr>
          </w:p>
        </w:tc>
        <w:tc>
          <w:tcPr>
            <w:tcW w:w="98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106</w:t>
            </w:r>
          </w:p>
        </w:tc>
        <w:tc>
          <w:tcPr>
            <w:tcW w:w="8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left w:val="single" w:sz="8" w:color="F0FFFF"/>
            </w:tcBorders>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34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4</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330</w:t>
            </w:r>
          </w:p>
        </w:tc>
        <w:tc>
          <w:tcPr>
            <w:tcW w:w="100" w:type="dxa"/>
            <w:vAlign w:val="bottom"/>
            <w:shd w:val="clear" w:color="auto" w:fill="F0FFFF"/>
          </w:tcPr>
          <w:p>
            <w:pPr>
              <w:spacing w:after="0"/>
              <w:rPr>
                <w:sz w:val="12"/>
                <w:szCs w:val="12"/>
                <w:color w:val="auto"/>
              </w:rPr>
            </w:pPr>
          </w:p>
        </w:tc>
        <w:tc>
          <w:tcPr>
            <w:tcW w:w="8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330</w:t>
            </w:r>
          </w:p>
        </w:tc>
        <w:tc>
          <w:tcPr>
            <w:tcW w:w="180" w:type="dxa"/>
            <w:vAlign w:val="bottom"/>
            <w:tcBorders>
              <w:left w:val="single" w:sz="8" w:color="F0FFFF"/>
              <w:right w:val="single" w:sz="8" w:color="F0FFFF"/>
            </w:tcBorders>
            <w:shd w:val="clear" w:color="auto" w:fill="F0FFFF"/>
          </w:tcPr>
          <w:p>
            <w:pPr>
              <w:spacing w:after="0"/>
              <w:rPr>
                <w:sz w:val="12"/>
                <w:szCs w:val="12"/>
                <w:color w:val="auto"/>
              </w:rPr>
            </w:pPr>
          </w:p>
        </w:tc>
        <w:tc>
          <w:tcPr>
            <w:tcW w:w="7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2</w:t>
            </w:r>
          </w:p>
        </w:tc>
        <w:tc>
          <w:tcPr>
            <w:tcW w:w="100" w:type="dxa"/>
            <w:vAlign w:val="bottom"/>
            <w:tcBorders>
              <w:left w:val="single" w:sz="8" w:color="F0FFFF"/>
            </w:tcBorders>
            <w:shd w:val="clear" w:color="auto" w:fill="F0FFFF"/>
          </w:tcPr>
          <w:p>
            <w:pPr>
              <w:spacing w:after="0"/>
              <w:rPr>
                <w:sz w:val="12"/>
                <w:szCs w:val="12"/>
                <w:color w:val="auto"/>
              </w:rPr>
            </w:pPr>
          </w:p>
        </w:tc>
        <w:tc>
          <w:tcPr>
            <w:tcW w:w="440" w:type="dxa"/>
            <w:vAlign w:val="bottom"/>
            <w:shd w:val="clear" w:color="auto" w:fill="F0FFFF"/>
          </w:tcPr>
          <w:p>
            <w:pPr>
              <w:spacing w:after="0"/>
              <w:rPr>
                <w:sz w:val="12"/>
                <w:szCs w:val="12"/>
                <w:color w:val="auto"/>
              </w:rPr>
            </w:pPr>
          </w:p>
        </w:tc>
        <w:tc>
          <w:tcPr>
            <w:tcW w:w="46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9"/>
        </w:trPr>
        <w:tc>
          <w:tcPr>
            <w:tcW w:w="1840" w:type="dxa"/>
            <w:vAlign w:val="bottom"/>
            <w:gridSpan w:val="3"/>
          </w:tcPr>
          <w:p>
            <w:pPr>
              <w:spacing w:after="0" w:line="129" w:lineRule="exact"/>
              <w:rPr>
                <w:sz w:val="20"/>
                <w:szCs w:val="20"/>
                <w:color w:val="auto"/>
              </w:rPr>
            </w:pPr>
            <w:r>
              <w:rPr>
                <w:rFonts w:ascii="Arial" w:cs="Arial" w:eastAsia="Arial" w:hAnsi="Arial"/>
                <w:sz w:val="14"/>
                <w:szCs w:val="14"/>
                <w:color w:val="auto"/>
              </w:rPr>
              <w:t>Commercial construction</w:t>
            </w:r>
          </w:p>
        </w:tc>
        <w:tc>
          <w:tcPr>
            <w:tcW w:w="820" w:type="dxa"/>
            <w:vAlign w:val="bottom"/>
          </w:tcPr>
          <w:p>
            <w:pPr>
              <w:jc w:val="right"/>
              <w:spacing w:after="0" w:line="129" w:lineRule="exact"/>
              <w:rPr>
                <w:sz w:val="20"/>
                <w:szCs w:val="20"/>
                <w:color w:val="auto"/>
              </w:rPr>
            </w:pPr>
            <w:r>
              <w:rPr>
                <w:rFonts w:ascii="Arial" w:cs="Arial" w:eastAsia="Arial" w:hAnsi="Arial"/>
                <w:sz w:val="14"/>
                <w:szCs w:val="14"/>
                <w:color w:val="auto"/>
              </w:rPr>
              <w:t>1</w:t>
            </w:r>
          </w:p>
        </w:tc>
        <w:tc>
          <w:tcPr>
            <w:tcW w:w="180" w:type="dxa"/>
            <w:vAlign w:val="bottom"/>
          </w:tcPr>
          <w:p>
            <w:pPr>
              <w:spacing w:after="0"/>
              <w:rPr>
                <w:sz w:val="12"/>
                <w:szCs w:val="12"/>
                <w:color w:val="auto"/>
              </w:rPr>
            </w:pPr>
          </w:p>
        </w:tc>
        <w:tc>
          <w:tcPr>
            <w:tcW w:w="860" w:type="dxa"/>
            <w:vAlign w:val="bottom"/>
          </w:tcPr>
          <w:p>
            <w:pPr>
              <w:jc w:val="right"/>
              <w:spacing w:after="0" w:line="129" w:lineRule="exact"/>
              <w:rPr>
                <w:sz w:val="20"/>
                <w:szCs w:val="20"/>
                <w:color w:val="auto"/>
              </w:rPr>
            </w:pPr>
            <w:r>
              <w:rPr>
                <w:rFonts w:ascii="Arial" w:cs="Arial" w:eastAsia="Arial" w:hAnsi="Arial"/>
                <w:sz w:val="14"/>
                <w:szCs w:val="14"/>
                <w:color w:val="auto"/>
              </w:rPr>
              <w:t>240</w:t>
            </w:r>
          </w:p>
        </w:tc>
        <w:tc>
          <w:tcPr>
            <w:tcW w:w="200" w:type="dxa"/>
            <w:vAlign w:val="bottom"/>
          </w:tcPr>
          <w:p>
            <w:pPr>
              <w:spacing w:after="0"/>
              <w:rPr>
                <w:sz w:val="12"/>
                <w:szCs w:val="12"/>
                <w:color w:val="auto"/>
              </w:rPr>
            </w:pPr>
          </w:p>
        </w:tc>
        <w:tc>
          <w:tcPr>
            <w:tcW w:w="980" w:type="dxa"/>
            <w:vAlign w:val="bottom"/>
            <w:gridSpan w:val="2"/>
          </w:tcPr>
          <w:p>
            <w:pPr>
              <w:jc w:val="right"/>
              <w:ind w:right="120"/>
              <w:spacing w:after="0" w:line="129" w:lineRule="exact"/>
              <w:rPr>
                <w:sz w:val="20"/>
                <w:szCs w:val="20"/>
                <w:color w:val="auto"/>
              </w:rPr>
            </w:pPr>
            <w:r>
              <w:rPr>
                <w:rFonts w:ascii="Arial" w:cs="Arial" w:eastAsia="Arial" w:hAnsi="Arial"/>
                <w:sz w:val="14"/>
                <w:szCs w:val="14"/>
                <w:color w:val="auto"/>
              </w:rPr>
              <w:t>240</w:t>
            </w:r>
          </w:p>
        </w:tc>
        <w:tc>
          <w:tcPr>
            <w:tcW w:w="82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gridSpan w:val="2"/>
          </w:tcPr>
          <w:p>
            <w:pPr>
              <w:jc w:val="right"/>
              <w:ind w:right="100"/>
              <w:spacing w:after="0" w:line="12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2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29" w:lineRule="exact"/>
              <w:rPr>
                <w:sz w:val="20"/>
                <w:szCs w:val="20"/>
                <w:color w:val="auto"/>
              </w:rPr>
            </w:pPr>
            <w:r>
              <w:rPr>
                <w:rFonts w:ascii="Arial" w:cs="Arial" w:eastAsia="Arial" w:hAnsi="Arial"/>
                <w:sz w:val="14"/>
                <w:szCs w:val="14"/>
                <w:color w:val="auto"/>
              </w:rPr>
              <w:t>471</w:t>
            </w:r>
          </w:p>
        </w:tc>
        <w:tc>
          <w:tcPr>
            <w:tcW w:w="100" w:type="dxa"/>
            <w:vAlign w:val="bottom"/>
          </w:tcPr>
          <w:p>
            <w:pPr>
              <w:spacing w:after="0"/>
              <w:rPr>
                <w:sz w:val="12"/>
                <w:szCs w:val="12"/>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4"/>
                <w:szCs w:val="14"/>
                <w:color w:val="auto"/>
              </w:rPr>
              <w:t>471</w:t>
            </w:r>
          </w:p>
        </w:tc>
        <w:tc>
          <w:tcPr>
            <w:tcW w:w="180" w:type="dxa"/>
            <w:vAlign w:val="bottom"/>
          </w:tcPr>
          <w:p>
            <w:pPr>
              <w:spacing w:after="0"/>
              <w:rPr>
                <w:sz w:val="12"/>
                <w:szCs w:val="12"/>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gridSpan w:val="2"/>
          </w:tcPr>
          <w:p>
            <w:pPr>
              <w:jc w:val="right"/>
              <w:ind w:right="100"/>
              <w:spacing w:after="0" w:line="12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gridSpan w:val="2"/>
            <w:shd w:val="clear" w:color="auto" w:fill="F0FFFF"/>
          </w:tcPr>
          <w:p>
            <w:pPr>
              <w:ind w:left="320"/>
              <w:spacing w:after="0" w:line="149" w:lineRule="exact"/>
              <w:rPr>
                <w:sz w:val="20"/>
                <w:szCs w:val="20"/>
                <w:color w:val="auto"/>
              </w:rPr>
            </w:pPr>
            <w:r>
              <w:rPr>
                <w:rFonts w:ascii="Arial" w:cs="Arial" w:eastAsia="Arial" w:hAnsi="Arial"/>
                <w:sz w:val="14"/>
                <w:szCs w:val="14"/>
                <w:color w:val="auto"/>
              </w:rPr>
              <w:t>Total commercial</w:t>
            </w:r>
          </w:p>
        </w:tc>
        <w:tc>
          <w:tcPr>
            <w:tcW w:w="8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12</w:t>
            </w:r>
          </w:p>
        </w:tc>
        <w:tc>
          <w:tcPr>
            <w:tcW w:w="180" w:type="dxa"/>
            <w:vAlign w:val="bottom"/>
            <w:tcBorders>
              <w:left w:val="single" w:sz="8" w:color="F0FFFF"/>
              <w:right w:val="single" w:sz="8" w:color="F0FFFF"/>
            </w:tcBorders>
            <w:shd w:val="clear" w:color="auto" w:fill="F0FFFF"/>
          </w:tcPr>
          <w:p>
            <w:pPr>
              <w:spacing w:after="0"/>
              <w:rPr>
                <w:sz w:val="12"/>
                <w:szCs w:val="12"/>
                <w:color w:val="auto"/>
              </w:rPr>
            </w:pPr>
          </w:p>
        </w:tc>
        <w:tc>
          <w:tcPr>
            <w:tcW w:w="86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4,592</w:t>
            </w:r>
          </w:p>
        </w:tc>
        <w:tc>
          <w:tcPr>
            <w:tcW w:w="200" w:type="dxa"/>
            <w:vAlign w:val="bottom"/>
            <w:tcBorders>
              <w:left w:val="single" w:sz="8" w:color="F0FFFF"/>
              <w:right w:val="single" w:sz="8" w:color="F0FFFF"/>
            </w:tcBorders>
            <w:shd w:val="clear" w:color="auto" w:fill="F0FFFF"/>
          </w:tcPr>
          <w:p>
            <w:pPr>
              <w:spacing w:after="0"/>
              <w:rPr>
                <w:sz w:val="12"/>
                <w:szCs w:val="12"/>
                <w:color w:val="auto"/>
              </w:rPr>
            </w:pPr>
          </w:p>
        </w:tc>
        <w:tc>
          <w:tcPr>
            <w:tcW w:w="98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4,592</w:t>
            </w:r>
          </w:p>
        </w:tc>
        <w:tc>
          <w:tcPr>
            <w:tcW w:w="8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left w:val="single" w:sz="8" w:color="F0FFFF"/>
            </w:tcBorders>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34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18</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6,185</w:t>
            </w:r>
          </w:p>
        </w:tc>
        <w:tc>
          <w:tcPr>
            <w:tcW w:w="100" w:type="dxa"/>
            <w:vAlign w:val="bottom"/>
            <w:shd w:val="clear" w:color="auto" w:fill="F0FFFF"/>
          </w:tcPr>
          <w:p>
            <w:pPr>
              <w:spacing w:after="0"/>
              <w:rPr>
                <w:sz w:val="12"/>
                <w:szCs w:val="12"/>
                <w:color w:val="auto"/>
              </w:rPr>
            </w:pPr>
          </w:p>
        </w:tc>
        <w:tc>
          <w:tcPr>
            <w:tcW w:w="8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6,185</w:t>
            </w:r>
          </w:p>
        </w:tc>
        <w:tc>
          <w:tcPr>
            <w:tcW w:w="180" w:type="dxa"/>
            <w:vAlign w:val="bottom"/>
            <w:tcBorders>
              <w:left w:val="single" w:sz="8" w:color="F0FFFF"/>
              <w:right w:val="single" w:sz="8" w:color="F0FFFF"/>
            </w:tcBorders>
            <w:shd w:val="clear" w:color="auto" w:fill="F0FFFF"/>
          </w:tcPr>
          <w:p>
            <w:pPr>
              <w:spacing w:after="0"/>
              <w:rPr>
                <w:sz w:val="12"/>
                <w:szCs w:val="12"/>
                <w:color w:val="auto"/>
              </w:rPr>
            </w:pPr>
          </w:p>
        </w:tc>
        <w:tc>
          <w:tcPr>
            <w:tcW w:w="7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3</w:t>
            </w:r>
          </w:p>
        </w:tc>
        <w:tc>
          <w:tcPr>
            <w:tcW w:w="100" w:type="dxa"/>
            <w:vAlign w:val="bottom"/>
            <w:tcBorders>
              <w:left w:val="single" w:sz="8" w:color="F0FFFF"/>
            </w:tcBorders>
            <w:shd w:val="clear" w:color="auto" w:fill="F0FFFF"/>
          </w:tcPr>
          <w:p>
            <w:pPr>
              <w:spacing w:after="0"/>
              <w:rPr>
                <w:sz w:val="12"/>
                <w:szCs w:val="12"/>
                <w:color w:val="auto"/>
              </w:rPr>
            </w:pPr>
          </w:p>
        </w:tc>
        <w:tc>
          <w:tcPr>
            <w:tcW w:w="440" w:type="dxa"/>
            <w:vAlign w:val="bottom"/>
            <w:shd w:val="clear" w:color="auto" w:fill="F0FFFF"/>
          </w:tcPr>
          <w:p>
            <w:pPr>
              <w:spacing w:after="0"/>
              <w:rPr>
                <w:sz w:val="12"/>
                <w:szCs w:val="12"/>
                <w:color w:val="auto"/>
              </w:rPr>
            </w:pPr>
          </w:p>
        </w:tc>
        <w:tc>
          <w:tcPr>
            <w:tcW w:w="46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gridSpan w:val="2"/>
          </w:tcPr>
          <w:p>
            <w:pPr>
              <w:spacing w:after="0" w:line="149" w:lineRule="exact"/>
              <w:rPr>
                <w:sz w:val="20"/>
                <w:szCs w:val="20"/>
                <w:color w:val="auto"/>
              </w:rPr>
            </w:pPr>
            <w:r>
              <w:rPr>
                <w:rFonts w:ascii="Arial" w:cs="Arial" w:eastAsia="Arial" w:hAnsi="Arial"/>
                <w:sz w:val="14"/>
                <w:szCs w:val="14"/>
                <w:color w:val="auto"/>
              </w:rPr>
              <w:t>Residential mortgage</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1,014</w:t>
            </w:r>
          </w:p>
        </w:tc>
        <w:tc>
          <w:tcPr>
            <w:tcW w:w="20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973</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4"/>
              </w:rPr>
              <w:t>280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2,146</w:t>
            </w: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2,105</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gridSpan w:val="2"/>
            <w:shd w:val="clear" w:color="auto" w:fill="F0FFFF"/>
          </w:tcPr>
          <w:p>
            <w:pPr>
              <w:spacing w:after="0" w:line="149" w:lineRule="exact"/>
              <w:rPr>
                <w:sz w:val="20"/>
                <w:szCs w:val="20"/>
                <w:color w:val="auto"/>
              </w:rPr>
            </w:pPr>
            <w:r>
              <w:rPr>
                <w:rFonts w:ascii="Arial" w:cs="Arial" w:eastAsia="Arial" w:hAnsi="Arial"/>
                <w:sz w:val="14"/>
                <w:szCs w:val="14"/>
                <w:color w:val="auto"/>
              </w:rPr>
              <w:t>Home equity lines of credit</w:t>
            </w:r>
          </w:p>
        </w:tc>
        <w:tc>
          <w:tcPr>
            <w:tcW w:w="8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w:t>
            </w:r>
          </w:p>
        </w:tc>
        <w:tc>
          <w:tcPr>
            <w:tcW w:w="180" w:type="dxa"/>
            <w:vAlign w:val="bottom"/>
            <w:tcBorders>
              <w:left w:val="single" w:sz="8" w:color="F0FFFF"/>
              <w:right w:val="single" w:sz="8" w:color="F0FFFF"/>
            </w:tcBorders>
            <w:shd w:val="clear" w:color="auto" w:fill="F0FFFF"/>
          </w:tcPr>
          <w:p>
            <w:pPr>
              <w:spacing w:after="0"/>
              <w:rPr>
                <w:sz w:val="12"/>
                <w:szCs w:val="12"/>
                <w:color w:val="auto"/>
              </w:rPr>
            </w:pPr>
          </w:p>
        </w:tc>
        <w:tc>
          <w:tcPr>
            <w:tcW w:w="86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36</w:t>
            </w:r>
          </w:p>
        </w:tc>
        <w:tc>
          <w:tcPr>
            <w:tcW w:w="200" w:type="dxa"/>
            <w:vAlign w:val="bottom"/>
            <w:tcBorders>
              <w:left w:val="single" w:sz="8" w:color="F0FFFF"/>
              <w:right w:val="single" w:sz="8" w:color="F0FFFF"/>
            </w:tcBorders>
            <w:shd w:val="clear" w:color="auto" w:fill="F0FFFF"/>
          </w:tcPr>
          <w:p>
            <w:pPr>
              <w:spacing w:after="0"/>
              <w:rPr>
                <w:sz w:val="12"/>
                <w:szCs w:val="12"/>
                <w:color w:val="auto"/>
              </w:rPr>
            </w:pPr>
          </w:p>
        </w:tc>
        <w:tc>
          <w:tcPr>
            <w:tcW w:w="98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36</w:t>
            </w:r>
          </w:p>
        </w:tc>
        <w:tc>
          <w:tcPr>
            <w:tcW w:w="8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left w:val="single" w:sz="8" w:color="F0FFFF"/>
            </w:tcBorders>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34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36</w:t>
            </w:r>
          </w:p>
        </w:tc>
        <w:tc>
          <w:tcPr>
            <w:tcW w:w="100" w:type="dxa"/>
            <w:vAlign w:val="bottom"/>
            <w:shd w:val="clear" w:color="auto" w:fill="F0FFFF"/>
          </w:tcPr>
          <w:p>
            <w:pPr>
              <w:spacing w:after="0"/>
              <w:rPr>
                <w:sz w:val="12"/>
                <w:szCs w:val="12"/>
                <w:color w:val="auto"/>
              </w:rPr>
            </w:pPr>
          </w:p>
        </w:tc>
        <w:tc>
          <w:tcPr>
            <w:tcW w:w="8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36</w:t>
            </w:r>
          </w:p>
        </w:tc>
        <w:tc>
          <w:tcPr>
            <w:tcW w:w="180" w:type="dxa"/>
            <w:vAlign w:val="bottom"/>
            <w:tcBorders>
              <w:left w:val="single" w:sz="8" w:color="F0FFFF"/>
              <w:right w:val="single" w:sz="8" w:color="F0FFFF"/>
            </w:tcBorders>
            <w:shd w:val="clear" w:color="auto" w:fill="F0FFFF"/>
          </w:tcPr>
          <w:p>
            <w:pPr>
              <w:spacing w:after="0"/>
              <w:rPr>
                <w:sz w:val="12"/>
                <w:szCs w:val="12"/>
                <w:color w:val="auto"/>
              </w:rPr>
            </w:pPr>
          </w:p>
        </w:tc>
        <w:tc>
          <w:tcPr>
            <w:tcW w:w="7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left w:val="single" w:sz="8" w:color="F0FFFF"/>
            </w:tcBorders>
            <w:shd w:val="clear" w:color="auto" w:fill="F0FFFF"/>
          </w:tcPr>
          <w:p>
            <w:pPr>
              <w:spacing w:after="0"/>
              <w:rPr>
                <w:sz w:val="12"/>
                <w:szCs w:val="12"/>
                <w:color w:val="auto"/>
              </w:rPr>
            </w:pPr>
          </w:p>
        </w:tc>
        <w:tc>
          <w:tcPr>
            <w:tcW w:w="440" w:type="dxa"/>
            <w:vAlign w:val="bottom"/>
            <w:shd w:val="clear" w:color="auto" w:fill="F0FFFF"/>
          </w:tcPr>
          <w:p>
            <w:pPr>
              <w:spacing w:after="0"/>
              <w:rPr>
                <w:sz w:val="12"/>
                <w:szCs w:val="12"/>
                <w:color w:val="auto"/>
              </w:rPr>
            </w:pPr>
          </w:p>
        </w:tc>
        <w:tc>
          <w:tcPr>
            <w:tcW w:w="46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gridSpan w:val="2"/>
          </w:tcPr>
          <w:p>
            <w:pPr>
              <w:spacing w:after="0" w:line="149" w:lineRule="exact"/>
              <w:rPr>
                <w:sz w:val="20"/>
                <w:szCs w:val="20"/>
                <w:color w:val="auto"/>
              </w:rPr>
            </w:pPr>
            <w:r>
              <w:rPr>
                <w:rFonts w:ascii="Arial" w:cs="Arial" w:eastAsia="Arial" w:hAnsi="Arial"/>
                <w:sz w:val="14"/>
                <w:szCs w:val="14"/>
                <w:color w:val="auto"/>
              </w:rPr>
              <w:t>Residential construction</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1,124</w:t>
            </w:r>
          </w:p>
        </w:tc>
        <w:tc>
          <w:tcPr>
            <w:tcW w:w="20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1,124</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1,124</w:t>
            </w: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1,124</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gridSpan w:val="2"/>
            <w:shd w:val="clear" w:color="auto" w:fill="F0FFFF"/>
          </w:tcPr>
          <w:p>
            <w:pPr>
              <w:spacing w:after="0" w:line="149" w:lineRule="exact"/>
              <w:rPr>
                <w:sz w:val="20"/>
                <w:szCs w:val="20"/>
                <w:color w:val="auto"/>
              </w:rPr>
            </w:pPr>
            <w:r>
              <w:rPr>
                <w:rFonts w:ascii="Arial" w:cs="Arial" w:eastAsia="Arial" w:hAnsi="Arial"/>
                <w:sz w:val="14"/>
                <w:szCs w:val="14"/>
                <w:color w:val="auto"/>
              </w:rPr>
              <w:t>Consumer installment</w:t>
            </w:r>
          </w:p>
        </w:tc>
        <w:tc>
          <w:tcPr>
            <w:tcW w:w="8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3</w:t>
            </w:r>
          </w:p>
        </w:tc>
        <w:tc>
          <w:tcPr>
            <w:tcW w:w="180" w:type="dxa"/>
            <w:vAlign w:val="bottom"/>
            <w:tcBorders>
              <w:left w:val="single" w:sz="8" w:color="F0FFFF"/>
              <w:right w:val="single" w:sz="8" w:color="F0FFFF"/>
            </w:tcBorders>
            <w:shd w:val="clear" w:color="auto" w:fill="F0FFFF"/>
          </w:tcPr>
          <w:p>
            <w:pPr>
              <w:spacing w:after="0"/>
              <w:rPr>
                <w:sz w:val="12"/>
                <w:szCs w:val="12"/>
                <w:color w:val="auto"/>
              </w:rPr>
            </w:pPr>
          </w:p>
        </w:tc>
        <w:tc>
          <w:tcPr>
            <w:tcW w:w="86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84</w:t>
            </w:r>
          </w:p>
        </w:tc>
        <w:tc>
          <w:tcPr>
            <w:tcW w:w="200" w:type="dxa"/>
            <w:vAlign w:val="bottom"/>
            <w:tcBorders>
              <w:left w:val="single" w:sz="8" w:color="F0FFFF"/>
              <w:right w:val="single" w:sz="8" w:color="F0FFFF"/>
            </w:tcBorders>
            <w:shd w:val="clear" w:color="auto" w:fill="F0FFFF"/>
          </w:tcPr>
          <w:p>
            <w:pPr>
              <w:spacing w:after="0"/>
              <w:rPr>
                <w:sz w:val="12"/>
                <w:szCs w:val="12"/>
                <w:color w:val="auto"/>
              </w:rPr>
            </w:pPr>
          </w:p>
        </w:tc>
        <w:tc>
          <w:tcPr>
            <w:tcW w:w="98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84</w:t>
            </w:r>
          </w:p>
        </w:tc>
        <w:tc>
          <w:tcPr>
            <w:tcW w:w="8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left w:val="single" w:sz="8" w:color="F0FFFF"/>
            </w:tcBorders>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34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5</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226</w:t>
            </w:r>
          </w:p>
        </w:tc>
        <w:tc>
          <w:tcPr>
            <w:tcW w:w="100" w:type="dxa"/>
            <w:vAlign w:val="bottom"/>
            <w:shd w:val="clear" w:color="auto" w:fill="F0FFFF"/>
          </w:tcPr>
          <w:p>
            <w:pPr>
              <w:spacing w:after="0"/>
              <w:rPr>
                <w:sz w:val="12"/>
                <w:szCs w:val="12"/>
                <w:color w:val="auto"/>
              </w:rPr>
            </w:pPr>
          </w:p>
        </w:tc>
        <w:tc>
          <w:tcPr>
            <w:tcW w:w="8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226</w:t>
            </w:r>
          </w:p>
        </w:tc>
        <w:tc>
          <w:tcPr>
            <w:tcW w:w="180" w:type="dxa"/>
            <w:vAlign w:val="bottom"/>
            <w:tcBorders>
              <w:left w:val="single" w:sz="8" w:color="F0FFFF"/>
              <w:right w:val="single" w:sz="8" w:color="F0FFFF"/>
            </w:tcBorders>
            <w:shd w:val="clear" w:color="auto" w:fill="F0FFFF"/>
          </w:tcPr>
          <w:p>
            <w:pPr>
              <w:spacing w:after="0"/>
              <w:rPr>
                <w:sz w:val="12"/>
                <w:szCs w:val="12"/>
                <w:color w:val="auto"/>
              </w:rPr>
            </w:pPr>
          </w:p>
        </w:tc>
        <w:tc>
          <w:tcPr>
            <w:tcW w:w="7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left w:val="single" w:sz="8" w:color="F0FFFF"/>
            </w:tcBorders>
            <w:shd w:val="clear" w:color="auto" w:fill="F0FFFF"/>
          </w:tcPr>
          <w:p>
            <w:pPr>
              <w:spacing w:after="0"/>
              <w:rPr>
                <w:sz w:val="12"/>
                <w:szCs w:val="12"/>
                <w:color w:val="auto"/>
              </w:rPr>
            </w:pPr>
          </w:p>
        </w:tc>
        <w:tc>
          <w:tcPr>
            <w:tcW w:w="440" w:type="dxa"/>
            <w:vAlign w:val="bottom"/>
            <w:shd w:val="clear" w:color="auto" w:fill="F0FFFF"/>
          </w:tcPr>
          <w:p>
            <w:pPr>
              <w:spacing w:after="0"/>
              <w:rPr>
                <w:sz w:val="12"/>
                <w:szCs w:val="12"/>
                <w:color w:val="auto"/>
              </w:rPr>
            </w:pPr>
          </w:p>
        </w:tc>
        <w:tc>
          <w:tcPr>
            <w:tcW w:w="46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gridSpan w:val="2"/>
          </w:tcPr>
          <w:p>
            <w:pPr>
              <w:spacing w:after="0" w:line="149" w:lineRule="exact"/>
              <w:rPr>
                <w:sz w:val="20"/>
                <w:szCs w:val="20"/>
                <w:color w:val="auto"/>
              </w:rPr>
            </w:pPr>
            <w:r>
              <w:rPr>
                <w:rFonts w:ascii="Arial" w:cs="Arial" w:eastAsia="Arial" w:hAnsi="Arial"/>
                <w:sz w:val="14"/>
                <w:szCs w:val="14"/>
                <w:color w:val="auto"/>
              </w:rPr>
              <w:t>Indirect auto</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820" w:type="dxa"/>
            <w:vAlign w:val="bottom"/>
            <w:gridSpan w:val="2"/>
            <w:shd w:val="clear" w:color="auto" w:fill="F0FFFF"/>
          </w:tcPr>
          <w:p>
            <w:pPr>
              <w:ind w:left="160"/>
              <w:spacing w:after="0" w:line="149" w:lineRule="exact"/>
              <w:rPr>
                <w:sz w:val="20"/>
                <w:szCs w:val="20"/>
                <w:color w:val="auto"/>
              </w:rPr>
            </w:pPr>
            <w:r>
              <w:rPr>
                <w:rFonts w:ascii="Arial" w:cs="Arial" w:eastAsia="Arial" w:hAnsi="Arial"/>
                <w:sz w:val="14"/>
                <w:szCs w:val="14"/>
                <w:color w:val="auto"/>
              </w:rPr>
              <w:t>Total loans</w:t>
            </w:r>
          </w:p>
        </w:tc>
        <w:tc>
          <w:tcPr>
            <w:tcW w:w="8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28</w:t>
            </w:r>
          </w:p>
        </w:tc>
        <w:tc>
          <w:tcPr>
            <w:tcW w:w="180" w:type="dxa"/>
            <w:vAlign w:val="bottom"/>
            <w:tcBorders>
              <w:left w:val="single" w:sz="8" w:color="F0FFFF"/>
              <w:right w:val="single" w:sz="8" w:color="F0FFFF"/>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6,850</w:t>
            </w:r>
          </w:p>
        </w:tc>
        <w:tc>
          <w:tcPr>
            <w:tcW w:w="200" w:type="dxa"/>
            <w:vAlign w:val="bottom"/>
            <w:tcBorders>
              <w:left w:val="single" w:sz="8" w:color="F0FFFF"/>
              <w:right w:val="single" w:sz="8" w:color="F0FFFF"/>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6,809</w:t>
            </w:r>
          </w:p>
        </w:tc>
        <w:tc>
          <w:tcPr>
            <w:tcW w:w="8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2</w:t>
            </w:r>
          </w:p>
        </w:tc>
        <w:tc>
          <w:tcPr>
            <w:tcW w:w="680" w:type="dxa"/>
            <w:vAlign w:val="bottom"/>
            <w:tcBorders>
              <w:left w:val="single" w:sz="8" w:color="F0FFFF"/>
            </w:tcBorders>
            <w:gridSpan w:val="2"/>
            <w:shd w:val="clear" w:color="auto" w:fill="F0FFFF"/>
          </w:tcPr>
          <w:p>
            <w:pPr>
              <w:jc w:val="right"/>
              <w:ind w:right="428"/>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w w:val="94"/>
              </w:rPr>
              <w:t>280</w:t>
            </w:r>
          </w:p>
        </w:tc>
        <w:tc>
          <w:tcPr>
            <w:tcW w:w="7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50</w:t>
            </w:r>
          </w:p>
        </w:tc>
        <w:tc>
          <w:tcPr>
            <w:tcW w:w="200" w:type="dxa"/>
            <w:vAlign w:val="bottom"/>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9,717</w:t>
            </w:r>
          </w:p>
        </w:tc>
        <w:tc>
          <w:tcPr>
            <w:tcW w:w="1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9,676</w:t>
            </w:r>
          </w:p>
        </w:tc>
        <w:tc>
          <w:tcPr>
            <w:tcW w:w="180" w:type="dxa"/>
            <w:vAlign w:val="bottom"/>
            <w:tcBorders>
              <w:left w:val="single" w:sz="8" w:color="F0FFFF"/>
              <w:right w:val="single" w:sz="8" w:color="F0FFFF"/>
            </w:tcBorders>
            <w:shd w:val="clear" w:color="auto" w:fill="F0FFFF"/>
          </w:tcPr>
          <w:p>
            <w:pPr>
              <w:spacing w:after="0"/>
              <w:rPr>
                <w:sz w:val="14"/>
                <w:szCs w:val="14"/>
                <w:color w:val="auto"/>
              </w:rPr>
            </w:pPr>
          </w:p>
        </w:tc>
        <w:tc>
          <w:tcPr>
            <w:tcW w:w="7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9</w:t>
            </w:r>
          </w:p>
        </w:tc>
        <w:tc>
          <w:tcPr>
            <w:tcW w:w="540" w:type="dxa"/>
            <w:vAlign w:val="bottom"/>
            <w:tcBorders>
              <w:left w:val="single" w:sz="8" w:color="F0FFFF"/>
            </w:tcBorders>
            <w:gridSpan w:val="2"/>
            <w:shd w:val="clear" w:color="auto" w:fill="F0FFFF"/>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890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F0FFFF"/>
              <w:left w:val="single" w:sz="8" w:color="F0FFFF"/>
              <w:right w:val="single" w:sz="8" w:color="auto"/>
            </w:tcBorders>
            <w:shd w:val="clear" w:color="auto" w:fill="F0FF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F0FFFF"/>
              <w:left w:val="single" w:sz="8" w:color="F0FFFF"/>
              <w:right w:val="single" w:sz="8" w:color="auto"/>
            </w:tcBorders>
            <w:shd w:val="clear" w:color="auto" w:fill="F0FF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left w:val="single" w:sz="8" w:color="F0FFFF"/>
            </w:tcBorders>
            <w:shd w:val="clear" w:color="auto" w:fill="F0FF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F0FFFF"/>
              <w:left w:val="single" w:sz="8" w:color="F0FFFF"/>
              <w:right w:val="single" w:sz="8" w:color="auto"/>
            </w:tcBorders>
            <w:shd w:val="clear" w:color="auto" w:fill="F0FF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left w:val="single" w:sz="8" w:color="F0FFFF"/>
            </w:tcBorders>
            <w:shd w:val="clear" w:color="auto" w:fill="F0FF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gridSpan w:val="3"/>
          </w:tcPr>
          <w:p>
            <w:pPr>
              <w:jc w:val="center"/>
              <w:ind w:left="168"/>
              <w:spacing w:after="0"/>
              <w:rPr>
                <w:sz w:val="20"/>
                <w:szCs w:val="20"/>
                <w:color w:val="auto"/>
              </w:rPr>
            </w:pPr>
            <w:r>
              <w:rPr>
                <w:rFonts w:ascii="Arial" w:cs="Arial" w:eastAsia="Arial" w:hAnsi="Arial"/>
                <w:sz w:val="14"/>
                <w:szCs w:val="14"/>
                <w:b w:val="1"/>
                <w:bCs w:val="1"/>
                <w:color w:val="auto"/>
                <w:w w:val="97"/>
              </w:rPr>
              <w:t>Modified Within the</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7"/>
              </w:rPr>
              <w:t>Modified Within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Previous Twelve Months</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Previous Twelve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Pre-</w:t>
            </w:r>
          </w:p>
        </w:tc>
        <w:tc>
          <w:tcPr>
            <w:tcW w:w="200" w:type="dxa"/>
            <w:vAlign w:val="bottom"/>
          </w:tcPr>
          <w:p>
            <w:pPr>
              <w:spacing w:after="0"/>
              <w:rPr>
                <w:sz w:val="12"/>
                <w:szCs w:val="12"/>
                <w:color w:val="auto"/>
              </w:rPr>
            </w:pPr>
          </w:p>
        </w:tc>
        <w:tc>
          <w:tcPr>
            <w:tcW w:w="9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Post-</w:t>
            </w:r>
          </w:p>
        </w:tc>
        <w:tc>
          <w:tcPr>
            <w:tcW w:w="184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that Have Subsequently</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Pre-</w:t>
            </w:r>
          </w:p>
        </w:tc>
        <w:tc>
          <w:tcPr>
            <w:tcW w:w="100" w:type="dxa"/>
            <w:vAlign w:val="bottom"/>
          </w:tcPr>
          <w:p>
            <w:pPr>
              <w:spacing w:after="0"/>
              <w:rPr>
                <w:sz w:val="12"/>
                <w:szCs w:val="12"/>
                <w:color w:val="auto"/>
              </w:rPr>
            </w:pPr>
          </w:p>
        </w:tc>
        <w:tc>
          <w:tcPr>
            <w:tcW w:w="80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1"/>
              </w:rPr>
              <w:t>Post-</w:t>
            </w:r>
          </w:p>
        </w:tc>
        <w:tc>
          <w:tcPr>
            <w:tcW w:w="180" w:type="dxa"/>
            <w:vAlign w:val="bottom"/>
          </w:tcPr>
          <w:p>
            <w:pPr>
              <w:spacing w:after="0"/>
              <w:rPr>
                <w:sz w:val="12"/>
                <w:szCs w:val="12"/>
                <w:color w:val="auto"/>
              </w:rPr>
            </w:pPr>
          </w:p>
        </w:tc>
        <w:tc>
          <w:tcPr>
            <w:tcW w:w="172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that Have Subsequently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4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Defaulted During the</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72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Defaulted During the Six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Modification</w:t>
            </w:r>
          </w:p>
        </w:tc>
        <w:tc>
          <w:tcPr>
            <w:tcW w:w="20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Modification</w:t>
            </w:r>
          </w:p>
        </w:tc>
        <w:tc>
          <w:tcPr>
            <w:tcW w:w="184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Modification</w:t>
            </w: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Modification</w:t>
            </w:r>
          </w:p>
        </w:tc>
        <w:tc>
          <w:tcPr>
            <w:tcW w:w="180" w:type="dxa"/>
            <w:vAlign w:val="bottom"/>
          </w:tcPr>
          <w:p>
            <w:pPr>
              <w:spacing w:after="0"/>
              <w:rPr>
                <w:sz w:val="12"/>
                <w:szCs w:val="12"/>
                <w:color w:val="auto"/>
              </w:rPr>
            </w:pPr>
          </w:p>
        </w:tc>
        <w:tc>
          <w:tcPr>
            <w:tcW w:w="1260" w:type="dxa"/>
            <w:vAlign w:val="bottom"/>
            <w:gridSpan w:val="3"/>
          </w:tcPr>
          <w:p>
            <w:pPr>
              <w:jc w:val="center"/>
              <w:ind w:left="208"/>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0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Outstanding</w:t>
            </w:r>
          </w:p>
        </w:tc>
        <w:tc>
          <w:tcPr>
            <w:tcW w:w="1500" w:type="dxa"/>
            <w:vAlign w:val="bottom"/>
            <w:tcBorders>
              <w:bottom w:val="single" w:sz="8" w:color="auto"/>
            </w:tcBorders>
            <w:gridSpan w:val="3"/>
          </w:tcPr>
          <w:p>
            <w:pPr>
              <w:jc w:val="center"/>
              <w:ind w:left="168"/>
              <w:spacing w:after="0"/>
              <w:rPr>
                <w:sz w:val="20"/>
                <w:szCs w:val="20"/>
                <w:color w:val="auto"/>
              </w:rPr>
            </w:pPr>
            <w:r>
              <w:rPr>
                <w:rFonts w:ascii="Arial" w:cs="Arial" w:eastAsia="Arial" w:hAnsi="Arial"/>
                <w:sz w:val="14"/>
                <w:szCs w:val="14"/>
                <w:b w:val="1"/>
                <w:bCs w:val="1"/>
                <w:color w:val="auto"/>
                <w:w w:val="90"/>
              </w:rPr>
              <w:t>June 30, 2013</w:t>
            </w:r>
          </w:p>
        </w:tc>
        <w:tc>
          <w:tcPr>
            <w:tcW w:w="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Outstanding</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80" w:type="dxa"/>
            <w:vAlign w:val="bottom"/>
          </w:tcPr>
          <w:p>
            <w:pPr>
              <w:spacing w:after="0"/>
              <w:rPr>
                <w:sz w:val="15"/>
                <w:szCs w:val="15"/>
                <w:color w:val="auto"/>
              </w:rPr>
            </w:pPr>
          </w:p>
        </w:tc>
        <w:tc>
          <w:tcPr>
            <w:tcW w:w="1260" w:type="dxa"/>
            <w:vAlign w:val="bottom"/>
            <w:tcBorders>
              <w:bottom w:val="single" w:sz="8" w:color="auto"/>
            </w:tcBorders>
            <w:gridSpan w:val="3"/>
          </w:tcPr>
          <w:p>
            <w:pPr>
              <w:jc w:val="center"/>
              <w:ind w:left="228"/>
              <w:spacing w:after="0"/>
              <w:rPr>
                <w:sz w:val="20"/>
                <w:szCs w:val="20"/>
                <w:color w:val="auto"/>
              </w:rPr>
            </w:pPr>
            <w:r>
              <w:rPr>
                <w:rFonts w:ascii="Arial" w:cs="Arial" w:eastAsia="Arial" w:hAnsi="Arial"/>
                <w:sz w:val="14"/>
                <w:szCs w:val="14"/>
                <w:b w:val="1"/>
                <w:bCs w:val="1"/>
                <w:color w:val="auto"/>
                <w:w w:val="92"/>
              </w:rPr>
              <w:t>June 30, 2013</w:t>
            </w: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0"/>
                <w:szCs w:val="10"/>
                <w:color w:val="auto"/>
              </w:rPr>
            </w:pPr>
          </w:p>
        </w:tc>
        <w:tc>
          <w:tcPr>
            <w:tcW w:w="82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4"/>
              </w:rPr>
              <w:t>Number of</w:t>
            </w:r>
          </w:p>
        </w:tc>
        <w:tc>
          <w:tcPr>
            <w:tcW w:w="180" w:type="dxa"/>
            <w:vAlign w:val="bottom"/>
          </w:tcPr>
          <w:p>
            <w:pPr>
              <w:spacing w:after="0"/>
              <w:rPr>
                <w:sz w:val="10"/>
                <w:szCs w:val="10"/>
                <w:color w:val="auto"/>
              </w:rPr>
            </w:pPr>
          </w:p>
        </w:tc>
        <w:tc>
          <w:tcPr>
            <w:tcW w:w="86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2"/>
              </w:rPr>
              <w:t>Recorded</w:t>
            </w:r>
          </w:p>
        </w:tc>
        <w:tc>
          <w:tcPr>
            <w:tcW w:w="200" w:type="dxa"/>
            <w:vAlign w:val="bottom"/>
          </w:tcPr>
          <w:p>
            <w:pPr>
              <w:spacing w:after="0"/>
              <w:rPr>
                <w:sz w:val="10"/>
                <w:szCs w:val="10"/>
                <w:color w:val="auto"/>
              </w:rPr>
            </w:pPr>
          </w:p>
        </w:tc>
        <w:tc>
          <w:tcPr>
            <w:tcW w:w="980" w:type="dxa"/>
            <w:vAlign w:val="bottom"/>
            <w:gridSpan w:val="2"/>
          </w:tcPr>
          <w:p>
            <w:pPr>
              <w:jc w:val="center"/>
              <w:ind w:right="180"/>
              <w:spacing w:after="0" w:line="126" w:lineRule="exact"/>
              <w:rPr>
                <w:sz w:val="20"/>
                <w:szCs w:val="20"/>
                <w:color w:val="auto"/>
              </w:rPr>
            </w:pPr>
            <w:r>
              <w:rPr>
                <w:rFonts w:ascii="Arial" w:cs="Arial" w:eastAsia="Arial" w:hAnsi="Arial"/>
                <w:sz w:val="14"/>
                <w:szCs w:val="14"/>
                <w:b w:val="1"/>
                <w:bCs w:val="1"/>
                <w:color w:val="auto"/>
                <w:w w:val="92"/>
              </w:rPr>
              <w:t>Recorded</w:t>
            </w:r>
          </w:p>
        </w:tc>
        <w:tc>
          <w:tcPr>
            <w:tcW w:w="82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0"/>
                <w:szCs w:val="10"/>
                <w:color w:val="auto"/>
              </w:rPr>
            </w:pPr>
          </w:p>
        </w:tc>
        <w:tc>
          <w:tcPr>
            <w:tcW w:w="800" w:type="dxa"/>
            <w:vAlign w:val="bottom"/>
            <w:gridSpan w:val="2"/>
          </w:tcPr>
          <w:p>
            <w:pPr>
              <w:jc w:val="center"/>
              <w:spacing w:after="0" w:line="126" w:lineRule="exact"/>
              <w:rPr>
                <w:sz w:val="20"/>
                <w:szCs w:val="20"/>
                <w:color w:val="auto"/>
              </w:rPr>
            </w:pPr>
            <w:r>
              <w:rPr>
                <w:rFonts w:ascii="Arial" w:cs="Arial" w:eastAsia="Arial" w:hAnsi="Arial"/>
                <w:sz w:val="14"/>
                <w:szCs w:val="14"/>
                <w:b w:val="1"/>
                <w:bCs w:val="1"/>
                <w:color w:val="auto"/>
                <w:w w:val="89"/>
              </w:rPr>
              <w:t>Recorded</w:t>
            </w:r>
          </w:p>
        </w:tc>
        <w:tc>
          <w:tcPr>
            <w:tcW w:w="100" w:type="dxa"/>
            <w:vAlign w:val="bottom"/>
          </w:tcPr>
          <w:p>
            <w:pPr>
              <w:spacing w:after="0"/>
              <w:rPr>
                <w:sz w:val="10"/>
                <w:szCs w:val="10"/>
                <w:color w:val="auto"/>
              </w:rPr>
            </w:pPr>
          </w:p>
        </w:tc>
        <w:tc>
          <w:tcPr>
            <w:tcW w:w="78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200"/>
              <w:spacing w:after="0" w:line="126" w:lineRule="exact"/>
              <w:rPr>
                <w:sz w:val="20"/>
                <w:szCs w:val="20"/>
                <w:color w:val="auto"/>
              </w:rPr>
            </w:pPr>
            <w:r>
              <w:rPr>
                <w:rFonts w:ascii="Arial" w:cs="Arial" w:eastAsia="Arial" w:hAnsi="Arial"/>
                <w:sz w:val="14"/>
                <w:szCs w:val="14"/>
                <w:b w:val="1"/>
                <w:bCs w:val="1"/>
                <w:color w:val="auto"/>
                <w:w w:val="92"/>
              </w:rPr>
              <w:t>Recorded</w:t>
            </w:r>
          </w:p>
        </w:tc>
        <w:tc>
          <w:tcPr>
            <w:tcW w:w="100" w:type="dxa"/>
            <w:vAlign w:val="bottom"/>
          </w:tcPr>
          <w:p>
            <w:pPr>
              <w:spacing w:after="0"/>
              <w:rPr>
                <w:sz w:val="10"/>
                <w:szCs w:val="10"/>
                <w:color w:val="auto"/>
              </w:rPr>
            </w:pPr>
          </w:p>
        </w:tc>
        <w:tc>
          <w:tcPr>
            <w:tcW w:w="800" w:type="dxa"/>
            <w:vAlign w:val="bottom"/>
          </w:tcPr>
          <w:p>
            <w:pPr>
              <w:jc w:val="center"/>
              <w:ind w:right="8"/>
              <w:spacing w:after="0" w:line="126" w:lineRule="exact"/>
              <w:rPr>
                <w:sz w:val="20"/>
                <w:szCs w:val="20"/>
                <w:color w:val="auto"/>
              </w:rPr>
            </w:pPr>
            <w:r>
              <w:rPr>
                <w:rFonts w:ascii="Arial" w:cs="Arial" w:eastAsia="Arial" w:hAnsi="Arial"/>
                <w:sz w:val="14"/>
                <w:szCs w:val="14"/>
                <w:b w:val="1"/>
                <w:bCs w:val="1"/>
                <w:color w:val="auto"/>
                <w:w w:val="92"/>
              </w:rPr>
              <w:t>Recorded</w:t>
            </w:r>
          </w:p>
        </w:tc>
        <w:tc>
          <w:tcPr>
            <w:tcW w:w="180" w:type="dxa"/>
            <w:vAlign w:val="bottom"/>
          </w:tcPr>
          <w:p>
            <w:pPr>
              <w:spacing w:after="0"/>
              <w:rPr>
                <w:sz w:val="10"/>
                <w:szCs w:val="10"/>
                <w:color w:val="auto"/>
              </w:rPr>
            </w:pPr>
          </w:p>
        </w:tc>
        <w:tc>
          <w:tcPr>
            <w:tcW w:w="72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0"/>
                <w:szCs w:val="10"/>
                <w:color w:val="auto"/>
              </w:rPr>
            </w:pPr>
          </w:p>
        </w:tc>
        <w:tc>
          <w:tcPr>
            <w:tcW w:w="800" w:type="dxa"/>
            <w:vAlign w:val="bottom"/>
            <w:gridSpan w:val="2"/>
          </w:tcPr>
          <w:p>
            <w:pPr>
              <w:jc w:val="center"/>
              <w:spacing w:after="0" w:line="126" w:lineRule="exact"/>
              <w:rPr>
                <w:sz w:val="20"/>
                <w:szCs w:val="20"/>
                <w:color w:val="auto"/>
              </w:rPr>
            </w:pPr>
            <w:r>
              <w:rPr>
                <w:rFonts w:ascii="Arial" w:cs="Arial" w:eastAsia="Arial" w:hAnsi="Arial"/>
                <w:sz w:val="14"/>
                <w:szCs w:val="14"/>
                <w:b w:val="1"/>
                <w:bCs w:val="1"/>
                <w:color w:val="auto"/>
                <w:w w:val="92"/>
              </w:rPr>
              <w:t>Recorded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Contracts</w:t>
            </w:r>
          </w:p>
        </w:tc>
        <w:tc>
          <w:tcPr>
            <w:tcW w:w="1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20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Investment</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Contracts</w:t>
            </w:r>
          </w:p>
        </w:tc>
        <w:tc>
          <w:tcPr>
            <w:tcW w:w="120" w:type="dxa"/>
            <w:vAlign w:val="bottom"/>
          </w:tcPr>
          <w:p>
            <w:pPr>
              <w:spacing w:after="0"/>
              <w:rPr>
                <w:sz w:val="15"/>
                <w:szCs w:val="15"/>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Investment</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Contracts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Investment</w:t>
            </w:r>
          </w:p>
        </w:tc>
        <w:tc>
          <w:tcPr>
            <w:tcW w:w="100" w:type="dxa"/>
            <w:vAlign w:val="bottom"/>
          </w:tcPr>
          <w:p>
            <w:pPr>
              <w:spacing w:after="0"/>
              <w:rPr>
                <w:sz w:val="15"/>
                <w:szCs w:val="15"/>
                <w:color w:val="auto"/>
              </w:rPr>
            </w:pPr>
          </w:p>
        </w:tc>
        <w:tc>
          <w:tcPr>
            <w:tcW w:w="800" w:type="dxa"/>
            <w:vAlign w:val="bottom"/>
          </w:tcPr>
          <w:p>
            <w:pPr>
              <w:jc w:val="center"/>
              <w:ind w:right="8"/>
              <w:spacing w:after="0"/>
              <w:rPr>
                <w:sz w:val="20"/>
                <w:szCs w:val="20"/>
                <w:color w:val="auto"/>
              </w:rPr>
            </w:pPr>
            <w:r>
              <w:rPr>
                <w:rFonts w:ascii="Arial" w:cs="Arial" w:eastAsia="Arial" w:hAnsi="Arial"/>
                <w:sz w:val="14"/>
                <w:szCs w:val="14"/>
                <w:b w:val="1"/>
                <w:bCs w:val="1"/>
                <w:color w:val="auto"/>
                <w:w w:val="91"/>
              </w:rPr>
              <w:t>Investment</w:t>
            </w:r>
          </w:p>
        </w:tc>
        <w:tc>
          <w:tcPr>
            <w:tcW w:w="18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4"/>
              </w:rPr>
              <w:t>Contracts</w:t>
            </w:r>
          </w:p>
        </w:tc>
        <w:tc>
          <w:tcPr>
            <w:tcW w:w="100" w:type="dxa"/>
            <w:vAlign w:val="bottom"/>
          </w:tcPr>
          <w:p>
            <w:pPr>
              <w:spacing w:after="0"/>
              <w:rPr>
                <w:sz w:val="15"/>
                <w:szCs w:val="15"/>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Investment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820" w:type="dxa"/>
            <w:vAlign w:val="bottom"/>
            <w:gridSpan w:val="2"/>
            <w:shd w:val="clear" w:color="auto" w:fill="F0FFFF"/>
          </w:tcPr>
          <w:p>
            <w:pPr>
              <w:spacing w:after="0" w:line="130" w:lineRule="exact"/>
              <w:rPr>
                <w:sz w:val="20"/>
                <w:szCs w:val="20"/>
                <w:color w:val="auto"/>
              </w:rPr>
            </w:pPr>
            <w:r>
              <w:rPr>
                <w:rFonts w:ascii="Arial" w:cs="Arial" w:eastAsia="Arial" w:hAnsi="Arial"/>
                <w:sz w:val="14"/>
                <w:szCs w:val="14"/>
                <w:color w:val="auto"/>
              </w:rPr>
              <w:t>Owner occupied commercial</w:t>
            </w:r>
          </w:p>
        </w:tc>
        <w:tc>
          <w:tcPr>
            <w:tcW w:w="820" w:type="dxa"/>
            <w:vAlign w:val="bottom"/>
            <w:shd w:val="clear" w:color="auto" w:fill="F0FFFF"/>
          </w:tcPr>
          <w:p>
            <w:pPr>
              <w:spacing w:after="0"/>
              <w:rPr>
                <w:sz w:val="11"/>
                <w:szCs w:val="11"/>
                <w:color w:val="auto"/>
              </w:rPr>
            </w:pPr>
          </w:p>
        </w:tc>
        <w:tc>
          <w:tcPr>
            <w:tcW w:w="180" w:type="dxa"/>
            <w:vAlign w:val="bottom"/>
            <w:tcBorders>
              <w:left w:val="single" w:sz="8" w:color="F0FFFF"/>
              <w:right w:val="single" w:sz="8" w:color="F0FFFF"/>
            </w:tcBorders>
            <w:shd w:val="clear" w:color="auto" w:fill="F0FFFF"/>
          </w:tcPr>
          <w:p>
            <w:pPr>
              <w:spacing w:after="0"/>
              <w:rPr>
                <w:sz w:val="11"/>
                <w:szCs w:val="11"/>
                <w:color w:val="auto"/>
              </w:rPr>
            </w:pPr>
          </w:p>
        </w:tc>
        <w:tc>
          <w:tcPr>
            <w:tcW w:w="860" w:type="dxa"/>
            <w:vAlign w:val="bottom"/>
            <w:shd w:val="clear" w:color="auto" w:fill="F0FFFF"/>
          </w:tcPr>
          <w:p>
            <w:pPr>
              <w:spacing w:after="0"/>
              <w:rPr>
                <w:sz w:val="11"/>
                <w:szCs w:val="11"/>
                <w:color w:val="auto"/>
              </w:rPr>
            </w:pPr>
          </w:p>
        </w:tc>
        <w:tc>
          <w:tcPr>
            <w:tcW w:w="200" w:type="dxa"/>
            <w:vAlign w:val="bottom"/>
            <w:tcBorders>
              <w:left w:val="single" w:sz="8" w:color="F0FFFF"/>
              <w:right w:val="single" w:sz="8" w:color="F0FFFF"/>
            </w:tcBorders>
            <w:shd w:val="clear" w:color="auto" w:fill="F0FFFF"/>
          </w:tcPr>
          <w:p>
            <w:pPr>
              <w:spacing w:after="0"/>
              <w:rPr>
                <w:sz w:val="11"/>
                <w:szCs w:val="11"/>
                <w:color w:val="auto"/>
              </w:rPr>
            </w:pPr>
          </w:p>
        </w:tc>
        <w:tc>
          <w:tcPr>
            <w:tcW w:w="86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20" w:type="dxa"/>
            <w:vAlign w:val="bottom"/>
            <w:shd w:val="clear" w:color="auto" w:fill="F0FFFF"/>
          </w:tcPr>
          <w:p>
            <w:pPr>
              <w:spacing w:after="0"/>
              <w:rPr>
                <w:sz w:val="11"/>
                <w:szCs w:val="11"/>
                <w:color w:val="auto"/>
              </w:rPr>
            </w:pPr>
          </w:p>
        </w:tc>
        <w:tc>
          <w:tcPr>
            <w:tcW w:w="120" w:type="dxa"/>
            <w:vAlign w:val="bottom"/>
            <w:tcBorders>
              <w:left w:val="single" w:sz="8" w:color="F0FFFF"/>
            </w:tcBorders>
            <w:shd w:val="clear" w:color="auto" w:fill="F0FFFF"/>
          </w:tcPr>
          <w:p>
            <w:pPr>
              <w:spacing w:after="0"/>
              <w:rPr>
                <w:sz w:val="11"/>
                <w:szCs w:val="11"/>
                <w:color w:val="auto"/>
              </w:rPr>
            </w:pPr>
          </w:p>
        </w:tc>
        <w:tc>
          <w:tcPr>
            <w:tcW w:w="560" w:type="dxa"/>
            <w:vAlign w:val="bottom"/>
            <w:shd w:val="clear" w:color="auto" w:fill="F0FFFF"/>
          </w:tcPr>
          <w:p>
            <w:pPr>
              <w:spacing w:after="0"/>
              <w:rPr>
                <w:sz w:val="11"/>
                <w:szCs w:val="11"/>
                <w:color w:val="auto"/>
              </w:rPr>
            </w:pPr>
          </w:p>
        </w:tc>
        <w:tc>
          <w:tcPr>
            <w:tcW w:w="24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2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800" w:type="dxa"/>
            <w:vAlign w:val="bottom"/>
            <w:shd w:val="clear" w:color="auto" w:fill="F0FFFF"/>
          </w:tcPr>
          <w:p>
            <w:pPr>
              <w:spacing w:after="0"/>
              <w:rPr>
                <w:sz w:val="11"/>
                <w:szCs w:val="11"/>
                <w:color w:val="auto"/>
              </w:rPr>
            </w:pPr>
          </w:p>
        </w:tc>
        <w:tc>
          <w:tcPr>
            <w:tcW w:w="180" w:type="dxa"/>
            <w:vAlign w:val="bottom"/>
            <w:tcBorders>
              <w:left w:val="single" w:sz="8" w:color="F0FFFF"/>
              <w:right w:val="single" w:sz="8" w:color="F0FFFF"/>
            </w:tcBorders>
            <w:shd w:val="clear" w:color="auto" w:fill="F0FFFF"/>
          </w:tcPr>
          <w:p>
            <w:pPr>
              <w:spacing w:after="0"/>
              <w:rPr>
                <w:sz w:val="11"/>
                <w:szCs w:val="11"/>
                <w:color w:val="auto"/>
              </w:rPr>
            </w:pPr>
          </w:p>
        </w:tc>
        <w:tc>
          <w:tcPr>
            <w:tcW w:w="720" w:type="dxa"/>
            <w:vAlign w:val="bottom"/>
            <w:shd w:val="clear" w:color="auto" w:fill="F0FFFF"/>
          </w:tcPr>
          <w:p>
            <w:pPr>
              <w:spacing w:after="0"/>
              <w:rPr>
                <w:sz w:val="11"/>
                <w:szCs w:val="11"/>
                <w:color w:val="auto"/>
              </w:rPr>
            </w:pPr>
          </w:p>
        </w:tc>
        <w:tc>
          <w:tcPr>
            <w:tcW w:w="100" w:type="dxa"/>
            <w:vAlign w:val="bottom"/>
            <w:tcBorders>
              <w:left w:val="single" w:sz="8" w:color="F0FFFF"/>
            </w:tcBorders>
            <w:shd w:val="clear" w:color="auto" w:fill="F0FFFF"/>
          </w:tcPr>
          <w:p>
            <w:pPr>
              <w:spacing w:after="0"/>
              <w:rPr>
                <w:sz w:val="11"/>
                <w:szCs w:val="11"/>
                <w:color w:val="auto"/>
              </w:rPr>
            </w:pPr>
          </w:p>
        </w:tc>
        <w:tc>
          <w:tcPr>
            <w:tcW w:w="440" w:type="dxa"/>
            <w:vAlign w:val="bottom"/>
            <w:shd w:val="clear" w:color="auto" w:fill="F0FFFF"/>
          </w:tcPr>
          <w:p>
            <w:pPr>
              <w:spacing w:after="0"/>
              <w:rPr>
                <w:sz w:val="11"/>
                <w:szCs w:val="11"/>
                <w:color w:val="auto"/>
              </w:rPr>
            </w:pPr>
          </w:p>
        </w:tc>
        <w:tc>
          <w:tcPr>
            <w:tcW w:w="36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gridSpan w:val="2"/>
            <w:shd w:val="clear" w:color="auto" w:fill="F0FFFF"/>
          </w:tcPr>
          <w:p>
            <w:pPr>
              <w:ind w:left="160"/>
              <w:spacing w:after="0"/>
              <w:rPr>
                <w:sz w:val="20"/>
                <w:szCs w:val="20"/>
                <w:color w:val="auto"/>
              </w:rPr>
            </w:pPr>
            <w:r>
              <w:rPr>
                <w:rFonts w:ascii="Arial" w:cs="Arial" w:eastAsia="Arial" w:hAnsi="Arial"/>
                <w:sz w:val="14"/>
                <w:szCs w:val="14"/>
                <w:color w:val="auto"/>
              </w:rPr>
              <w:t>real estate</w:t>
            </w:r>
          </w:p>
        </w:tc>
        <w:tc>
          <w:tcPr>
            <w:tcW w:w="8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3</w:t>
            </w:r>
          </w:p>
        </w:tc>
        <w:tc>
          <w:tcPr>
            <w:tcW w:w="180" w:type="dxa"/>
            <w:vAlign w:val="bottom"/>
            <w:tcBorders>
              <w:left w:val="single" w:sz="8" w:color="F0FFFF"/>
              <w:right w:val="single" w:sz="8" w:color="F0FFFF"/>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4"/>
                <w:szCs w:val="14"/>
                <w:color w:val="auto"/>
              </w:rPr>
              <w:t>2,419</w:t>
            </w:r>
          </w:p>
        </w:tc>
        <w:tc>
          <w:tcPr>
            <w:tcW w:w="200" w:type="dxa"/>
            <w:vAlign w:val="bottom"/>
            <w:tcBorders>
              <w:left w:val="single" w:sz="8" w:color="F0FFFF"/>
              <w:right w:val="single" w:sz="8" w:color="F0FFFF"/>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2,419</w:t>
            </w:r>
          </w:p>
        </w:tc>
        <w:tc>
          <w:tcPr>
            <w:tcW w:w="8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left w:val="single" w:sz="8" w:color="F0FFFF"/>
            </w:tcBorders>
            <w:gridSpan w:val="2"/>
            <w:shd w:val="clear" w:color="auto" w:fill="F0FFFF"/>
          </w:tcPr>
          <w:p>
            <w:pPr>
              <w:jc w:val="right"/>
              <w:ind w:right="428"/>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10</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4,082</w:t>
            </w:r>
          </w:p>
        </w:tc>
        <w:tc>
          <w:tcPr>
            <w:tcW w:w="100" w:type="dxa"/>
            <w:vAlign w:val="bottom"/>
            <w:shd w:val="clear" w:color="auto" w:fill="F0FF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4,082</w:t>
            </w:r>
          </w:p>
        </w:tc>
        <w:tc>
          <w:tcPr>
            <w:tcW w:w="180" w:type="dxa"/>
            <w:vAlign w:val="bottom"/>
            <w:tcBorders>
              <w:left w:val="single" w:sz="8" w:color="F0FFFF"/>
              <w:right w:val="single" w:sz="8" w:color="F0FFFF"/>
            </w:tcBorders>
            <w:shd w:val="clear" w:color="auto" w:fill="F0FF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w:t>
            </w:r>
          </w:p>
        </w:tc>
        <w:tc>
          <w:tcPr>
            <w:tcW w:w="540" w:type="dxa"/>
            <w:vAlign w:val="bottom"/>
            <w:tcBorders>
              <w:left w:val="single" w:sz="8" w:color="F0FFFF"/>
            </w:tcBorders>
            <w:gridSpan w:val="2"/>
            <w:shd w:val="clear" w:color="auto" w:fill="F0FFFF"/>
          </w:tcPr>
          <w:p>
            <w:pPr>
              <w:jc w:val="right"/>
              <w:ind w:right="288"/>
              <w:spacing w:after="0"/>
              <w:rPr>
                <w:sz w:val="20"/>
                <w:szCs w:val="20"/>
                <w:color w:val="auto"/>
              </w:rPr>
            </w:pPr>
            <w:r>
              <w:rPr>
                <w:rFonts w:ascii="Arial" w:cs="Arial" w:eastAsia="Arial" w:hAnsi="Arial"/>
                <w:sz w:val="14"/>
                <w:szCs w:val="14"/>
                <w:color w:val="auto"/>
              </w:rPr>
              <w:t>$</w:t>
            </w:r>
          </w:p>
        </w:tc>
        <w:tc>
          <w:tcPr>
            <w:tcW w:w="46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820" w:type="dxa"/>
            <w:vAlign w:val="bottom"/>
            <w:gridSpan w:val="2"/>
          </w:tcPr>
          <w:p>
            <w:pPr>
              <w:spacing w:after="0" w:line="130" w:lineRule="exact"/>
              <w:rPr>
                <w:sz w:val="20"/>
                <w:szCs w:val="20"/>
                <w:color w:val="auto"/>
              </w:rPr>
            </w:pPr>
            <w:r>
              <w:rPr>
                <w:rFonts w:ascii="Arial" w:cs="Arial" w:eastAsia="Arial" w:hAnsi="Arial"/>
                <w:sz w:val="14"/>
                <w:szCs w:val="14"/>
                <w:color w:val="auto"/>
              </w:rPr>
              <w:t>Income producing</w:t>
            </w: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gridSpan w:val="2"/>
          </w:tcPr>
          <w:p>
            <w:pPr>
              <w:ind w:left="160"/>
              <w:spacing w:after="0"/>
              <w:rPr>
                <w:sz w:val="20"/>
                <w:szCs w:val="20"/>
                <w:color w:val="auto"/>
              </w:rPr>
            </w:pPr>
            <w:r>
              <w:rPr>
                <w:rFonts w:ascii="Arial" w:cs="Arial" w:eastAsia="Arial" w:hAnsi="Arial"/>
                <w:sz w:val="14"/>
                <w:szCs w:val="14"/>
                <w:color w:val="auto"/>
              </w:rPr>
              <w:t>commercial real estate</w:t>
            </w:r>
          </w:p>
        </w:tc>
        <w:tc>
          <w:tcPr>
            <w:tcW w:w="820" w:type="dxa"/>
            <w:vAlign w:val="bottom"/>
          </w:tcPr>
          <w:p>
            <w:pPr>
              <w:jc w:val="right"/>
              <w:spacing w:after="0"/>
              <w:rPr>
                <w:sz w:val="20"/>
                <w:szCs w:val="20"/>
                <w:color w:val="auto"/>
              </w:rPr>
            </w:pPr>
            <w:r>
              <w:rPr>
                <w:rFonts w:ascii="Arial" w:cs="Arial" w:eastAsia="Arial" w:hAnsi="Arial"/>
                <w:sz w:val="14"/>
                <w:szCs w:val="14"/>
                <w:color w:val="auto"/>
              </w:rPr>
              <w:t>6</w:t>
            </w:r>
          </w:p>
        </w:tc>
        <w:tc>
          <w:tcPr>
            <w:tcW w:w="1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4,104</w:t>
            </w:r>
          </w:p>
        </w:tc>
        <w:tc>
          <w:tcPr>
            <w:tcW w:w="20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4,104</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4"/>
                <w:szCs w:val="14"/>
                <w:color w:val="auto"/>
              </w:rPr>
              <w:t>6,009</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6,009</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gridSpan w:val="2"/>
            <w:shd w:val="clear" w:color="auto" w:fill="F0FFFF"/>
          </w:tcPr>
          <w:p>
            <w:pPr>
              <w:spacing w:after="0" w:line="149" w:lineRule="exact"/>
              <w:rPr>
                <w:sz w:val="20"/>
                <w:szCs w:val="20"/>
                <w:color w:val="auto"/>
              </w:rPr>
            </w:pPr>
            <w:r>
              <w:rPr>
                <w:rFonts w:ascii="Arial" w:cs="Arial" w:eastAsia="Arial" w:hAnsi="Arial"/>
                <w:sz w:val="14"/>
                <w:szCs w:val="14"/>
                <w:color w:val="auto"/>
              </w:rPr>
              <w:t>Commercial &amp; industrial</w:t>
            </w:r>
          </w:p>
        </w:tc>
        <w:tc>
          <w:tcPr>
            <w:tcW w:w="8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left w:val="single" w:sz="8" w:color="F0FFFF"/>
              <w:right w:val="single" w:sz="8" w:color="F0FFFF"/>
            </w:tcBorders>
            <w:shd w:val="clear" w:color="auto" w:fill="F0FFFF"/>
          </w:tcPr>
          <w:p>
            <w:pPr>
              <w:spacing w:after="0"/>
              <w:rPr>
                <w:sz w:val="12"/>
                <w:szCs w:val="12"/>
                <w:color w:val="auto"/>
              </w:rPr>
            </w:pPr>
          </w:p>
        </w:tc>
        <w:tc>
          <w:tcPr>
            <w:tcW w:w="86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F0FFFF"/>
              <w:right w:val="single" w:sz="8" w:color="F0FFFF"/>
            </w:tcBorders>
            <w:shd w:val="clear" w:color="auto" w:fill="F0FFFF"/>
          </w:tcPr>
          <w:p>
            <w:pPr>
              <w:spacing w:after="0"/>
              <w:rPr>
                <w:sz w:val="12"/>
                <w:szCs w:val="12"/>
                <w:color w:val="auto"/>
              </w:rPr>
            </w:pPr>
          </w:p>
        </w:tc>
        <w:tc>
          <w:tcPr>
            <w:tcW w:w="98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left w:val="single" w:sz="8" w:color="F0FFFF"/>
            </w:tcBorders>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34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9</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815</w:t>
            </w:r>
          </w:p>
        </w:tc>
        <w:tc>
          <w:tcPr>
            <w:tcW w:w="100" w:type="dxa"/>
            <w:vAlign w:val="bottom"/>
            <w:shd w:val="clear" w:color="auto" w:fill="F0FFFF"/>
          </w:tcPr>
          <w:p>
            <w:pPr>
              <w:spacing w:after="0"/>
              <w:rPr>
                <w:sz w:val="12"/>
                <w:szCs w:val="12"/>
                <w:color w:val="auto"/>
              </w:rPr>
            </w:pPr>
          </w:p>
        </w:tc>
        <w:tc>
          <w:tcPr>
            <w:tcW w:w="8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709</w:t>
            </w:r>
          </w:p>
        </w:tc>
        <w:tc>
          <w:tcPr>
            <w:tcW w:w="180" w:type="dxa"/>
            <w:vAlign w:val="bottom"/>
            <w:tcBorders>
              <w:left w:val="single" w:sz="8" w:color="F0FFFF"/>
              <w:right w:val="single" w:sz="8" w:color="F0FFFF"/>
            </w:tcBorders>
            <w:shd w:val="clear" w:color="auto" w:fill="F0FFFF"/>
          </w:tcPr>
          <w:p>
            <w:pPr>
              <w:spacing w:after="0"/>
              <w:rPr>
                <w:sz w:val="12"/>
                <w:szCs w:val="12"/>
                <w:color w:val="auto"/>
              </w:rPr>
            </w:pPr>
          </w:p>
        </w:tc>
        <w:tc>
          <w:tcPr>
            <w:tcW w:w="7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w:t>
            </w:r>
          </w:p>
        </w:tc>
        <w:tc>
          <w:tcPr>
            <w:tcW w:w="100" w:type="dxa"/>
            <w:vAlign w:val="bottom"/>
            <w:tcBorders>
              <w:left w:val="single" w:sz="8" w:color="F0FFFF"/>
            </w:tcBorders>
            <w:shd w:val="clear" w:color="auto" w:fill="F0FFFF"/>
          </w:tcPr>
          <w:p>
            <w:pPr>
              <w:spacing w:after="0"/>
              <w:rPr>
                <w:sz w:val="12"/>
                <w:szCs w:val="12"/>
                <w:color w:val="auto"/>
              </w:rPr>
            </w:pPr>
          </w:p>
        </w:tc>
        <w:tc>
          <w:tcPr>
            <w:tcW w:w="440" w:type="dxa"/>
            <w:vAlign w:val="bottom"/>
            <w:shd w:val="clear" w:color="auto" w:fill="F0FFFF"/>
          </w:tcPr>
          <w:p>
            <w:pPr>
              <w:spacing w:after="0"/>
              <w:rPr>
                <w:sz w:val="12"/>
                <w:szCs w:val="12"/>
                <w:color w:val="auto"/>
              </w:rPr>
            </w:pPr>
          </w:p>
        </w:tc>
        <w:tc>
          <w:tcPr>
            <w:tcW w:w="46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1840" w:type="dxa"/>
            <w:vAlign w:val="bottom"/>
            <w:gridSpan w:val="3"/>
          </w:tcPr>
          <w:p>
            <w:pPr>
              <w:spacing w:after="0" w:line="129" w:lineRule="exact"/>
              <w:rPr>
                <w:sz w:val="20"/>
                <w:szCs w:val="20"/>
                <w:color w:val="auto"/>
              </w:rPr>
            </w:pPr>
            <w:r>
              <w:rPr>
                <w:rFonts w:ascii="Arial" w:cs="Arial" w:eastAsia="Arial" w:hAnsi="Arial"/>
                <w:sz w:val="14"/>
                <w:szCs w:val="14"/>
                <w:color w:val="auto"/>
              </w:rPr>
              <w:t>Commercial construction</w:t>
            </w:r>
          </w:p>
        </w:tc>
        <w:tc>
          <w:tcPr>
            <w:tcW w:w="82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6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80" w:type="dxa"/>
            <w:vAlign w:val="bottom"/>
            <w:gridSpan w:val="2"/>
          </w:tcPr>
          <w:p>
            <w:pPr>
              <w:jc w:val="right"/>
              <w:ind w:right="120"/>
              <w:spacing w:after="0" w:line="12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gridSpan w:val="2"/>
          </w:tcPr>
          <w:p>
            <w:pPr>
              <w:jc w:val="right"/>
              <w:ind w:right="100"/>
              <w:spacing w:after="0" w:line="12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2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gridSpan w:val="2"/>
          </w:tcPr>
          <w:p>
            <w:pPr>
              <w:jc w:val="right"/>
              <w:ind w:right="100"/>
              <w:spacing w:after="0" w:line="129" w:lineRule="exact"/>
              <w:rPr>
                <w:sz w:val="20"/>
                <w:szCs w:val="20"/>
                <w:color w:val="auto"/>
              </w:rPr>
            </w:pPr>
            <w:r>
              <w:rPr>
                <w:rFonts w:ascii="Arial" w:cs="Arial" w:eastAsia="Arial" w:hAnsi="Arial"/>
                <w:sz w:val="14"/>
                <w:szCs w:val="14"/>
                <w:color w:val="auto"/>
                <w:w w:val="96"/>
              </w:rPr>
              <w:t>1,454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gridSpan w:val="2"/>
            <w:shd w:val="clear" w:color="auto" w:fill="F0FFFF"/>
          </w:tcPr>
          <w:p>
            <w:pPr>
              <w:ind w:left="320"/>
              <w:spacing w:after="0" w:line="149" w:lineRule="exact"/>
              <w:rPr>
                <w:sz w:val="20"/>
                <w:szCs w:val="20"/>
                <w:color w:val="auto"/>
              </w:rPr>
            </w:pPr>
            <w:r>
              <w:rPr>
                <w:rFonts w:ascii="Arial" w:cs="Arial" w:eastAsia="Arial" w:hAnsi="Arial"/>
                <w:sz w:val="14"/>
                <w:szCs w:val="14"/>
                <w:color w:val="auto"/>
              </w:rPr>
              <w:t>Total commercial</w:t>
            </w:r>
          </w:p>
        </w:tc>
        <w:tc>
          <w:tcPr>
            <w:tcW w:w="8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9</w:t>
            </w:r>
          </w:p>
        </w:tc>
        <w:tc>
          <w:tcPr>
            <w:tcW w:w="180" w:type="dxa"/>
            <w:vAlign w:val="bottom"/>
            <w:tcBorders>
              <w:left w:val="single" w:sz="8" w:color="F0FFFF"/>
              <w:right w:val="single" w:sz="8" w:color="F0FFFF"/>
            </w:tcBorders>
            <w:shd w:val="clear" w:color="auto" w:fill="F0FFFF"/>
          </w:tcPr>
          <w:p>
            <w:pPr>
              <w:spacing w:after="0"/>
              <w:rPr>
                <w:sz w:val="12"/>
                <w:szCs w:val="12"/>
                <w:color w:val="auto"/>
              </w:rPr>
            </w:pPr>
          </w:p>
        </w:tc>
        <w:tc>
          <w:tcPr>
            <w:tcW w:w="86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6,523</w:t>
            </w:r>
          </w:p>
        </w:tc>
        <w:tc>
          <w:tcPr>
            <w:tcW w:w="200" w:type="dxa"/>
            <w:vAlign w:val="bottom"/>
            <w:tcBorders>
              <w:left w:val="single" w:sz="8" w:color="F0FFFF"/>
              <w:right w:val="single" w:sz="8" w:color="F0FFFF"/>
            </w:tcBorders>
            <w:shd w:val="clear" w:color="auto" w:fill="F0FFFF"/>
          </w:tcPr>
          <w:p>
            <w:pPr>
              <w:spacing w:after="0"/>
              <w:rPr>
                <w:sz w:val="12"/>
                <w:szCs w:val="12"/>
                <w:color w:val="auto"/>
              </w:rPr>
            </w:pPr>
          </w:p>
        </w:tc>
        <w:tc>
          <w:tcPr>
            <w:tcW w:w="98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6,523</w:t>
            </w:r>
          </w:p>
        </w:tc>
        <w:tc>
          <w:tcPr>
            <w:tcW w:w="8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left w:val="single" w:sz="8" w:color="F0FFFF"/>
            </w:tcBorders>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34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26</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10,906</w:t>
            </w:r>
          </w:p>
        </w:tc>
        <w:tc>
          <w:tcPr>
            <w:tcW w:w="100" w:type="dxa"/>
            <w:vAlign w:val="bottom"/>
            <w:shd w:val="clear" w:color="auto" w:fill="F0FFFF"/>
          </w:tcPr>
          <w:p>
            <w:pPr>
              <w:spacing w:after="0"/>
              <w:rPr>
                <w:sz w:val="12"/>
                <w:szCs w:val="12"/>
                <w:color w:val="auto"/>
              </w:rPr>
            </w:pPr>
          </w:p>
        </w:tc>
        <w:tc>
          <w:tcPr>
            <w:tcW w:w="8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10,800</w:t>
            </w:r>
          </w:p>
        </w:tc>
        <w:tc>
          <w:tcPr>
            <w:tcW w:w="180" w:type="dxa"/>
            <w:vAlign w:val="bottom"/>
            <w:tcBorders>
              <w:left w:val="single" w:sz="8" w:color="F0FFFF"/>
              <w:right w:val="single" w:sz="8" w:color="F0FFFF"/>
            </w:tcBorders>
            <w:shd w:val="clear" w:color="auto" w:fill="F0FFFF"/>
          </w:tcPr>
          <w:p>
            <w:pPr>
              <w:spacing w:after="0"/>
              <w:rPr>
                <w:sz w:val="12"/>
                <w:szCs w:val="12"/>
                <w:color w:val="auto"/>
              </w:rPr>
            </w:pPr>
          </w:p>
        </w:tc>
        <w:tc>
          <w:tcPr>
            <w:tcW w:w="7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4</w:t>
            </w:r>
          </w:p>
        </w:tc>
        <w:tc>
          <w:tcPr>
            <w:tcW w:w="100" w:type="dxa"/>
            <w:vAlign w:val="bottom"/>
            <w:tcBorders>
              <w:left w:val="single" w:sz="8" w:color="F0FFFF"/>
            </w:tcBorders>
            <w:shd w:val="clear" w:color="auto" w:fill="F0FFFF"/>
          </w:tcPr>
          <w:p>
            <w:pPr>
              <w:spacing w:after="0"/>
              <w:rPr>
                <w:sz w:val="12"/>
                <w:szCs w:val="12"/>
                <w:color w:val="auto"/>
              </w:rPr>
            </w:pPr>
          </w:p>
        </w:tc>
        <w:tc>
          <w:tcPr>
            <w:tcW w:w="440" w:type="dxa"/>
            <w:vAlign w:val="bottom"/>
            <w:shd w:val="clear" w:color="auto" w:fill="F0FFFF"/>
          </w:tcPr>
          <w:p>
            <w:pPr>
              <w:spacing w:after="0"/>
              <w:rPr>
                <w:sz w:val="12"/>
                <w:szCs w:val="12"/>
                <w:color w:val="auto"/>
              </w:rPr>
            </w:pPr>
          </w:p>
        </w:tc>
        <w:tc>
          <w:tcPr>
            <w:tcW w:w="46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w w:val="96"/>
              </w:rPr>
              <w:t>1,921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gridSpan w:val="2"/>
          </w:tcPr>
          <w:p>
            <w:pPr>
              <w:spacing w:after="0" w:line="149" w:lineRule="exact"/>
              <w:rPr>
                <w:sz w:val="20"/>
                <w:szCs w:val="20"/>
                <w:color w:val="auto"/>
              </w:rPr>
            </w:pPr>
            <w:r>
              <w:rPr>
                <w:rFonts w:ascii="Arial" w:cs="Arial" w:eastAsia="Arial" w:hAnsi="Arial"/>
                <w:sz w:val="14"/>
                <w:szCs w:val="14"/>
                <w:color w:val="auto"/>
              </w:rPr>
              <w:t>Residential mortgage</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649</w:t>
            </w:r>
          </w:p>
        </w:tc>
        <w:tc>
          <w:tcPr>
            <w:tcW w:w="20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505</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2,764</w:t>
            </w: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2,620</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gridSpan w:val="2"/>
            <w:shd w:val="clear" w:color="auto" w:fill="F0FFFF"/>
          </w:tcPr>
          <w:p>
            <w:pPr>
              <w:spacing w:after="0" w:line="149" w:lineRule="exact"/>
              <w:rPr>
                <w:sz w:val="20"/>
                <w:szCs w:val="20"/>
                <w:color w:val="auto"/>
              </w:rPr>
            </w:pPr>
            <w:r>
              <w:rPr>
                <w:rFonts w:ascii="Arial" w:cs="Arial" w:eastAsia="Arial" w:hAnsi="Arial"/>
                <w:sz w:val="14"/>
                <w:szCs w:val="14"/>
                <w:color w:val="auto"/>
              </w:rPr>
              <w:t>Home equity lines of credit</w:t>
            </w:r>
          </w:p>
        </w:tc>
        <w:tc>
          <w:tcPr>
            <w:tcW w:w="8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left w:val="single" w:sz="8" w:color="F0FFFF"/>
              <w:right w:val="single" w:sz="8" w:color="F0FFFF"/>
            </w:tcBorders>
            <w:shd w:val="clear" w:color="auto" w:fill="F0FFFF"/>
          </w:tcPr>
          <w:p>
            <w:pPr>
              <w:spacing w:after="0"/>
              <w:rPr>
                <w:sz w:val="12"/>
                <w:szCs w:val="12"/>
                <w:color w:val="auto"/>
              </w:rPr>
            </w:pPr>
          </w:p>
        </w:tc>
        <w:tc>
          <w:tcPr>
            <w:tcW w:w="86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F0FFFF"/>
              <w:right w:val="single" w:sz="8" w:color="F0FFFF"/>
            </w:tcBorders>
            <w:shd w:val="clear" w:color="auto" w:fill="F0FFFF"/>
          </w:tcPr>
          <w:p>
            <w:pPr>
              <w:spacing w:after="0"/>
              <w:rPr>
                <w:sz w:val="12"/>
                <w:szCs w:val="12"/>
                <w:color w:val="auto"/>
              </w:rPr>
            </w:pPr>
          </w:p>
        </w:tc>
        <w:tc>
          <w:tcPr>
            <w:tcW w:w="98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left w:val="single" w:sz="8" w:color="F0FFFF"/>
            </w:tcBorders>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34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F0FFFF"/>
          </w:tcPr>
          <w:p>
            <w:pPr>
              <w:spacing w:after="0"/>
              <w:rPr>
                <w:sz w:val="12"/>
                <w:szCs w:val="12"/>
                <w:color w:val="auto"/>
              </w:rPr>
            </w:pPr>
          </w:p>
        </w:tc>
        <w:tc>
          <w:tcPr>
            <w:tcW w:w="8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left w:val="single" w:sz="8" w:color="F0FFFF"/>
              <w:right w:val="single" w:sz="8" w:color="F0FFFF"/>
            </w:tcBorders>
            <w:shd w:val="clear" w:color="auto" w:fill="F0FFFF"/>
          </w:tcPr>
          <w:p>
            <w:pPr>
              <w:spacing w:after="0"/>
              <w:rPr>
                <w:sz w:val="12"/>
                <w:szCs w:val="12"/>
                <w:color w:val="auto"/>
              </w:rPr>
            </w:pPr>
          </w:p>
        </w:tc>
        <w:tc>
          <w:tcPr>
            <w:tcW w:w="7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left w:val="single" w:sz="8" w:color="F0FFFF"/>
            </w:tcBorders>
            <w:shd w:val="clear" w:color="auto" w:fill="F0FFFF"/>
          </w:tcPr>
          <w:p>
            <w:pPr>
              <w:spacing w:after="0"/>
              <w:rPr>
                <w:sz w:val="12"/>
                <w:szCs w:val="12"/>
                <w:color w:val="auto"/>
              </w:rPr>
            </w:pPr>
          </w:p>
        </w:tc>
        <w:tc>
          <w:tcPr>
            <w:tcW w:w="440" w:type="dxa"/>
            <w:vAlign w:val="bottom"/>
            <w:shd w:val="clear" w:color="auto" w:fill="F0FFFF"/>
          </w:tcPr>
          <w:p>
            <w:pPr>
              <w:spacing w:after="0"/>
              <w:rPr>
                <w:sz w:val="12"/>
                <w:szCs w:val="12"/>
                <w:color w:val="auto"/>
              </w:rPr>
            </w:pPr>
          </w:p>
        </w:tc>
        <w:tc>
          <w:tcPr>
            <w:tcW w:w="46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gridSpan w:val="2"/>
          </w:tcPr>
          <w:p>
            <w:pPr>
              <w:spacing w:after="0" w:line="149" w:lineRule="exact"/>
              <w:rPr>
                <w:sz w:val="20"/>
                <w:szCs w:val="20"/>
                <w:color w:val="auto"/>
              </w:rPr>
            </w:pPr>
            <w:r>
              <w:rPr>
                <w:rFonts w:ascii="Arial" w:cs="Arial" w:eastAsia="Arial" w:hAnsi="Arial"/>
                <w:sz w:val="14"/>
                <w:szCs w:val="14"/>
                <w:color w:val="auto"/>
              </w:rPr>
              <w:t>Residential construction</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339</w:t>
            </w:r>
          </w:p>
        </w:tc>
        <w:tc>
          <w:tcPr>
            <w:tcW w:w="20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339</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1,123</w:t>
            </w: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994</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gridSpan w:val="2"/>
            <w:shd w:val="clear" w:color="auto" w:fill="F0FFFF"/>
          </w:tcPr>
          <w:p>
            <w:pPr>
              <w:spacing w:after="0" w:line="149" w:lineRule="exact"/>
              <w:rPr>
                <w:sz w:val="20"/>
                <w:szCs w:val="20"/>
                <w:color w:val="auto"/>
              </w:rPr>
            </w:pPr>
            <w:r>
              <w:rPr>
                <w:rFonts w:ascii="Arial" w:cs="Arial" w:eastAsia="Arial" w:hAnsi="Arial"/>
                <w:sz w:val="14"/>
                <w:szCs w:val="14"/>
                <w:color w:val="auto"/>
              </w:rPr>
              <w:t>Consumer installment</w:t>
            </w:r>
          </w:p>
        </w:tc>
        <w:tc>
          <w:tcPr>
            <w:tcW w:w="8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left w:val="single" w:sz="8" w:color="F0FFFF"/>
              <w:right w:val="single" w:sz="8" w:color="F0FFFF"/>
            </w:tcBorders>
            <w:shd w:val="clear" w:color="auto" w:fill="F0FFFF"/>
          </w:tcPr>
          <w:p>
            <w:pPr>
              <w:spacing w:after="0"/>
              <w:rPr>
                <w:sz w:val="12"/>
                <w:szCs w:val="12"/>
                <w:color w:val="auto"/>
              </w:rPr>
            </w:pPr>
          </w:p>
        </w:tc>
        <w:tc>
          <w:tcPr>
            <w:tcW w:w="86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left w:val="single" w:sz="8" w:color="F0FFFF"/>
              <w:right w:val="single" w:sz="8" w:color="F0FFFF"/>
            </w:tcBorders>
            <w:shd w:val="clear" w:color="auto" w:fill="F0FFFF"/>
          </w:tcPr>
          <w:p>
            <w:pPr>
              <w:spacing w:after="0"/>
              <w:rPr>
                <w:sz w:val="12"/>
                <w:szCs w:val="12"/>
                <w:color w:val="auto"/>
              </w:rPr>
            </w:pPr>
          </w:p>
        </w:tc>
        <w:tc>
          <w:tcPr>
            <w:tcW w:w="98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left w:val="single" w:sz="8" w:color="F0FFFF"/>
            </w:tcBorders>
            <w:shd w:val="clear" w:color="auto" w:fill="F0FFFF"/>
          </w:tcPr>
          <w:p>
            <w:pPr>
              <w:spacing w:after="0"/>
              <w:rPr>
                <w:sz w:val="12"/>
                <w:szCs w:val="12"/>
                <w:color w:val="auto"/>
              </w:rPr>
            </w:pPr>
          </w:p>
        </w:tc>
        <w:tc>
          <w:tcPr>
            <w:tcW w:w="560" w:type="dxa"/>
            <w:vAlign w:val="bottom"/>
            <w:shd w:val="clear" w:color="auto" w:fill="F0FFFF"/>
          </w:tcPr>
          <w:p>
            <w:pPr>
              <w:spacing w:after="0"/>
              <w:rPr>
                <w:sz w:val="12"/>
                <w:szCs w:val="12"/>
                <w:color w:val="auto"/>
              </w:rPr>
            </w:pPr>
          </w:p>
        </w:tc>
        <w:tc>
          <w:tcPr>
            <w:tcW w:w="34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4</w:t>
            </w:r>
          </w:p>
        </w:tc>
        <w:tc>
          <w:tcPr>
            <w:tcW w:w="1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21</w:t>
            </w:r>
          </w:p>
        </w:tc>
        <w:tc>
          <w:tcPr>
            <w:tcW w:w="100" w:type="dxa"/>
            <w:vAlign w:val="bottom"/>
            <w:shd w:val="clear" w:color="auto" w:fill="F0FFFF"/>
          </w:tcPr>
          <w:p>
            <w:pPr>
              <w:spacing w:after="0"/>
              <w:rPr>
                <w:sz w:val="12"/>
                <w:szCs w:val="12"/>
                <w:color w:val="auto"/>
              </w:rPr>
            </w:pPr>
          </w:p>
        </w:tc>
        <w:tc>
          <w:tcPr>
            <w:tcW w:w="8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21</w:t>
            </w:r>
          </w:p>
        </w:tc>
        <w:tc>
          <w:tcPr>
            <w:tcW w:w="180" w:type="dxa"/>
            <w:vAlign w:val="bottom"/>
            <w:tcBorders>
              <w:left w:val="single" w:sz="8" w:color="F0FFFF"/>
              <w:right w:val="single" w:sz="8" w:color="F0FFFF"/>
            </w:tcBorders>
            <w:shd w:val="clear" w:color="auto" w:fill="F0FFFF"/>
          </w:tcPr>
          <w:p>
            <w:pPr>
              <w:spacing w:after="0"/>
              <w:rPr>
                <w:sz w:val="12"/>
                <w:szCs w:val="12"/>
                <w:color w:val="auto"/>
              </w:rPr>
            </w:pPr>
          </w:p>
        </w:tc>
        <w:tc>
          <w:tcPr>
            <w:tcW w:w="7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3</w:t>
            </w:r>
          </w:p>
        </w:tc>
        <w:tc>
          <w:tcPr>
            <w:tcW w:w="100" w:type="dxa"/>
            <w:vAlign w:val="bottom"/>
            <w:tcBorders>
              <w:left w:val="single" w:sz="8" w:color="F0FFFF"/>
            </w:tcBorders>
            <w:shd w:val="clear" w:color="auto" w:fill="F0FFFF"/>
          </w:tcPr>
          <w:p>
            <w:pPr>
              <w:spacing w:after="0"/>
              <w:rPr>
                <w:sz w:val="12"/>
                <w:szCs w:val="12"/>
                <w:color w:val="auto"/>
              </w:rPr>
            </w:pPr>
          </w:p>
        </w:tc>
        <w:tc>
          <w:tcPr>
            <w:tcW w:w="440" w:type="dxa"/>
            <w:vAlign w:val="bottom"/>
            <w:shd w:val="clear" w:color="auto" w:fill="F0FFFF"/>
          </w:tcPr>
          <w:p>
            <w:pPr>
              <w:spacing w:after="0"/>
              <w:rPr>
                <w:sz w:val="12"/>
                <w:szCs w:val="12"/>
                <w:color w:val="auto"/>
              </w:rPr>
            </w:pPr>
          </w:p>
        </w:tc>
        <w:tc>
          <w:tcPr>
            <w:tcW w:w="46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20" w:type="dxa"/>
            <w:vAlign w:val="bottom"/>
            <w:gridSpan w:val="2"/>
          </w:tcPr>
          <w:p>
            <w:pPr>
              <w:spacing w:after="0" w:line="149" w:lineRule="exact"/>
              <w:rPr>
                <w:sz w:val="20"/>
                <w:szCs w:val="20"/>
                <w:color w:val="auto"/>
              </w:rPr>
            </w:pPr>
            <w:r>
              <w:rPr>
                <w:rFonts w:ascii="Arial" w:cs="Arial" w:eastAsia="Arial" w:hAnsi="Arial"/>
                <w:sz w:val="14"/>
                <w:szCs w:val="14"/>
                <w:color w:val="auto"/>
              </w:rPr>
              <w:t>Indirect auto</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820" w:type="dxa"/>
            <w:vAlign w:val="bottom"/>
            <w:gridSpan w:val="2"/>
            <w:shd w:val="clear" w:color="auto" w:fill="F0FFFF"/>
          </w:tcPr>
          <w:p>
            <w:pPr>
              <w:ind w:left="160"/>
              <w:spacing w:after="0" w:line="149" w:lineRule="exact"/>
              <w:rPr>
                <w:sz w:val="20"/>
                <w:szCs w:val="20"/>
                <w:color w:val="auto"/>
              </w:rPr>
            </w:pPr>
            <w:r>
              <w:rPr>
                <w:rFonts w:ascii="Arial" w:cs="Arial" w:eastAsia="Arial" w:hAnsi="Arial"/>
                <w:sz w:val="14"/>
                <w:szCs w:val="14"/>
                <w:color w:val="auto"/>
              </w:rPr>
              <w:t>Total loans</w:t>
            </w:r>
          </w:p>
        </w:tc>
        <w:tc>
          <w:tcPr>
            <w:tcW w:w="8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13</w:t>
            </w:r>
          </w:p>
        </w:tc>
        <w:tc>
          <w:tcPr>
            <w:tcW w:w="180" w:type="dxa"/>
            <w:vAlign w:val="bottom"/>
            <w:tcBorders>
              <w:left w:val="single" w:sz="8" w:color="F0FFFF"/>
              <w:right w:val="single" w:sz="8" w:color="F0FFFF"/>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7,511</w:t>
            </w:r>
          </w:p>
        </w:tc>
        <w:tc>
          <w:tcPr>
            <w:tcW w:w="200" w:type="dxa"/>
            <w:vAlign w:val="bottom"/>
            <w:tcBorders>
              <w:left w:val="single" w:sz="8" w:color="F0FFFF"/>
              <w:right w:val="single" w:sz="8" w:color="F0FFFF"/>
            </w:tcBorders>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F0FFFF"/>
          </w:tcPr>
          <w:p>
            <w:pPr>
              <w:jc w:val="right"/>
              <w:ind w:right="120"/>
              <w:spacing w:after="0" w:line="149" w:lineRule="exact"/>
              <w:rPr>
                <w:sz w:val="20"/>
                <w:szCs w:val="20"/>
                <w:color w:val="auto"/>
              </w:rPr>
            </w:pPr>
            <w:r>
              <w:rPr>
                <w:rFonts w:ascii="Arial" w:cs="Arial" w:eastAsia="Arial" w:hAnsi="Arial"/>
                <w:sz w:val="14"/>
                <w:szCs w:val="14"/>
                <w:color w:val="auto"/>
              </w:rPr>
              <w:t>7,367</w:t>
            </w:r>
          </w:p>
        </w:tc>
        <w:tc>
          <w:tcPr>
            <w:tcW w:w="8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w:t>
            </w:r>
          </w:p>
        </w:tc>
        <w:tc>
          <w:tcPr>
            <w:tcW w:w="680" w:type="dxa"/>
            <w:vAlign w:val="bottom"/>
            <w:tcBorders>
              <w:left w:val="single" w:sz="8" w:color="F0FFFF"/>
            </w:tcBorders>
            <w:gridSpan w:val="2"/>
            <w:shd w:val="clear" w:color="auto" w:fill="F0FFFF"/>
          </w:tcPr>
          <w:p>
            <w:pPr>
              <w:jc w:val="right"/>
              <w:ind w:right="428"/>
              <w:spacing w:after="0" w:line="149" w:lineRule="exact"/>
              <w:rPr>
                <w:sz w:val="20"/>
                <w:szCs w:val="20"/>
                <w:color w:val="auto"/>
              </w:rPr>
            </w:pPr>
            <w:r>
              <w:rPr>
                <w:rFonts w:ascii="Arial" w:cs="Arial" w:eastAsia="Arial" w:hAnsi="Arial"/>
                <w:sz w:val="14"/>
                <w:szCs w:val="14"/>
                <w:color w:val="auto"/>
              </w:rPr>
              <w:t>$</w:t>
            </w:r>
          </w:p>
        </w:tc>
        <w:tc>
          <w:tcPr>
            <w:tcW w:w="34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40</w:t>
            </w:r>
          </w:p>
        </w:tc>
        <w:tc>
          <w:tcPr>
            <w:tcW w:w="7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50</w:t>
            </w:r>
          </w:p>
        </w:tc>
        <w:tc>
          <w:tcPr>
            <w:tcW w:w="200" w:type="dxa"/>
            <w:vAlign w:val="bottom"/>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rPr>
              <w:t>14,814</w:t>
            </w:r>
          </w:p>
        </w:tc>
        <w:tc>
          <w:tcPr>
            <w:tcW w:w="1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14,435</w:t>
            </w:r>
          </w:p>
        </w:tc>
        <w:tc>
          <w:tcPr>
            <w:tcW w:w="180" w:type="dxa"/>
            <w:vAlign w:val="bottom"/>
            <w:tcBorders>
              <w:left w:val="single" w:sz="8" w:color="F0FFFF"/>
              <w:right w:val="single" w:sz="8" w:color="F0FFFF"/>
            </w:tcBorders>
            <w:shd w:val="clear" w:color="auto" w:fill="F0FFFF"/>
          </w:tcPr>
          <w:p>
            <w:pPr>
              <w:spacing w:after="0"/>
              <w:rPr>
                <w:sz w:val="14"/>
                <w:szCs w:val="14"/>
                <w:color w:val="auto"/>
              </w:rPr>
            </w:pPr>
          </w:p>
        </w:tc>
        <w:tc>
          <w:tcPr>
            <w:tcW w:w="72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11</w:t>
            </w:r>
          </w:p>
        </w:tc>
        <w:tc>
          <w:tcPr>
            <w:tcW w:w="540" w:type="dxa"/>
            <w:vAlign w:val="bottom"/>
            <w:tcBorders>
              <w:left w:val="single" w:sz="8" w:color="F0FFFF"/>
            </w:tcBorders>
            <w:gridSpan w:val="2"/>
            <w:shd w:val="clear" w:color="auto" w:fill="F0FFFF"/>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F0FFFF"/>
          </w:tcPr>
          <w:p>
            <w:pPr>
              <w:jc w:val="right"/>
              <w:ind w:right="100"/>
              <w:spacing w:after="0" w:line="149" w:lineRule="exact"/>
              <w:rPr>
                <w:sz w:val="20"/>
                <w:szCs w:val="20"/>
                <w:color w:val="auto"/>
              </w:rPr>
            </w:pPr>
            <w:r>
              <w:rPr>
                <w:rFonts w:ascii="Arial" w:cs="Arial" w:eastAsia="Arial" w:hAnsi="Arial"/>
                <w:sz w:val="14"/>
                <w:szCs w:val="14"/>
                <w:color w:val="auto"/>
                <w:w w:val="96"/>
              </w:rPr>
              <w:t>2,166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F0FFFF"/>
              <w:left w:val="single" w:sz="8" w:color="F0FFFF"/>
              <w:right w:val="single" w:sz="8" w:color="auto"/>
            </w:tcBorders>
            <w:shd w:val="clear" w:color="auto" w:fill="F0FF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F0FFFF"/>
              <w:left w:val="single" w:sz="8" w:color="F0FFFF"/>
              <w:right w:val="single" w:sz="8" w:color="auto"/>
            </w:tcBorders>
            <w:shd w:val="clear" w:color="auto" w:fill="F0FF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left w:val="single" w:sz="8" w:color="F0FFFF"/>
            </w:tcBorders>
            <w:shd w:val="clear" w:color="auto" w:fill="F0FF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F0FFFF"/>
              <w:left w:val="single" w:sz="8" w:color="F0FFFF"/>
              <w:right w:val="single" w:sz="8" w:color="auto"/>
            </w:tcBorders>
            <w:shd w:val="clear" w:color="auto" w:fill="F0FF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left w:val="single" w:sz="8" w:color="F0FFFF"/>
            </w:tcBorders>
            <w:shd w:val="clear" w:color="auto" w:fill="F0FF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Collateral dependent TDRs that subsequently default and are placed on nonaccrual are charged down to the fair value of the collateral consistent with United’s policy for nonaccrual loans. Impairment on TDRs that are not collateral dependent continues to be measured on discounted cash flows regardless of whether the loan has subsequently defaulted.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p>
    <w:p>
      <w:pPr>
        <w:sectPr>
          <w:pgSz w:w="11900" w:h="16874" w:orient="portrait"/>
          <w:cols w:equalWidth="0" w:num="1">
            <w:col w:w="11420"/>
          </w:cols>
          <w:pgMar w:left="240" w:top="918" w:right="239" w:bottom="0" w:gutter="0" w:footer="0" w:header="0"/>
        </w:sectPr>
      </w:pPr>
    </w:p>
    <w:bookmarkStart w:id="22" w:name="page23"/>
    <w:bookmarkEnd w:id="2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As of June 30, 2014, December 31, 2013 and June 30, 2013, and based on the most recent analysis performed, the risk category of loans by class of loans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00" w:type="dxa"/>
            <w:vAlign w:val="bottom"/>
            <w:gridSpan w:val="6"/>
          </w:tcPr>
          <w:p>
            <w:pPr>
              <w:ind w:left="740"/>
              <w:spacing w:after="0"/>
              <w:rPr>
                <w:sz w:val="20"/>
                <w:szCs w:val="20"/>
                <w:color w:val="auto"/>
              </w:rPr>
            </w:pPr>
            <w:r>
              <w:rPr>
                <w:rFonts w:ascii="Arial" w:cs="Arial" w:eastAsia="Arial" w:hAnsi="Arial"/>
                <w:sz w:val="18"/>
                <w:szCs w:val="18"/>
                <w:b w:val="1"/>
                <w:bCs w:val="1"/>
                <w:color w:val="auto"/>
              </w:rPr>
              <w:t>Substandard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Doubtful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56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As of June 30, 2014</w:t>
            </w:r>
          </w:p>
        </w:tc>
        <w:tc>
          <w:tcPr>
            <w:tcW w:w="200" w:type="dxa"/>
            <w:vAlign w:val="bottom"/>
          </w:tcPr>
          <w:p>
            <w:pPr>
              <w:spacing w:after="0"/>
              <w:rPr>
                <w:sz w:val="15"/>
                <w:szCs w:val="15"/>
                <w:color w:val="auto"/>
              </w:rPr>
            </w:pPr>
          </w:p>
        </w:tc>
        <w:tc>
          <w:tcPr>
            <w:tcW w:w="1080" w:type="dxa"/>
            <w:vAlign w:val="bottom"/>
            <w:gridSpan w:val="2"/>
          </w:tcPr>
          <w:p>
            <w:pPr>
              <w:jc w:val="right"/>
              <w:ind w:right="600"/>
              <w:spacing w:after="0" w:line="176" w:lineRule="exact"/>
              <w:rPr>
                <w:sz w:val="20"/>
                <w:szCs w:val="20"/>
                <w:color w:val="auto"/>
              </w:rPr>
            </w:pPr>
            <w:r>
              <w:rPr>
                <w:rFonts w:ascii="Arial" w:cs="Arial" w:eastAsia="Arial" w:hAnsi="Arial"/>
                <w:sz w:val="18"/>
                <w:szCs w:val="18"/>
                <w:b w:val="1"/>
                <w:bCs w:val="1"/>
                <w:color w:val="auto"/>
              </w:rPr>
              <w:t>Pass</w:t>
            </w:r>
          </w:p>
        </w:tc>
        <w:tc>
          <w:tcPr>
            <w:tcW w:w="180" w:type="dxa"/>
            <w:vAlign w:val="bottom"/>
          </w:tcPr>
          <w:p>
            <w:pPr>
              <w:spacing w:after="0"/>
              <w:rPr>
                <w:sz w:val="15"/>
                <w:szCs w:val="15"/>
                <w:color w:val="auto"/>
              </w:rPr>
            </w:pPr>
          </w:p>
        </w:tc>
        <w:tc>
          <w:tcPr>
            <w:tcW w:w="1100" w:type="dxa"/>
            <w:vAlign w:val="bottom"/>
            <w:gridSpan w:val="2"/>
          </w:tcPr>
          <w:p>
            <w:pPr>
              <w:jc w:val="right"/>
              <w:ind w:right="500"/>
              <w:spacing w:after="0" w:line="176" w:lineRule="exact"/>
              <w:rPr>
                <w:sz w:val="20"/>
                <w:szCs w:val="20"/>
                <w:color w:val="auto"/>
              </w:rPr>
            </w:pPr>
            <w:r>
              <w:rPr>
                <w:rFonts w:ascii="Arial" w:cs="Arial" w:eastAsia="Arial" w:hAnsi="Arial"/>
                <w:sz w:val="18"/>
                <w:szCs w:val="18"/>
                <w:b w:val="1"/>
                <w:bCs w:val="1"/>
                <w:color w:val="auto"/>
              </w:rPr>
              <w:t>Watch</w:t>
            </w: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ind w:left="60"/>
              <w:spacing w:after="0" w:line="176" w:lineRule="exact"/>
              <w:rPr>
                <w:sz w:val="20"/>
                <w:szCs w:val="20"/>
                <w:color w:val="auto"/>
              </w:rPr>
            </w:pPr>
            <w:r>
              <w:rPr>
                <w:rFonts w:ascii="Arial" w:cs="Arial" w:eastAsia="Arial" w:hAnsi="Arial"/>
                <w:sz w:val="18"/>
                <w:szCs w:val="18"/>
                <w:b w:val="1"/>
                <w:bCs w:val="1"/>
                <w:color w:val="auto"/>
              </w:rPr>
              <w:t>Performing</w:t>
            </w: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90"/>
              <w:spacing w:after="0" w:line="176" w:lineRule="exact"/>
              <w:rPr>
                <w:sz w:val="20"/>
                <w:szCs w:val="20"/>
                <w:color w:val="auto"/>
              </w:rPr>
            </w:pPr>
            <w:r>
              <w:rPr>
                <w:rFonts w:ascii="Arial" w:cs="Arial" w:eastAsia="Arial" w:hAnsi="Arial"/>
                <w:sz w:val="18"/>
                <w:szCs w:val="18"/>
                <w:b w:val="1"/>
                <w:bCs w:val="1"/>
                <w:color w:val="auto"/>
                <w:w w:val="93"/>
              </w:rPr>
              <w:t>Nonaccrual</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ind w:left="220"/>
              <w:spacing w:after="0" w:line="176" w:lineRule="exact"/>
              <w:rPr>
                <w:sz w:val="20"/>
                <w:szCs w:val="20"/>
                <w:color w:val="auto"/>
              </w:rPr>
            </w:pPr>
            <w:r>
              <w:rPr>
                <w:rFonts w:ascii="Arial" w:cs="Arial" w:eastAsia="Arial" w:hAnsi="Arial"/>
                <w:sz w:val="18"/>
                <w:szCs w:val="18"/>
                <w:b w:val="1"/>
                <w:bCs w:val="1"/>
                <w:color w:val="auto"/>
              </w:rPr>
              <w:t>Loss</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ind w:left="100"/>
              <w:spacing w:after="0" w:line="176"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Owner occupied commercial real estate</w:t>
            </w:r>
          </w:p>
        </w:tc>
        <w:tc>
          <w:tcPr>
            <w:tcW w:w="2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1,079,629</w:t>
            </w:r>
          </w:p>
        </w:tc>
        <w:tc>
          <w:tcPr>
            <w:tcW w:w="240" w:type="dxa"/>
            <w:vAlign w:val="bottom"/>
            <w:shd w:val="clear" w:color="auto" w:fill="F0FFFF"/>
          </w:tcPr>
          <w:p>
            <w:pPr>
              <w:spacing w:after="0"/>
              <w:rPr>
                <w:sz w:val="18"/>
                <w:szCs w:val="18"/>
                <w:color w:val="auto"/>
              </w:rPr>
            </w:pP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32,501</w:t>
            </w: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48,222</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2,975</w:t>
            </w:r>
          </w:p>
        </w:tc>
        <w:tc>
          <w:tcPr>
            <w:tcW w:w="2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ind w:left="7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w w:val="99"/>
              </w:rPr>
              <w:t>1,163,327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Income producing commercial real estate</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556,223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16,430</w:t>
            </w: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24,633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598,318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542,836</w:t>
            </w:r>
          </w:p>
        </w:tc>
        <w:tc>
          <w:tcPr>
            <w:tcW w:w="2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4,504</w:t>
            </w:r>
          </w:p>
        </w:tc>
        <w:tc>
          <w:tcPr>
            <w:tcW w:w="2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5,647</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1,102</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ind w:lef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554,089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Commercial construction</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152,894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2,360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159,755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shd w:val="clear" w:color="auto" w:fill="F0FFFF"/>
          </w:tcPr>
          <w:p>
            <w:pPr>
              <w:ind w:left="160"/>
              <w:spacing w:after="0"/>
              <w:rPr>
                <w:sz w:val="20"/>
                <w:szCs w:val="20"/>
                <w:color w:val="auto"/>
              </w:rPr>
            </w:pPr>
            <w:r>
              <w:rPr>
                <w:rFonts w:ascii="Arial" w:cs="Arial" w:eastAsia="Arial" w:hAnsi="Arial"/>
                <w:sz w:val="18"/>
                <w:szCs w:val="18"/>
                <w:color w:val="auto"/>
              </w:rPr>
              <w:t>Total commercial</w:t>
            </w: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2,331,582</w:t>
            </w:r>
          </w:p>
        </w:tc>
        <w:tc>
          <w:tcPr>
            <w:tcW w:w="2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55,795</w:t>
            </w:r>
          </w:p>
        </w:tc>
        <w:tc>
          <w:tcPr>
            <w:tcW w:w="14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82,908</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5,204</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ind w:lef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w w:val="99"/>
              </w:rPr>
              <w:t>2,475,489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Residential mortgage</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797,725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10,743</w:t>
            </w: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41,856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10,201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860,525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Home equity lines of credit</w:t>
            </w: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443,196</w:t>
            </w:r>
          </w:p>
        </w:tc>
        <w:tc>
          <w:tcPr>
            <w:tcW w:w="2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167</w:t>
            </w:r>
          </w:p>
        </w:tc>
        <w:tc>
          <w:tcPr>
            <w:tcW w:w="140" w:type="dxa"/>
            <w:vAlign w:val="bottom"/>
            <w:shd w:val="clear" w:color="auto" w:fill="F0FFFF"/>
          </w:tcPr>
          <w:p>
            <w:pPr>
              <w:spacing w:after="0"/>
              <w:rPr>
                <w:sz w:val="18"/>
                <w:szCs w:val="18"/>
                <w:color w:val="auto"/>
              </w:rPr>
            </w:pP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7,562</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510</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ind w:lef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451,435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Residential construction</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276,539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8,078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12,872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4,248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301,737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Consumer installment</w:t>
            </w: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103,203</w:t>
            </w:r>
          </w:p>
        </w:tc>
        <w:tc>
          <w:tcPr>
            <w:tcW w:w="2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1,776</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ind w:lef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105,160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Indirect auto</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214,987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215,939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gridSpan w:val="3"/>
            <w:shd w:val="clear" w:color="auto" w:fill="F0FFFF"/>
          </w:tcPr>
          <w:p>
            <w:pPr>
              <w:ind w:left="160"/>
              <w:spacing w:after="0"/>
              <w:rPr>
                <w:sz w:val="20"/>
                <w:szCs w:val="20"/>
                <w:color w:val="auto"/>
              </w:rPr>
            </w:pPr>
            <w:r>
              <w:rPr>
                <w:rFonts w:ascii="Arial" w:cs="Arial" w:eastAsia="Arial" w:hAnsi="Arial"/>
                <w:sz w:val="18"/>
                <w:szCs w:val="18"/>
                <w:color w:val="auto"/>
              </w:rPr>
              <w:t>Total loans</w:t>
            </w:r>
          </w:p>
        </w:tc>
        <w:tc>
          <w:tcPr>
            <w:tcW w:w="2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4,167,232</w:t>
            </w:r>
          </w:p>
        </w:tc>
        <w:tc>
          <w:tcPr>
            <w:tcW w:w="240" w:type="dxa"/>
            <w:vAlign w:val="bottom"/>
            <w:shd w:val="clear" w:color="auto" w:fill="F0FFFF"/>
          </w:tcPr>
          <w:p>
            <w:pPr>
              <w:spacing w:after="0"/>
              <w:rPr>
                <w:sz w:val="22"/>
                <w:szCs w:val="22"/>
                <w:color w:val="auto"/>
              </w:rPr>
            </w:pP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74,793</w:t>
            </w: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147,536</w:t>
            </w:r>
          </w:p>
        </w:tc>
        <w:tc>
          <w:tcPr>
            <w:tcW w:w="100" w:type="dxa"/>
            <w:vAlign w:val="bottom"/>
            <w:shd w:val="clear" w:color="auto" w:fill="F0FFFF"/>
          </w:tcPr>
          <w:p>
            <w:pPr>
              <w:spacing w:after="0"/>
              <w:rPr>
                <w:sz w:val="22"/>
                <w:szCs w:val="22"/>
                <w:color w:val="auto"/>
              </w:rPr>
            </w:pP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20,724</w:t>
            </w:r>
          </w:p>
        </w:tc>
        <w:tc>
          <w:tcPr>
            <w:tcW w:w="2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ind w:left="7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w w:val="99"/>
              </w:rPr>
              <w:t>4,410,285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40" w:type="dxa"/>
            <w:vAlign w:val="bottom"/>
            <w:tcBorders>
              <w:top w:val="single" w:sz="8" w:color="F0FFFF"/>
            </w:tcBorders>
            <w:gridSpan w:val="3"/>
          </w:tcPr>
          <w:p>
            <w:pPr>
              <w:spacing w:after="0" w:line="170" w:lineRule="exact"/>
              <w:rPr>
                <w:sz w:val="20"/>
                <w:szCs w:val="20"/>
                <w:color w:val="auto"/>
              </w:rPr>
            </w:pPr>
            <w:r>
              <w:rPr>
                <w:rFonts w:ascii="Arial" w:cs="Arial" w:eastAsia="Arial" w:hAnsi="Arial"/>
                <w:sz w:val="18"/>
                <w:szCs w:val="18"/>
                <w:b w:val="1"/>
                <w:bCs w:val="1"/>
                <w:color w:val="auto"/>
              </w:rPr>
              <w:t>As of December 31, 2013</w:t>
            </w: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40" w:type="dxa"/>
            <w:vAlign w:val="bottom"/>
            <w:tcBorders>
              <w:top w:val="single" w:sz="8" w:color="F0FF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40" w:type="dxa"/>
            <w:vAlign w:val="bottom"/>
            <w:tcBorders>
              <w:top w:val="single" w:sz="8" w:color="F0FF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Borders>
              <w:top w:val="single" w:sz="8" w:color="F0FFFF"/>
            </w:tcBorders>
          </w:tcPr>
          <w:p>
            <w:pPr>
              <w:spacing w:after="0"/>
              <w:rPr>
                <w:sz w:val="14"/>
                <w:szCs w:val="14"/>
                <w:color w:val="auto"/>
              </w:rPr>
            </w:pPr>
          </w:p>
        </w:tc>
        <w:tc>
          <w:tcPr>
            <w:tcW w:w="120" w:type="dxa"/>
            <w:vAlign w:val="bottom"/>
            <w:tcBorders>
              <w:top w:val="single" w:sz="8" w:color="F0FF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Borders>
              <w:top w:val="single" w:sz="8" w:color="F0FFFF"/>
            </w:tcBorders>
          </w:tcPr>
          <w:p>
            <w:pPr>
              <w:spacing w:after="0"/>
              <w:rPr>
                <w:sz w:val="14"/>
                <w:szCs w:val="14"/>
                <w:color w:val="auto"/>
              </w:rPr>
            </w:pPr>
          </w:p>
        </w:tc>
        <w:tc>
          <w:tcPr>
            <w:tcW w:w="120" w:type="dxa"/>
            <w:vAlign w:val="bottom"/>
            <w:tcBorders>
              <w:top w:val="single" w:sz="8" w:color="F0FF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Borders>
              <w:top w:val="single" w:sz="8" w:color="F0FFFF"/>
            </w:tcBorders>
          </w:tcPr>
          <w:p>
            <w:pPr>
              <w:spacing w:after="0"/>
              <w:rPr>
                <w:sz w:val="14"/>
                <w:szCs w:val="14"/>
                <w:color w:val="auto"/>
              </w:rPr>
            </w:pPr>
          </w:p>
        </w:tc>
        <w:tc>
          <w:tcPr>
            <w:tcW w:w="100" w:type="dxa"/>
            <w:vAlign w:val="bottom"/>
            <w:tcBorders>
              <w:top w:val="single" w:sz="8" w:color="F0FF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F0FFFF"/>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Owner occupied commercial real estate</w:t>
            </w:r>
          </w:p>
        </w:tc>
        <w:tc>
          <w:tcPr>
            <w:tcW w:w="2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1,054,924</w:t>
            </w:r>
          </w:p>
        </w:tc>
        <w:tc>
          <w:tcPr>
            <w:tcW w:w="240" w:type="dxa"/>
            <w:vAlign w:val="bottom"/>
            <w:shd w:val="clear" w:color="auto" w:fill="F0FFFF"/>
          </w:tcPr>
          <w:p>
            <w:pPr>
              <w:spacing w:after="0"/>
              <w:rPr>
                <w:sz w:val="18"/>
                <w:szCs w:val="18"/>
                <w:color w:val="auto"/>
              </w:rPr>
            </w:pP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29,714</w:t>
            </w: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43,083</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5,822</w:t>
            </w:r>
          </w:p>
        </w:tc>
        <w:tc>
          <w:tcPr>
            <w:tcW w:w="2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ind w:left="7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w w:val="99"/>
              </w:rPr>
              <w:t>1,133,543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Income producing commercial real estate</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575,597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10,410</w:t>
            </w: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34,642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2,518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623,167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456,563</w:t>
            </w:r>
          </w:p>
        </w:tc>
        <w:tc>
          <w:tcPr>
            <w:tcW w:w="2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5,382</w:t>
            </w:r>
          </w:p>
        </w:tc>
        <w:tc>
          <w:tcPr>
            <w:tcW w:w="2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9,589</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427</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ind w:lef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471,961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Commercial construction</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120,852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10,932</w:t>
            </w: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16,758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148,903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shd w:val="clear" w:color="auto" w:fill="F0FFFF"/>
          </w:tcPr>
          <w:p>
            <w:pPr>
              <w:ind w:left="200"/>
              <w:spacing w:after="0"/>
              <w:rPr>
                <w:sz w:val="20"/>
                <w:szCs w:val="20"/>
                <w:color w:val="auto"/>
              </w:rPr>
            </w:pPr>
            <w:r>
              <w:rPr>
                <w:rFonts w:ascii="Arial" w:cs="Arial" w:eastAsia="Arial" w:hAnsi="Arial"/>
                <w:sz w:val="18"/>
                <w:szCs w:val="18"/>
                <w:color w:val="auto"/>
              </w:rPr>
              <w:t>Total commercial</w:t>
            </w: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2,207,936</w:t>
            </w:r>
          </w:p>
        </w:tc>
        <w:tc>
          <w:tcPr>
            <w:tcW w:w="2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56,438</w:t>
            </w:r>
          </w:p>
        </w:tc>
        <w:tc>
          <w:tcPr>
            <w:tcW w:w="140" w:type="dxa"/>
            <w:vAlign w:val="bottom"/>
            <w:shd w:val="clear" w:color="auto" w:fill="F0FFFF"/>
          </w:tcPr>
          <w:p>
            <w:pPr>
              <w:spacing w:after="0"/>
              <w:rPr>
                <w:sz w:val="18"/>
                <w:szCs w:val="18"/>
                <w:color w:val="auto"/>
              </w:rPr>
            </w:pP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104,072</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9,128</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ind w:lef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w w:val="99"/>
              </w:rPr>
              <w:t>2,377,574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Residential mortgage</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793,381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25,944</w:t>
            </w: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44,022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11,730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875,077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Home equity lines of credit</w:t>
            </w: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426,052</w:t>
            </w:r>
          </w:p>
        </w:tc>
        <w:tc>
          <w:tcPr>
            <w:tcW w:w="2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5,420</w:t>
            </w:r>
          </w:p>
        </w:tc>
        <w:tc>
          <w:tcPr>
            <w:tcW w:w="2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7,967</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1,448</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440,887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Residential construction</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298,685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11,526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14,104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4,264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328,579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Consumer installment</w:t>
            </w: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107,029</w:t>
            </w:r>
          </w:p>
        </w:tc>
        <w:tc>
          <w:tcPr>
            <w:tcW w:w="2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1,229</w:t>
            </w:r>
          </w:p>
        </w:tc>
        <w:tc>
          <w:tcPr>
            <w:tcW w:w="2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2,538</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ind w:lef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111,045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Indirect auto</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196,104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196,104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gridSpan w:val="3"/>
            <w:shd w:val="clear" w:color="auto" w:fill="F0FFFF"/>
          </w:tcPr>
          <w:p>
            <w:pPr>
              <w:ind w:left="160"/>
              <w:spacing w:after="0"/>
              <w:rPr>
                <w:sz w:val="20"/>
                <w:szCs w:val="20"/>
                <w:color w:val="auto"/>
              </w:rPr>
            </w:pPr>
            <w:r>
              <w:rPr>
                <w:rFonts w:ascii="Arial" w:cs="Arial" w:eastAsia="Arial" w:hAnsi="Arial"/>
                <w:sz w:val="18"/>
                <w:szCs w:val="18"/>
                <w:color w:val="auto"/>
              </w:rPr>
              <w:t>Total loans</w:t>
            </w:r>
          </w:p>
        </w:tc>
        <w:tc>
          <w:tcPr>
            <w:tcW w:w="2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4,029,187</w:t>
            </w:r>
          </w:p>
        </w:tc>
        <w:tc>
          <w:tcPr>
            <w:tcW w:w="240" w:type="dxa"/>
            <w:vAlign w:val="bottom"/>
            <w:shd w:val="clear" w:color="auto" w:fill="F0FFFF"/>
          </w:tcPr>
          <w:p>
            <w:pPr>
              <w:spacing w:after="0"/>
              <w:rPr>
                <w:sz w:val="22"/>
                <w:szCs w:val="22"/>
                <w:color w:val="auto"/>
              </w:rPr>
            </w:pP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100,557</w:t>
            </w:r>
          </w:p>
        </w:tc>
        <w:tc>
          <w:tcPr>
            <w:tcW w:w="240" w:type="dxa"/>
            <w:vAlign w:val="bottom"/>
            <w:shd w:val="clear" w:color="auto" w:fill="F0FFFF"/>
          </w:tcPr>
          <w:p>
            <w:pPr>
              <w:spacing w:after="0"/>
              <w:rPr>
                <w:sz w:val="22"/>
                <w:szCs w:val="22"/>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172,703</w:t>
            </w:r>
          </w:p>
        </w:tc>
        <w:tc>
          <w:tcPr>
            <w:tcW w:w="100" w:type="dxa"/>
            <w:vAlign w:val="bottom"/>
            <w:shd w:val="clear" w:color="auto" w:fill="F0FFFF"/>
          </w:tcPr>
          <w:p>
            <w:pPr>
              <w:spacing w:after="0"/>
              <w:rPr>
                <w:sz w:val="22"/>
                <w:szCs w:val="22"/>
                <w:color w:val="auto"/>
              </w:rPr>
            </w:pP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26,819</w:t>
            </w:r>
          </w:p>
        </w:tc>
        <w:tc>
          <w:tcPr>
            <w:tcW w:w="2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ind w:left="7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w w:val="99"/>
              </w:rPr>
              <w:t>4,329,266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540" w:type="dxa"/>
            <w:vAlign w:val="bottom"/>
            <w:tcBorders>
              <w:top w:val="single" w:sz="8" w:color="F0FFFF"/>
            </w:tcBorders>
            <w:gridSpan w:val="3"/>
          </w:tcPr>
          <w:p>
            <w:pPr>
              <w:spacing w:after="0" w:line="170" w:lineRule="exact"/>
              <w:rPr>
                <w:sz w:val="20"/>
                <w:szCs w:val="20"/>
                <w:color w:val="auto"/>
              </w:rPr>
            </w:pPr>
            <w:r>
              <w:rPr>
                <w:rFonts w:ascii="Arial" w:cs="Arial" w:eastAsia="Arial" w:hAnsi="Arial"/>
                <w:sz w:val="18"/>
                <w:szCs w:val="18"/>
                <w:b w:val="1"/>
                <w:bCs w:val="1"/>
                <w:color w:val="auto"/>
              </w:rPr>
              <w:t>As of June 30, 2013</w:t>
            </w:r>
          </w:p>
        </w:tc>
        <w:tc>
          <w:tcPr>
            <w:tcW w:w="20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40" w:type="dxa"/>
            <w:vAlign w:val="bottom"/>
            <w:tcBorders>
              <w:top w:val="single" w:sz="8" w:color="F0FF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40" w:type="dxa"/>
            <w:vAlign w:val="bottom"/>
            <w:tcBorders>
              <w:top w:val="single" w:sz="8" w:color="F0FF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Borders>
              <w:top w:val="single" w:sz="8" w:color="F0FFFF"/>
            </w:tcBorders>
          </w:tcPr>
          <w:p>
            <w:pPr>
              <w:spacing w:after="0"/>
              <w:rPr>
                <w:sz w:val="14"/>
                <w:szCs w:val="14"/>
                <w:color w:val="auto"/>
              </w:rPr>
            </w:pPr>
          </w:p>
        </w:tc>
        <w:tc>
          <w:tcPr>
            <w:tcW w:w="120" w:type="dxa"/>
            <w:vAlign w:val="bottom"/>
            <w:tcBorders>
              <w:top w:val="single" w:sz="8" w:color="F0FF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Borders>
              <w:top w:val="single" w:sz="8" w:color="F0FFFF"/>
            </w:tcBorders>
          </w:tcPr>
          <w:p>
            <w:pPr>
              <w:spacing w:after="0"/>
              <w:rPr>
                <w:sz w:val="14"/>
                <w:szCs w:val="14"/>
                <w:color w:val="auto"/>
              </w:rPr>
            </w:pPr>
          </w:p>
        </w:tc>
        <w:tc>
          <w:tcPr>
            <w:tcW w:w="120" w:type="dxa"/>
            <w:vAlign w:val="bottom"/>
            <w:tcBorders>
              <w:top w:val="single" w:sz="8" w:color="F0FF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Borders>
              <w:top w:val="single" w:sz="8" w:color="F0FFFF"/>
            </w:tcBorders>
          </w:tcPr>
          <w:p>
            <w:pPr>
              <w:spacing w:after="0"/>
              <w:rPr>
                <w:sz w:val="14"/>
                <w:szCs w:val="14"/>
                <w:color w:val="auto"/>
              </w:rPr>
            </w:pPr>
          </w:p>
        </w:tc>
        <w:tc>
          <w:tcPr>
            <w:tcW w:w="100" w:type="dxa"/>
            <w:vAlign w:val="bottom"/>
            <w:tcBorders>
              <w:top w:val="single" w:sz="8" w:color="F0FF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F0FFFF"/>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Owner occupied commercial real estate</w:t>
            </w:r>
          </w:p>
        </w:tc>
        <w:tc>
          <w:tcPr>
            <w:tcW w:w="2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1,031,293</w:t>
            </w:r>
          </w:p>
        </w:tc>
        <w:tc>
          <w:tcPr>
            <w:tcW w:w="240" w:type="dxa"/>
            <w:vAlign w:val="bottom"/>
            <w:shd w:val="clear" w:color="auto" w:fill="F0FFFF"/>
          </w:tcPr>
          <w:p>
            <w:pPr>
              <w:spacing w:after="0"/>
              <w:rPr>
                <w:sz w:val="18"/>
                <w:szCs w:val="18"/>
                <w:color w:val="auto"/>
              </w:rPr>
            </w:pP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35,316</w:t>
            </w: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47,124</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5,283</w:t>
            </w:r>
          </w:p>
        </w:tc>
        <w:tc>
          <w:tcPr>
            <w:tcW w:w="2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ind w:left="7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w w:val="99"/>
              </w:rPr>
              <w:t>1,119,016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Income producing commercial real estate</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563,848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31,701</w:t>
            </w: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31,626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1,954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629,129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419,266</w:t>
            </w:r>
          </w:p>
        </w:tc>
        <w:tc>
          <w:tcPr>
            <w:tcW w:w="2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5,716</w:t>
            </w:r>
          </w:p>
        </w:tc>
        <w:tc>
          <w:tcPr>
            <w:tcW w:w="2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11,458</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548</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ind w:lef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436,988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Commercial construction</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104,185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12,107</w:t>
            </w: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15,766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132,562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shd w:val="clear" w:color="auto" w:fill="F0FFFF"/>
          </w:tcPr>
          <w:p>
            <w:pPr>
              <w:ind w:left="160"/>
              <w:spacing w:after="0"/>
              <w:rPr>
                <w:sz w:val="20"/>
                <w:szCs w:val="20"/>
                <w:color w:val="auto"/>
              </w:rPr>
            </w:pPr>
            <w:r>
              <w:rPr>
                <w:rFonts w:ascii="Arial" w:cs="Arial" w:eastAsia="Arial" w:hAnsi="Arial"/>
                <w:sz w:val="18"/>
                <w:szCs w:val="18"/>
                <w:color w:val="auto"/>
              </w:rPr>
              <w:t>Total commercial</w:t>
            </w: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2,118,592</w:t>
            </w:r>
          </w:p>
        </w:tc>
        <w:tc>
          <w:tcPr>
            <w:tcW w:w="2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84,840</w:t>
            </w:r>
          </w:p>
        </w:tc>
        <w:tc>
          <w:tcPr>
            <w:tcW w:w="140" w:type="dxa"/>
            <w:vAlign w:val="bottom"/>
            <w:shd w:val="clear" w:color="auto" w:fill="F0FFFF"/>
          </w:tcPr>
          <w:p>
            <w:pPr>
              <w:spacing w:after="0"/>
              <w:rPr>
                <w:sz w:val="18"/>
                <w:szCs w:val="18"/>
                <w:color w:val="auto"/>
              </w:rPr>
            </w:pP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105,974</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8,289</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ind w:lef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w w:val="99"/>
              </w:rPr>
              <w:t>2,317,695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Residential mortgage</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796,599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23,288</w:t>
            </w: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43,874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12,847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876,608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Home equity lines of credit</w:t>
            </w: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389,059</w:t>
            </w:r>
          </w:p>
        </w:tc>
        <w:tc>
          <w:tcPr>
            <w:tcW w:w="2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4,053</w:t>
            </w:r>
          </w:p>
        </w:tc>
        <w:tc>
          <w:tcPr>
            <w:tcW w:w="2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7,348</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1,491</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ind w:lef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401,951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Residential construction</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292,116</w:t>
            </w: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18,096</w:t>
            </w: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16,631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4,838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331,681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shd w:val="clear" w:color="auto" w:fill="F0FFFF"/>
          </w:tcPr>
          <w:p>
            <w:pPr>
              <w:spacing w:after="0"/>
              <w:rPr>
                <w:sz w:val="20"/>
                <w:szCs w:val="20"/>
                <w:color w:val="auto"/>
              </w:rPr>
            </w:pPr>
            <w:r>
              <w:rPr>
                <w:rFonts w:ascii="Arial" w:cs="Arial" w:eastAsia="Arial" w:hAnsi="Arial"/>
                <w:sz w:val="18"/>
                <w:szCs w:val="18"/>
                <w:color w:val="auto"/>
              </w:rPr>
              <w:t>Consumer installment</w:t>
            </w: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105,353</w:t>
            </w:r>
          </w:p>
        </w:tc>
        <w:tc>
          <w:tcPr>
            <w:tcW w:w="2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966</w:t>
            </w:r>
          </w:p>
        </w:tc>
        <w:tc>
          <w:tcPr>
            <w:tcW w:w="140" w:type="dxa"/>
            <w:vAlign w:val="bottom"/>
            <w:shd w:val="clear" w:color="auto" w:fill="F0FFFF"/>
          </w:tcPr>
          <w:p>
            <w:pPr>
              <w:spacing w:after="0"/>
              <w:rPr>
                <w:sz w:val="18"/>
                <w:szCs w:val="18"/>
                <w:color w:val="auto"/>
              </w:rPr>
            </w:pP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2,505</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ind w:lef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109,223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Indirect auto</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152,210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152,210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540" w:type="dxa"/>
            <w:vAlign w:val="bottom"/>
            <w:gridSpan w:val="3"/>
            <w:shd w:val="clear" w:color="auto" w:fill="F0FFFF"/>
          </w:tcPr>
          <w:p>
            <w:pPr>
              <w:ind w:left="160"/>
              <w:spacing w:after="0"/>
              <w:rPr>
                <w:sz w:val="20"/>
                <w:szCs w:val="20"/>
                <w:color w:val="auto"/>
              </w:rPr>
            </w:pPr>
            <w:r>
              <w:rPr>
                <w:rFonts w:ascii="Arial" w:cs="Arial" w:eastAsia="Arial" w:hAnsi="Arial"/>
                <w:sz w:val="18"/>
                <w:szCs w:val="18"/>
                <w:color w:val="auto"/>
              </w:rPr>
              <w:t>Total loans</w:t>
            </w:r>
          </w:p>
        </w:tc>
        <w:tc>
          <w:tcPr>
            <w:tcW w:w="2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3,853,929</w:t>
            </w:r>
          </w:p>
        </w:tc>
        <w:tc>
          <w:tcPr>
            <w:tcW w:w="240" w:type="dxa"/>
            <w:vAlign w:val="bottom"/>
            <w:shd w:val="clear" w:color="auto" w:fill="F0FFFF"/>
          </w:tcPr>
          <w:p>
            <w:pPr>
              <w:spacing w:after="0"/>
              <w:rPr>
                <w:sz w:val="20"/>
                <w:szCs w:val="20"/>
                <w:color w:val="auto"/>
              </w:rPr>
            </w:pP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131,243</w:t>
            </w:r>
          </w:p>
        </w:tc>
        <w:tc>
          <w:tcPr>
            <w:tcW w:w="240" w:type="dxa"/>
            <w:vAlign w:val="bottom"/>
            <w:shd w:val="clear" w:color="auto" w:fill="F0FFFF"/>
          </w:tcPr>
          <w:p>
            <w:pPr>
              <w:spacing w:after="0"/>
              <w:rPr>
                <w:sz w:val="20"/>
                <w:szCs w:val="20"/>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176,332</w:t>
            </w:r>
          </w:p>
        </w:tc>
        <w:tc>
          <w:tcPr>
            <w:tcW w:w="100" w:type="dxa"/>
            <w:vAlign w:val="bottom"/>
            <w:shd w:val="clear" w:color="auto" w:fill="F0FFFF"/>
          </w:tcPr>
          <w:p>
            <w:pPr>
              <w:spacing w:after="0"/>
              <w:rPr>
                <w:sz w:val="20"/>
                <w:szCs w:val="20"/>
                <w:color w:val="auto"/>
              </w:rPr>
            </w:pP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27,864</w:t>
            </w:r>
          </w:p>
        </w:tc>
        <w:tc>
          <w:tcPr>
            <w:tcW w:w="2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ind w:left="7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w w:val="99"/>
              </w:rPr>
              <w:t>4,189,368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top w:val="single" w:sz="8" w:color="F0FFFF"/>
            </w:tcBorders>
            <w:shd w:val="clear" w:color="auto" w:fill="F0FFFF"/>
          </w:tcPr>
          <w:p>
            <w:pPr>
              <w:spacing w:after="0" w:line="20" w:lineRule="exact"/>
              <w:rPr>
                <w:sz w:val="1"/>
                <w:szCs w:val="1"/>
                <w:color w:val="auto"/>
              </w:rPr>
            </w:pPr>
          </w:p>
        </w:tc>
        <w:tc>
          <w:tcPr>
            <w:tcW w:w="400" w:type="dxa"/>
            <w:vAlign w:val="bottom"/>
            <w:tcBorders>
              <w:top w:val="single" w:sz="8" w:color="F0FFFF"/>
            </w:tcBorders>
            <w:shd w:val="clear" w:color="auto" w:fill="F0FFFF"/>
          </w:tcPr>
          <w:p>
            <w:pPr>
              <w:spacing w:after="0" w:line="20" w:lineRule="exact"/>
              <w:rPr>
                <w:sz w:val="1"/>
                <w:szCs w:val="1"/>
                <w:color w:val="auto"/>
              </w:rPr>
            </w:pPr>
          </w:p>
        </w:tc>
        <w:tc>
          <w:tcPr>
            <w:tcW w:w="166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Ratings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categorizes commercial loans into risk categories based on relevant information about the ability of borrowers to service their debt such as: current financial information, historical payment experience, credit documentation, public information, and current industry and economic trends, among other factors. United analyzes loans individually by classifying the loans as to credit risk. This analysis is performed on a continual basis. United uses the following definitions for its risk ratings:</w:t>
      </w:r>
    </w:p>
    <w:p>
      <w:pPr>
        <w:spacing w:after="0" w:line="21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Watch. </w:t>
      </w:r>
      <w:r>
        <w:rPr>
          <w:rFonts w:ascii="Arial" w:cs="Arial" w:eastAsia="Arial" w:hAnsi="Arial"/>
          <w:sz w:val="18"/>
          <w:szCs w:val="18"/>
          <w:color w:val="auto"/>
        </w:rPr>
        <w:t>Loans in this category are presently protected from apparent loss; however, weaknesses exist that could cause future impairment,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deterioration of financial ratios, past due status and questionable management capabilities. These loans require more than the ordinary amount of supervision. Collateral values generally afford adequate coverage, but may not be immediately marketable.</w:t>
      </w:r>
    </w:p>
    <w:p>
      <w:pPr>
        <w:spacing w:after="0" w:line="20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Substandard. </w:t>
      </w:r>
      <w:r>
        <w:rPr>
          <w:rFonts w:ascii="Arial" w:cs="Arial" w:eastAsia="Arial" w:hAnsi="Arial"/>
          <w:sz w:val="18"/>
          <w:szCs w:val="18"/>
          <w:color w:val="auto"/>
        </w:rPr>
        <w:t>These loans are inadequately protected by the current net worth and paying capacity of the obligor or by the collateral pledged. Specific and</w:t>
      </w:r>
      <w:r>
        <w:rPr>
          <w:rFonts w:ascii="Arial" w:cs="Arial" w:eastAsia="Arial" w:hAnsi="Arial"/>
          <w:sz w:val="18"/>
          <w:szCs w:val="18"/>
          <w:b w:val="1"/>
          <w:bCs w:val="1"/>
          <w:color w:val="auto"/>
        </w:rPr>
        <w:t xml:space="preserve"> </w:t>
      </w:r>
      <w:r>
        <w:rPr>
          <w:rFonts w:ascii="Arial" w:cs="Arial" w:eastAsia="Arial" w:hAnsi="Arial"/>
          <w:sz w:val="18"/>
          <w:szCs w:val="18"/>
          <w:color w:val="auto"/>
        </w:rPr>
        <w:t>well-defined weaknesses exist that may include poor liquidity and deterioration of financial ratios. The loan may be past due and related deposit accounts experiencing overdrafts. There is the distinct possibility that United will sustain some loss if deficiencies are not corrected. If possible, immediate corrective action is taken.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Doubtful. </w:t>
      </w:r>
      <w:r>
        <w:rPr>
          <w:rFonts w:ascii="Arial" w:cs="Arial" w:eastAsia="Arial" w:hAnsi="Arial"/>
          <w:sz w:val="18"/>
          <w:szCs w:val="18"/>
          <w:color w:val="auto"/>
        </w:rPr>
        <w:t>Specific weaknesses characterized as Substandard that are severe enough to make collection in full highly questionable and improbable. There is</w:t>
      </w:r>
      <w:r>
        <w:rPr>
          <w:rFonts w:ascii="Arial" w:cs="Arial" w:eastAsia="Arial" w:hAnsi="Arial"/>
          <w:sz w:val="18"/>
          <w:szCs w:val="18"/>
          <w:b w:val="1"/>
          <w:bCs w:val="1"/>
          <w:color w:val="auto"/>
        </w:rPr>
        <w:t xml:space="preserve"> </w:t>
      </w:r>
      <w:r>
        <w:rPr>
          <w:rFonts w:ascii="Arial" w:cs="Arial" w:eastAsia="Arial" w:hAnsi="Arial"/>
          <w:sz w:val="18"/>
          <w:szCs w:val="18"/>
          <w:color w:val="auto"/>
        </w:rPr>
        <w:t>no reliable secondary source of full repayment.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Loss. </w:t>
      </w:r>
      <w:r>
        <w:rPr>
          <w:rFonts w:ascii="Arial" w:cs="Arial" w:eastAsia="Arial" w:hAnsi="Arial"/>
          <w:sz w:val="16"/>
          <w:szCs w:val="16"/>
          <w:color w:val="auto"/>
        </w:rPr>
        <w:t>Loans categorized as Loss have the same characteristics as Doubtful; however, probability of loss is certain. Loans classified as Loss are charged off.</w:t>
      </w:r>
    </w:p>
    <w:p>
      <w:pPr>
        <w:spacing w:after="0" w:line="27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Consumer Purpose Loans. </w:t>
      </w:r>
      <w:r>
        <w:rPr>
          <w:rFonts w:ascii="Arial" w:cs="Arial" w:eastAsia="Arial" w:hAnsi="Arial"/>
          <w:sz w:val="17"/>
          <w:szCs w:val="17"/>
          <w:color w:val="auto"/>
        </w:rPr>
        <w:t>Beginning in the first quarter of 2014, United began to apply a pass / fail grading system to all consumer purpose loans.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the pass / fail grading system, consumer purpose loans meeting the criteria of substandard are classified as “fail” and all other loans are classified as “pass”. For reporting purposes, consumer purpose loans classified as “fail” are reported in the performing substandard or nonaccrual columns and all other consumer purpose loans are reported in the “pass” column. The first quarter grading change resulted in decreases in loans categorized as “watch” for the consumer installment, residential mortgage and home equity lines of credit loan classifications. Loan balances reported in the “watch” column for residential mortgage in the first quarter are generally commercial purpose loans secured by the borrower’s residence.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Loans not meeting the criteria above that are analyzed individually as part of the above described process are considered to be pass rated loans.</w:t>
      </w:r>
    </w:p>
    <w:p>
      <w:pPr>
        <w:spacing w:after="0" w:line="2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presents the recorded investment (unpaid principal less amounts charged off) in nonaccrual loans by loan class as of June 30, 2014, December 31, 2013 and June 30, 2013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Nonaccrual Loans</w:t>
            </w: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230"/>
              <w:spacing w:after="0" w:line="198" w:lineRule="exact"/>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230"/>
              <w:spacing w:after="0" w:line="198" w:lineRule="exact"/>
              <w:rPr>
                <w:sz w:val="20"/>
                <w:szCs w:val="20"/>
                <w:color w:val="auto"/>
              </w:rPr>
            </w:pPr>
            <w:r>
              <w:rPr>
                <w:rFonts w:ascii="Arial" w:cs="Arial" w:eastAsia="Arial" w:hAnsi="Arial"/>
                <w:sz w:val="18"/>
                <w:szCs w:val="18"/>
                <w:b w:val="1"/>
                <w:bCs w:val="1"/>
                <w:color w:val="auto"/>
                <w:w w:val="99"/>
              </w:rPr>
              <w:t>June 30,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F0FFFF"/>
          </w:tcPr>
          <w:p>
            <w:pPr>
              <w:spacing w:after="0"/>
              <w:rPr>
                <w:sz w:val="20"/>
                <w:szCs w:val="20"/>
                <w:color w:val="auto"/>
              </w:rPr>
            </w:pPr>
            <w:r>
              <w:rPr>
                <w:rFonts w:ascii="Arial" w:cs="Arial" w:eastAsia="Arial" w:hAnsi="Arial"/>
                <w:sz w:val="18"/>
                <w:szCs w:val="18"/>
                <w:color w:val="auto"/>
              </w:rPr>
              <w:t>Owner occupied commercial real estate</w:t>
            </w:r>
          </w:p>
        </w:tc>
        <w:tc>
          <w:tcPr>
            <w:tcW w:w="16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2,975</w:t>
            </w:r>
          </w:p>
        </w:tc>
        <w:tc>
          <w:tcPr>
            <w:tcW w:w="3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5,822</w:t>
            </w:r>
          </w:p>
        </w:tc>
        <w:tc>
          <w:tcPr>
            <w:tcW w:w="140" w:type="dxa"/>
            <w:vAlign w:val="bottom"/>
            <w:shd w:val="clear" w:color="auto" w:fill="F0FFFF"/>
          </w:tcPr>
          <w:p>
            <w:pPr>
              <w:spacing w:after="0"/>
              <w:rPr>
                <w:sz w:val="18"/>
                <w:szCs w:val="18"/>
                <w:color w:val="auto"/>
              </w:rPr>
            </w:pPr>
          </w:p>
        </w:tc>
        <w:tc>
          <w:tcPr>
            <w:tcW w:w="2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5,283</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Income producing commercial real estate</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F0FFFF"/>
          </w:tcPr>
          <w:p>
            <w:pPr>
              <w:spacing w:after="0"/>
              <w:rPr>
                <w:sz w:val="20"/>
                <w:szCs w:val="20"/>
                <w:color w:val="auto"/>
              </w:rPr>
            </w:pPr>
            <w:r>
              <w:rPr>
                <w:rFonts w:ascii="Arial" w:cs="Arial" w:eastAsia="Arial" w:hAnsi="Arial"/>
                <w:sz w:val="18"/>
                <w:szCs w:val="18"/>
                <w:color w:val="auto"/>
              </w:rPr>
              <w:t>Commercial &amp; industrial</w:t>
            </w:r>
          </w:p>
        </w:tc>
        <w:tc>
          <w:tcPr>
            <w:tcW w:w="14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1,102</w:t>
            </w: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427</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548</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4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00" w:type="dxa"/>
            <w:vAlign w:val="bottom"/>
            <w:tcBorders>
              <w:bottom w:val="single" w:sz="8" w:color="F0FFFF"/>
            </w:tcBorders>
            <w:shd w:val="clear" w:color="auto" w:fill="F0FFFF"/>
          </w:tcPr>
          <w:p>
            <w:pPr>
              <w:ind w:left="140"/>
              <w:spacing w:after="0"/>
              <w:rPr>
                <w:sz w:val="20"/>
                <w:szCs w:val="20"/>
                <w:color w:val="auto"/>
              </w:rPr>
            </w:pPr>
            <w:r>
              <w:rPr>
                <w:rFonts w:ascii="Arial" w:cs="Arial" w:eastAsia="Arial" w:hAnsi="Arial"/>
                <w:sz w:val="18"/>
                <w:szCs w:val="18"/>
                <w:color w:val="auto"/>
              </w:rPr>
              <w:t>Total commercial</w:t>
            </w:r>
          </w:p>
        </w:tc>
        <w:tc>
          <w:tcPr>
            <w:tcW w:w="1400" w:type="dxa"/>
            <w:vAlign w:val="bottom"/>
            <w:tcBorders>
              <w:bottom w:val="single" w:sz="8" w:color="F0FFFF"/>
            </w:tcBorders>
            <w:shd w:val="clear" w:color="auto" w:fill="F0FFFF"/>
          </w:tcPr>
          <w:p>
            <w:pPr>
              <w:spacing w:after="0"/>
              <w:rPr>
                <w:sz w:val="22"/>
                <w:szCs w:val="22"/>
                <w:color w:val="auto"/>
              </w:rPr>
            </w:pPr>
          </w:p>
        </w:tc>
        <w:tc>
          <w:tcPr>
            <w:tcW w:w="200" w:type="dxa"/>
            <w:vAlign w:val="bottom"/>
            <w:tcBorders>
              <w:bottom w:val="single" w:sz="8" w:color="auto"/>
            </w:tcBorders>
            <w:shd w:val="clear" w:color="auto" w:fill="F0FFFF"/>
          </w:tcPr>
          <w:p>
            <w:pPr>
              <w:spacing w:after="0"/>
              <w:rPr>
                <w:sz w:val="22"/>
                <w:szCs w:val="22"/>
                <w:color w:val="auto"/>
              </w:rPr>
            </w:pPr>
          </w:p>
        </w:tc>
        <w:tc>
          <w:tcPr>
            <w:tcW w:w="10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5,204</w:t>
            </w:r>
          </w:p>
        </w:tc>
        <w:tc>
          <w:tcPr>
            <w:tcW w:w="200" w:type="dxa"/>
            <w:vAlign w:val="bottom"/>
            <w:tcBorders>
              <w:bottom w:val="single" w:sz="8" w:color="F0FFFF"/>
            </w:tcBorders>
            <w:shd w:val="clear" w:color="auto" w:fill="F0FFFF"/>
          </w:tcPr>
          <w:p>
            <w:pPr>
              <w:spacing w:after="0"/>
              <w:rPr>
                <w:sz w:val="22"/>
                <w:szCs w:val="22"/>
                <w:color w:val="auto"/>
              </w:rPr>
            </w:pPr>
          </w:p>
        </w:tc>
        <w:tc>
          <w:tcPr>
            <w:tcW w:w="100" w:type="dxa"/>
            <w:vAlign w:val="bottom"/>
            <w:tcBorders>
              <w:bottom w:val="single" w:sz="8" w:color="auto"/>
            </w:tcBorders>
            <w:shd w:val="clear" w:color="auto" w:fill="F0FFFF"/>
          </w:tcPr>
          <w:p>
            <w:pPr>
              <w:spacing w:after="0"/>
              <w:rPr>
                <w:sz w:val="22"/>
                <w:szCs w:val="22"/>
                <w:color w:val="auto"/>
              </w:rPr>
            </w:pPr>
          </w:p>
        </w:tc>
        <w:tc>
          <w:tcPr>
            <w:tcW w:w="11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9,128</w:t>
            </w:r>
          </w:p>
        </w:tc>
        <w:tc>
          <w:tcPr>
            <w:tcW w:w="140" w:type="dxa"/>
            <w:vAlign w:val="bottom"/>
            <w:tcBorders>
              <w:bottom w:val="single" w:sz="8" w:color="F0FFFF"/>
            </w:tcBorders>
            <w:shd w:val="clear" w:color="auto" w:fill="F0FFFF"/>
          </w:tcPr>
          <w:p>
            <w:pPr>
              <w:spacing w:after="0"/>
              <w:rPr>
                <w:sz w:val="22"/>
                <w:szCs w:val="22"/>
                <w:color w:val="auto"/>
              </w:rPr>
            </w:pPr>
          </w:p>
        </w:tc>
        <w:tc>
          <w:tcPr>
            <w:tcW w:w="80" w:type="dxa"/>
            <w:vAlign w:val="bottom"/>
            <w:tcBorders>
              <w:bottom w:val="single" w:sz="8" w:color="F0FFFF"/>
            </w:tcBorders>
            <w:shd w:val="clear" w:color="auto" w:fill="F0FFFF"/>
          </w:tcPr>
          <w:p>
            <w:pPr>
              <w:spacing w:after="0"/>
              <w:rPr>
                <w:sz w:val="22"/>
                <w:szCs w:val="22"/>
                <w:color w:val="auto"/>
              </w:rPr>
            </w:pPr>
          </w:p>
        </w:tc>
        <w:tc>
          <w:tcPr>
            <w:tcW w:w="200" w:type="dxa"/>
            <w:vAlign w:val="bottom"/>
            <w:tcBorders>
              <w:bottom w:val="single" w:sz="8" w:color="auto"/>
            </w:tcBorders>
            <w:shd w:val="clear" w:color="auto" w:fill="F0FFFF"/>
          </w:tcPr>
          <w:p>
            <w:pPr>
              <w:spacing w:after="0"/>
              <w:rPr>
                <w:sz w:val="22"/>
                <w:szCs w:val="22"/>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8,289</w:t>
            </w:r>
          </w:p>
        </w:tc>
        <w:tc>
          <w:tcPr>
            <w:tcW w:w="120" w:type="dxa"/>
            <w:vAlign w:val="bottom"/>
            <w:tcBorders>
              <w:bottom w:val="single" w:sz="8" w:color="F0FFFF"/>
            </w:tcBorders>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Residential mortgage</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11,730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F0FFFF"/>
          </w:tcPr>
          <w:p>
            <w:pPr>
              <w:spacing w:after="0"/>
              <w:rPr>
                <w:sz w:val="20"/>
                <w:szCs w:val="20"/>
                <w:color w:val="auto"/>
              </w:rPr>
            </w:pPr>
            <w:r>
              <w:rPr>
                <w:rFonts w:ascii="Arial" w:cs="Arial" w:eastAsia="Arial" w:hAnsi="Arial"/>
                <w:sz w:val="18"/>
                <w:szCs w:val="18"/>
                <w:color w:val="auto"/>
              </w:rPr>
              <w:t>Home equity lines of credit</w:t>
            </w:r>
          </w:p>
        </w:tc>
        <w:tc>
          <w:tcPr>
            <w:tcW w:w="14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510</w:t>
            </w: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1,448</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1,491</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4,248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F0FFFF"/>
          </w:tcPr>
          <w:p>
            <w:pPr>
              <w:spacing w:after="0"/>
              <w:rPr>
                <w:sz w:val="20"/>
                <w:szCs w:val="20"/>
                <w:color w:val="auto"/>
              </w:rPr>
            </w:pPr>
            <w:r>
              <w:rPr>
                <w:rFonts w:ascii="Arial" w:cs="Arial" w:eastAsia="Arial" w:hAnsi="Arial"/>
                <w:sz w:val="18"/>
                <w:szCs w:val="18"/>
                <w:color w:val="auto"/>
              </w:rPr>
              <w:t>Consumer installment</w:t>
            </w:r>
          </w:p>
        </w:tc>
        <w:tc>
          <w:tcPr>
            <w:tcW w:w="14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171</w:t>
            </w: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249</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Indirect auto</w:t>
            </w:r>
          </w:p>
        </w:tc>
        <w:tc>
          <w:tcPr>
            <w:tcW w:w="14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00" w:type="dxa"/>
            <w:vAlign w:val="bottom"/>
            <w:shd w:val="clear" w:color="auto" w:fill="F0FFFF"/>
          </w:tcPr>
          <w:p>
            <w:pPr>
              <w:ind w:left="140"/>
              <w:spacing w:after="0"/>
              <w:rPr>
                <w:sz w:val="20"/>
                <w:szCs w:val="20"/>
                <w:color w:val="auto"/>
              </w:rPr>
            </w:pPr>
            <w:r>
              <w:rPr>
                <w:rFonts w:ascii="Arial" w:cs="Arial" w:eastAsia="Arial" w:hAnsi="Arial"/>
                <w:sz w:val="18"/>
                <w:szCs w:val="18"/>
                <w:color w:val="auto"/>
              </w:rPr>
              <w:t>Total</w:t>
            </w:r>
          </w:p>
        </w:tc>
        <w:tc>
          <w:tcPr>
            <w:tcW w:w="16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20,724</w:t>
            </w:r>
          </w:p>
        </w:tc>
        <w:tc>
          <w:tcPr>
            <w:tcW w:w="30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26,819</w:t>
            </w:r>
          </w:p>
        </w:tc>
        <w:tc>
          <w:tcPr>
            <w:tcW w:w="140" w:type="dxa"/>
            <w:vAlign w:val="bottom"/>
            <w:shd w:val="clear" w:color="auto" w:fill="F0FFFF"/>
          </w:tcPr>
          <w:p>
            <w:pPr>
              <w:spacing w:after="0"/>
              <w:rPr>
                <w:sz w:val="22"/>
                <w:szCs w:val="22"/>
                <w:color w:val="auto"/>
              </w:rPr>
            </w:pPr>
          </w:p>
        </w:tc>
        <w:tc>
          <w:tcPr>
            <w:tcW w:w="2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27,864</w:t>
            </w:r>
          </w:p>
        </w:tc>
        <w:tc>
          <w:tcPr>
            <w:tcW w:w="120" w:type="dxa"/>
            <w:vAlign w:val="bottom"/>
            <w:shd w:val="clear" w:color="auto" w:fill="F0FF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00" w:type="dxa"/>
            <w:vAlign w:val="bottom"/>
            <w:tcBorders>
              <w:top w:val="single" w:sz="8" w:color="F0FFFF"/>
            </w:tcBorders>
          </w:tcPr>
          <w:p>
            <w:pPr>
              <w:spacing w:after="0"/>
              <w:rPr>
                <w:sz w:val="18"/>
                <w:szCs w:val="18"/>
                <w:color w:val="auto"/>
              </w:rPr>
            </w:pPr>
          </w:p>
        </w:tc>
        <w:tc>
          <w:tcPr>
            <w:tcW w:w="1400" w:type="dxa"/>
            <w:vAlign w:val="bottom"/>
            <w:tcBorders>
              <w:top w:val="single" w:sz="8" w:color="F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F0FFFF"/>
          </w:tcPr>
          <w:p>
            <w:pPr>
              <w:spacing w:after="0"/>
              <w:rPr>
                <w:sz w:val="20"/>
                <w:szCs w:val="20"/>
                <w:color w:val="auto"/>
              </w:rPr>
            </w:pPr>
            <w:r>
              <w:rPr>
                <w:rFonts w:ascii="Arial" w:cs="Arial" w:eastAsia="Arial" w:hAnsi="Arial"/>
                <w:sz w:val="18"/>
                <w:szCs w:val="18"/>
                <w:color w:val="auto"/>
              </w:rPr>
              <w:t>Balance as a percentage of unpaid principal</w:t>
            </w:r>
          </w:p>
        </w:tc>
        <w:tc>
          <w:tcPr>
            <w:tcW w:w="14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66.5%</w:t>
            </w:r>
          </w:p>
        </w:tc>
        <w:tc>
          <w:tcPr>
            <w:tcW w:w="2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65.3%</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62.6%</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Foreclosed Property</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Major classifications of foreclosed properties at June 30, 2014, December 31, 2013 and June 30, 2013 are summarized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June 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9"/>
              </w:rPr>
              <w:t>June 30,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80" w:type="dxa"/>
            <w:vAlign w:val="bottom"/>
            <w:shd w:val="clear" w:color="auto" w:fill="F0FFFF"/>
          </w:tcPr>
          <w:p>
            <w:pPr>
              <w:spacing w:after="0"/>
              <w:rPr>
                <w:sz w:val="20"/>
                <w:szCs w:val="20"/>
                <w:color w:val="auto"/>
              </w:rPr>
            </w:pPr>
            <w:r>
              <w:rPr>
                <w:rFonts w:ascii="Arial" w:cs="Arial" w:eastAsia="Arial" w:hAnsi="Arial"/>
                <w:sz w:val="18"/>
                <w:szCs w:val="18"/>
                <w:color w:val="auto"/>
              </w:rPr>
              <w:t>Commercial real estate</w:t>
            </w:r>
          </w:p>
        </w:tc>
        <w:tc>
          <w:tcPr>
            <w:tcW w:w="15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1,210</w:t>
            </w:r>
          </w:p>
        </w:tc>
        <w:tc>
          <w:tcPr>
            <w:tcW w:w="120" w:type="dxa"/>
            <w:vAlign w:val="bottom"/>
            <w:shd w:val="clear" w:color="auto" w:fill="F0FFFF"/>
          </w:tcPr>
          <w:p>
            <w:pPr>
              <w:spacing w:after="0"/>
              <w:rPr>
                <w:sz w:val="18"/>
                <w:szCs w:val="18"/>
                <w:color w:val="auto"/>
              </w:rPr>
            </w:pP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1,287</w:t>
            </w:r>
          </w:p>
        </w:tc>
        <w:tc>
          <w:tcPr>
            <w:tcW w:w="140" w:type="dxa"/>
            <w:vAlign w:val="bottom"/>
            <w:shd w:val="clear" w:color="auto" w:fill="F0FFFF"/>
          </w:tcPr>
          <w:p>
            <w:pPr>
              <w:spacing w:after="0"/>
              <w:rPr>
                <w:sz w:val="18"/>
                <w:szCs w:val="18"/>
                <w:color w:val="auto"/>
              </w:rPr>
            </w:pPr>
          </w:p>
        </w:tc>
        <w:tc>
          <w:tcPr>
            <w:tcW w:w="2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847</w:t>
            </w:r>
          </w:p>
        </w:tc>
        <w:tc>
          <w:tcPr>
            <w:tcW w:w="120" w:type="dxa"/>
            <w:vAlign w:val="bottom"/>
            <w:shd w:val="clear" w:color="auto" w:fill="F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80" w:type="dxa"/>
            <w:vAlign w:val="bottom"/>
            <w:shd w:val="clear" w:color="auto" w:fill="F0FFFF"/>
          </w:tcPr>
          <w:p>
            <w:pPr>
              <w:ind w:left="160"/>
              <w:spacing w:after="0"/>
              <w:rPr>
                <w:sz w:val="20"/>
                <w:szCs w:val="20"/>
                <w:color w:val="auto"/>
              </w:rPr>
            </w:pPr>
            <w:r>
              <w:rPr>
                <w:rFonts w:ascii="Arial" w:cs="Arial" w:eastAsia="Arial" w:hAnsi="Arial"/>
                <w:sz w:val="18"/>
                <w:szCs w:val="18"/>
                <w:color w:val="auto"/>
              </w:rPr>
              <w:t>Total commercial</w:t>
            </w:r>
          </w:p>
        </w:tc>
        <w:tc>
          <w:tcPr>
            <w:tcW w:w="1340" w:type="dxa"/>
            <w:vAlign w:val="bottom"/>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10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1,210</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11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1,287</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10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1,223</w:t>
            </w:r>
          </w:p>
        </w:tc>
        <w:tc>
          <w:tcPr>
            <w:tcW w:w="120" w:type="dxa"/>
            <w:vAlign w:val="bottom"/>
            <w:shd w:val="clear" w:color="auto" w:fill="F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Residential mortgage</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1,931</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8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Residential construction</w:t>
            </w:r>
          </w:p>
        </w:tc>
        <w:tc>
          <w:tcPr>
            <w:tcW w:w="134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auto"/>
            </w:tcBorders>
            <w:shd w:val="clear" w:color="auto" w:fill="F0FFFF"/>
          </w:tcPr>
          <w:p>
            <w:pPr>
              <w:spacing w:after="0"/>
              <w:rPr>
                <w:sz w:val="19"/>
                <w:szCs w:val="19"/>
                <w:color w:val="auto"/>
              </w:rPr>
            </w:pPr>
          </w:p>
        </w:tc>
        <w:tc>
          <w:tcPr>
            <w:tcW w:w="10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884</w:t>
            </w:r>
          </w:p>
        </w:tc>
        <w:tc>
          <w:tcPr>
            <w:tcW w:w="120" w:type="dxa"/>
            <w:vAlign w:val="bottom"/>
            <w:tcBorders>
              <w:bottom w:val="single" w:sz="8" w:color="F0FFFF"/>
            </w:tcBorders>
            <w:shd w:val="clear" w:color="auto" w:fill="F0FFFF"/>
          </w:tcPr>
          <w:p>
            <w:pPr>
              <w:spacing w:after="0"/>
              <w:rPr>
                <w:sz w:val="19"/>
                <w:szCs w:val="19"/>
                <w:color w:val="auto"/>
              </w:rPr>
            </w:pPr>
          </w:p>
        </w:tc>
        <w:tc>
          <w:tcPr>
            <w:tcW w:w="8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auto"/>
            </w:tcBorders>
            <w:shd w:val="clear" w:color="auto" w:fill="F0FFFF"/>
          </w:tcPr>
          <w:p>
            <w:pPr>
              <w:spacing w:after="0"/>
              <w:rPr>
                <w:sz w:val="19"/>
                <w:szCs w:val="19"/>
                <w:color w:val="auto"/>
              </w:rPr>
            </w:pPr>
          </w:p>
        </w:tc>
        <w:tc>
          <w:tcPr>
            <w:tcW w:w="11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736</w:t>
            </w:r>
          </w:p>
        </w:tc>
        <w:tc>
          <w:tcPr>
            <w:tcW w:w="140" w:type="dxa"/>
            <w:vAlign w:val="bottom"/>
            <w:tcBorders>
              <w:bottom w:val="single" w:sz="8" w:color="F0FFFF"/>
            </w:tcBorders>
            <w:shd w:val="clear" w:color="auto" w:fill="F0FFFF"/>
          </w:tcPr>
          <w:p>
            <w:pPr>
              <w:spacing w:after="0"/>
              <w:rPr>
                <w:sz w:val="19"/>
                <w:szCs w:val="19"/>
                <w:color w:val="auto"/>
              </w:rPr>
            </w:pPr>
          </w:p>
        </w:tc>
        <w:tc>
          <w:tcPr>
            <w:tcW w:w="8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auto"/>
            </w:tcBorders>
            <w:shd w:val="clear" w:color="auto" w:fill="F0FFFF"/>
          </w:tcPr>
          <w:p>
            <w:pPr>
              <w:spacing w:after="0"/>
              <w:rPr>
                <w:sz w:val="19"/>
                <w:szCs w:val="19"/>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4,384</w:t>
            </w:r>
          </w:p>
        </w:tc>
        <w:tc>
          <w:tcPr>
            <w:tcW w:w="120" w:type="dxa"/>
            <w:vAlign w:val="bottom"/>
            <w:tcBorders>
              <w:bottom w:val="single" w:sz="8" w:color="F0FFFF"/>
            </w:tcBorders>
            <w:shd w:val="clear" w:color="auto" w:fill="F0FF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Total foreclosed property</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7,538</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580" w:type="dxa"/>
            <w:vAlign w:val="bottom"/>
            <w:shd w:val="clear" w:color="auto" w:fill="F0FFFF"/>
          </w:tcPr>
          <w:p>
            <w:pPr>
              <w:spacing w:after="0"/>
              <w:rPr>
                <w:sz w:val="20"/>
                <w:szCs w:val="20"/>
                <w:color w:val="auto"/>
              </w:rPr>
            </w:pPr>
            <w:r>
              <w:rPr>
                <w:rFonts w:ascii="Arial" w:cs="Arial" w:eastAsia="Arial" w:hAnsi="Arial"/>
                <w:sz w:val="18"/>
                <w:szCs w:val="18"/>
                <w:color w:val="auto"/>
              </w:rPr>
              <w:t>Less valuation allowance</w:t>
            </w:r>
          </w:p>
        </w:tc>
        <w:tc>
          <w:tcPr>
            <w:tcW w:w="13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(741)</w:t>
            </w: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(1,182)</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(3,602)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4580" w:type="dxa"/>
            <w:vAlign w:val="bottom"/>
            <w:shd w:val="clear" w:color="auto" w:fill="F0FFFF"/>
          </w:tcPr>
          <w:p>
            <w:pPr>
              <w:spacing w:after="0"/>
              <w:rPr>
                <w:sz w:val="2"/>
                <w:szCs w:val="2"/>
                <w:color w:val="auto"/>
              </w:rPr>
            </w:pPr>
          </w:p>
        </w:tc>
        <w:tc>
          <w:tcPr>
            <w:tcW w:w="134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Arial" w:cs="Arial" w:eastAsia="Arial" w:hAnsi="Arial"/>
                <w:sz w:val="18"/>
                <w:szCs w:val="18"/>
                <w:color w:val="auto"/>
              </w:rPr>
              <w:t>Foreclosed property, net</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2,969</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4,221</w:t>
            </w:r>
          </w:p>
        </w:tc>
        <w:tc>
          <w:tcPr>
            <w:tcW w:w="1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3,936</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4580" w:type="dxa"/>
            <w:vAlign w:val="bottom"/>
            <w:shd w:val="clear" w:color="auto" w:fill="F0FFFF"/>
          </w:tcPr>
          <w:p>
            <w:pPr>
              <w:spacing w:after="0"/>
              <w:rPr>
                <w:sz w:val="18"/>
                <w:szCs w:val="18"/>
                <w:color w:val="auto"/>
              </w:rPr>
            </w:pPr>
          </w:p>
        </w:tc>
        <w:tc>
          <w:tcPr>
            <w:tcW w:w="13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20"/>
                <w:szCs w:val="20"/>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Balance as a percentage of original loan unpaid principal</w:t>
            </w: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580" w:type="dxa"/>
            <w:vAlign w:val="bottom"/>
            <w:tcBorders>
              <w:bottom w:val="single" w:sz="8" w:color="DCDCDC"/>
            </w:tcBorders>
          </w:tcPr>
          <w:p>
            <w:pPr>
              <w:spacing w:after="0"/>
              <w:rPr>
                <w:sz w:val="24"/>
                <w:szCs w:val="24"/>
                <w:color w:val="auto"/>
              </w:rPr>
            </w:pPr>
          </w:p>
        </w:tc>
        <w:tc>
          <w:tcPr>
            <w:tcW w:w="4580" w:type="dxa"/>
            <w:vAlign w:val="bottom"/>
            <w:tcBorders>
              <w:bottom w:val="single" w:sz="8" w:color="DCDCDC"/>
            </w:tcBorders>
          </w:tcPr>
          <w:p>
            <w:pPr>
              <w:spacing w:after="0"/>
              <w:rPr>
                <w:sz w:val="24"/>
                <w:szCs w:val="24"/>
                <w:color w:val="auto"/>
              </w:rPr>
            </w:pPr>
          </w:p>
        </w:tc>
        <w:tc>
          <w:tcPr>
            <w:tcW w:w="1340" w:type="dxa"/>
            <w:vAlign w:val="bottom"/>
            <w:tcBorders>
              <w:bottom w:val="single" w:sz="8" w:color="DCDCDC"/>
            </w:tcBorders>
          </w:tcPr>
          <w:p>
            <w:pPr>
              <w:jc w:val="right"/>
              <w:ind w:right="610"/>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DCDCDC"/>
            </w:tcBorders>
          </w:tcPr>
          <w:p>
            <w:pPr>
              <w:spacing w:after="0"/>
              <w:rPr>
                <w:sz w:val="24"/>
                <w:szCs w:val="24"/>
                <w:color w:val="auto"/>
              </w:rPr>
            </w:pPr>
          </w:p>
        </w:tc>
        <w:tc>
          <w:tcPr>
            <w:tcW w:w="10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18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06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56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1"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Activity in the valuation allowance for foreclosed property for the three and six months ended June 30, 2014 and 2013 is presented in the following table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F0FFFF"/>
          </w:tcPr>
          <w:p>
            <w:pPr>
              <w:spacing w:after="0"/>
              <w:rPr>
                <w:sz w:val="20"/>
                <w:szCs w:val="20"/>
                <w:color w:val="auto"/>
              </w:rPr>
            </w:pPr>
            <w:r>
              <w:rPr>
                <w:rFonts w:ascii="Arial" w:cs="Arial" w:eastAsia="Arial" w:hAnsi="Arial"/>
                <w:sz w:val="18"/>
                <w:szCs w:val="18"/>
                <w:color w:val="auto"/>
              </w:rPr>
              <w:t>Balance at beginning of period</w:t>
            </w: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1,041</w:t>
            </w:r>
          </w:p>
        </w:tc>
        <w:tc>
          <w:tcPr>
            <w:tcW w:w="120" w:type="dxa"/>
            <w:vAlign w:val="bottom"/>
            <w:shd w:val="clear" w:color="auto" w:fill="F0FFFF"/>
          </w:tcPr>
          <w:p>
            <w:pPr>
              <w:spacing w:after="0"/>
              <w:rPr>
                <w:sz w:val="18"/>
                <w:szCs w:val="18"/>
                <w:color w:val="auto"/>
              </w:rPr>
            </w:pPr>
          </w:p>
        </w:tc>
        <w:tc>
          <w:tcPr>
            <w:tcW w:w="380" w:type="dxa"/>
            <w:vAlign w:val="bottom"/>
            <w:gridSpan w:val="2"/>
            <w:shd w:val="clear" w:color="auto" w:fill="F0FF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4,979</w:t>
            </w:r>
          </w:p>
        </w:tc>
        <w:tc>
          <w:tcPr>
            <w:tcW w:w="120" w:type="dxa"/>
            <w:vAlign w:val="bottom"/>
            <w:shd w:val="clear" w:color="auto" w:fill="F0FFFF"/>
          </w:tcPr>
          <w:p>
            <w:pPr>
              <w:spacing w:after="0"/>
              <w:rPr>
                <w:sz w:val="18"/>
                <w:szCs w:val="18"/>
                <w:color w:val="auto"/>
              </w:rPr>
            </w:pPr>
          </w:p>
        </w:tc>
        <w:tc>
          <w:tcPr>
            <w:tcW w:w="3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1,182</w:t>
            </w:r>
          </w:p>
        </w:tc>
        <w:tc>
          <w:tcPr>
            <w:tcW w:w="140" w:type="dxa"/>
            <w:vAlign w:val="bottom"/>
            <w:shd w:val="clear" w:color="auto" w:fill="F0FFFF"/>
          </w:tcPr>
          <w:p>
            <w:pPr>
              <w:spacing w:after="0"/>
              <w:rPr>
                <w:sz w:val="18"/>
                <w:szCs w:val="18"/>
                <w:color w:val="auto"/>
              </w:rPr>
            </w:pPr>
          </w:p>
        </w:tc>
        <w:tc>
          <w:tcPr>
            <w:tcW w:w="3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6,954</w:t>
            </w:r>
          </w:p>
        </w:tc>
        <w:tc>
          <w:tcPr>
            <w:tcW w:w="12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Additions charged to expense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2,410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F0FFFF"/>
          </w:tcPr>
          <w:p>
            <w:pPr>
              <w:spacing w:after="0"/>
              <w:rPr>
                <w:sz w:val="20"/>
                <w:szCs w:val="20"/>
                <w:color w:val="auto"/>
              </w:rPr>
            </w:pPr>
            <w:r>
              <w:rPr>
                <w:rFonts w:ascii="Arial" w:cs="Arial" w:eastAsia="Arial" w:hAnsi="Arial"/>
                <w:sz w:val="18"/>
                <w:szCs w:val="18"/>
                <w:color w:val="auto"/>
              </w:rPr>
              <w:t>Disposals</w:t>
            </w:r>
          </w:p>
        </w:tc>
        <w:tc>
          <w:tcPr>
            <w:tcW w:w="24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(605)</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(2,746)</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(1,023)</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(5,762)</w:t>
            </w:r>
          </w:p>
        </w:tc>
      </w:tr>
      <w:tr>
        <w:trPr>
          <w:trHeight w:val="27"/>
        </w:trPr>
        <w:tc>
          <w:tcPr>
            <w:tcW w:w="20" w:type="dxa"/>
            <w:vAlign w:val="bottom"/>
          </w:tcPr>
          <w:p>
            <w:pPr>
              <w:spacing w:after="0"/>
              <w:rPr>
                <w:sz w:val="2"/>
                <w:szCs w:val="2"/>
                <w:color w:val="auto"/>
              </w:rPr>
            </w:pPr>
          </w:p>
        </w:tc>
        <w:tc>
          <w:tcPr>
            <w:tcW w:w="49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Balance at end of period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3,602</w:t>
            </w:r>
          </w:p>
        </w:tc>
        <w:tc>
          <w:tcPr>
            <w:tcW w:w="12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741</w:t>
            </w:r>
          </w:p>
        </w:tc>
        <w:tc>
          <w:tcPr>
            <w:tcW w:w="1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3,602</w:t>
            </w:r>
          </w:p>
        </w:tc>
        <w:tc>
          <w:tcPr>
            <w:tcW w:w="12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Expenses related to foreclosed property for the three and six months ended June 30, 2014 and 2013 is presented in the following table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80" w:type="dxa"/>
            <w:vAlign w:val="bottom"/>
            <w:gridSpan w:val="6"/>
          </w:tcPr>
          <w:p>
            <w:pPr>
              <w:jc w:val="right"/>
              <w:ind w:right="35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6"/>
          </w:tcPr>
          <w:p>
            <w:pPr>
              <w:ind w:left="32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3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F0FFFF"/>
          </w:tcPr>
          <w:p>
            <w:pPr>
              <w:spacing w:after="0"/>
              <w:rPr>
                <w:sz w:val="20"/>
                <w:szCs w:val="20"/>
                <w:color w:val="auto"/>
              </w:rPr>
            </w:pPr>
            <w:r>
              <w:rPr>
                <w:rFonts w:ascii="Arial" w:cs="Arial" w:eastAsia="Arial" w:hAnsi="Arial"/>
                <w:sz w:val="18"/>
                <w:szCs w:val="18"/>
                <w:color w:val="auto"/>
              </w:rPr>
              <w:t>Net (gain)/loss on sales</w:t>
            </w:r>
          </w:p>
        </w:tc>
        <w:tc>
          <w:tcPr>
            <w:tcW w:w="760" w:type="dxa"/>
            <w:vAlign w:val="bottom"/>
            <w:gridSpan w:val="2"/>
            <w:shd w:val="clear" w:color="auto" w:fill="F0FFFF"/>
          </w:tcPr>
          <w:p>
            <w:pPr>
              <w:jc w:val="right"/>
              <w:ind w:right="590"/>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w w:val="95"/>
              </w:rPr>
              <w:t>(423)</w:t>
            </w:r>
          </w:p>
        </w:tc>
        <w:tc>
          <w:tcPr>
            <w:tcW w:w="3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2,945</w:t>
            </w:r>
          </w:p>
        </w:tc>
        <w:tc>
          <w:tcPr>
            <w:tcW w:w="4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(944)</w:t>
            </w:r>
          </w:p>
        </w:tc>
        <w:tc>
          <w:tcPr>
            <w:tcW w:w="3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3,050</w:t>
            </w:r>
          </w:p>
        </w:tc>
        <w:tc>
          <w:tcPr>
            <w:tcW w:w="12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Provision for unrealized losses</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2,410</w:t>
            </w:r>
          </w:p>
        </w:tc>
        <w:tc>
          <w:tcPr>
            <w:tcW w:w="1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2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Borders>
              <w:bottom w:val="single" w:sz="8" w:color="F0FFFF"/>
            </w:tcBorders>
            <w:shd w:val="clear" w:color="auto" w:fill="F0FFFF"/>
          </w:tcPr>
          <w:p>
            <w:pPr>
              <w:spacing w:after="0"/>
              <w:rPr>
                <w:sz w:val="19"/>
                <w:szCs w:val="19"/>
                <w:color w:val="auto"/>
              </w:rPr>
            </w:pPr>
          </w:p>
        </w:tc>
        <w:tc>
          <w:tcPr>
            <w:tcW w:w="740" w:type="dxa"/>
            <w:vAlign w:val="bottom"/>
            <w:tcBorders>
              <w:bottom w:val="single" w:sz="8" w:color="auto"/>
            </w:tcBorders>
            <w:shd w:val="clear" w:color="auto" w:fill="F0FFFF"/>
          </w:tcPr>
          <w:p>
            <w:pPr>
              <w:spacing w:after="0"/>
              <w:rPr>
                <w:sz w:val="19"/>
                <w:szCs w:val="19"/>
                <w:color w:val="auto"/>
              </w:rPr>
            </w:pPr>
          </w:p>
        </w:tc>
        <w:tc>
          <w:tcPr>
            <w:tcW w:w="3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F0FFFF"/>
            </w:tcBorders>
            <w:shd w:val="clear" w:color="auto" w:fill="F0FFFF"/>
          </w:tcPr>
          <w:p>
            <w:pPr>
              <w:spacing w:after="0"/>
              <w:rPr>
                <w:sz w:val="19"/>
                <w:szCs w:val="19"/>
                <w:color w:val="auto"/>
              </w:rPr>
            </w:pPr>
          </w:p>
        </w:tc>
        <w:tc>
          <w:tcPr>
            <w:tcW w:w="80" w:type="dxa"/>
            <w:vAlign w:val="bottom"/>
            <w:tcBorders>
              <w:bottom w:val="single" w:sz="8" w:color="F0FFFF"/>
            </w:tcBorders>
            <w:shd w:val="clear" w:color="auto" w:fill="F0FFFF"/>
          </w:tcPr>
          <w:p>
            <w:pPr>
              <w:spacing w:after="0"/>
              <w:rPr>
                <w:sz w:val="19"/>
                <w:szCs w:val="19"/>
                <w:color w:val="auto"/>
              </w:rPr>
            </w:pPr>
          </w:p>
        </w:tc>
        <w:tc>
          <w:tcPr>
            <w:tcW w:w="300" w:type="dxa"/>
            <w:vAlign w:val="bottom"/>
            <w:tcBorders>
              <w:bottom w:val="single" w:sz="8" w:color="auto"/>
            </w:tcBorders>
            <w:shd w:val="clear" w:color="auto" w:fill="F0FFFF"/>
          </w:tcPr>
          <w:p>
            <w:pPr>
              <w:spacing w:after="0"/>
              <w:rPr>
                <w:sz w:val="19"/>
                <w:szCs w:val="19"/>
                <w:color w:val="auto"/>
              </w:rPr>
            </w:pPr>
          </w:p>
        </w:tc>
        <w:tc>
          <w:tcPr>
            <w:tcW w:w="8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837</w:t>
            </w:r>
          </w:p>
        </w:tc>
        <w:tc>
          <w:tcPr>
            <w:tcW w:w="22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auto"/>
            </w:tcBorders>
            <w:shd w:val="clear" w:color="auto" w:fill="F0FFFF"/>
          </w:tcPr>
          <w:p>
            <w:pPr>
              <w:spacing w:after="0"/>
              <w:rPr>
                <w:sz w:val="19"/>
                <w:szCs w:val="19"/>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580</w:t>
            </w:r>
          </w:p>
        </w:tc>
        <w:tc>
          <w:tcPr>
            <w:tcW w:w="140" w:type="dxa"/>
            <w:vAlign w:val="bottom"/>
            <w:tcBorders>
              <w:bottom w:val="single" w:sz="8" w:color="F0FFFF"/>
            </w:tcBorders>
            <w:shd w:val="clear" w:color="auto" w:fill="F0FFFF"/>
          </w:tcPr>
          <w:p>
            <w:pPr>
              <w:spacing w:after="0"/>
              <w:rPr>
                <w:sz w:val="19"/>
                <w:szCs w:val="19"/>
                <w:color w:val="auto"/>
              </w:rPr>
            </w:pPr>
          </w:p>
        </w:tc>
        <w:tc>
          <w:tcPr>
            <w:tcW w:w="80" w:type="dxa"/>
            <w:vAlign w:val="bottom"/>
            <w:tcBorders>
              <w:bottom w:val="single" w:sz="8" w:color="F0FFFF"/>
            </w:tcBorders>
            <w:shd w:val="clear" w:color="auto" w:fill="F0FFFF"/>
          </w:tcPr>
          <w:p>
            <w:pPr>
              <w:spacing w:after="0"/>
              <w:rPr>
                <w:sz w:val="19"/>
                <w:szCs w:val="19"/>
                <w:color w:val="auto"/>
              </w:rPr>
            </w:pPr>
          </w:p>
        </w:tc>
        <w:tc>
          <w:tcPr>
            <w:tcW w:w="300" w:type="dxa"/>
            <w:vAlign w:val="bottom"/>
            <w:tcBorders>
              <w:bottom w:val="single" w:sz="8" w:color="auto"/>
            </w:tcBorders>
            <w:shd w:val="clear" w:color="auto" w:fill="F0FFFF"/>
          </w:tcPr>
          <w:p>
            <w:pPr>
              <w:spacing w:after="0"/>
              <w:rPr>
                <w:sz w:val="19"/>
                <w:szCs w:val="19"/>
                <w:color w:val="auto"/>
              </w:rPr>
            </w:pPr>
          </w:p>
        </w:tc>
        <w:tc>
          <w:tcPr>
            <w:tcW w:w="8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F0FFFF"/>
            </w:tcBorders>
            <w:shd w:val="clear" w:color="auto" w:fill="F0FF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Total foreclosed property expense</w:t>
            </w:r>
          </w:p>
        </w:tc>
        <w:tc>
          <w:tcPr>
            <w:tcW w:w="760" w:type="dxa"/>
            <w:vAlign w:val="bottom"/>
            <w:gridSpan w:val="2"/>
          </w:tcPr>
          <w:p>
            <w:pPr>
              <w:jc w:val="right"/>
              <w:ind w:right="590"/>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5,151</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218</w:t>
            </w:r>
          </w:p>
        </w:tc>
        <w:tc>
          <w:tcPr>
            <w:tcW w:w="14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7,484</w:t>
            </w:r>
          </w:p>
        </w:tc>
        <w:tc>
          <w:tcPr>
            <w:tcW w:w="12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Reclassifications Out of Accumulated Other Comprehensive Income</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The following table presents the details regarding amounts reclassified out of accumulated other comprehensive income for the three and six months ended June 30, 2014 and 2013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940" w:type="dxa"/>
            <w:vAlign w:val="bottom"/>
            <w:gridSpan w:val="9"/>
          </w:tcPr>
          <w:p>
            <w:pPr>
              <w:jc w:val="right"/>
              <w:spacing w:after="0"/>
              <w:rPr>
                <w:sz w:val="20"/>
                <w:szCs w:val="20"/>
                <w:color w:val="auto"/>
              </w:rPr>
            </w:pPr>
            <w:r>
              <w:rPr>
                <w:rFonts w:ascii="Arial" w:cs="Arial" w:eastAsia="Arial" w:hAnsi="Arial"/>
                <w:sz w:val="16"/>
                <w:szCs w:val="16"/>
                <w:b w:val="1"/>
                <w:bCs w:val="1"/>
                <w:color w:val="auto"/>
              </w:rPr>
              <w:t>Amounts Reclassified from Accumulated Other</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6"/>
                <w:szCs w:val="16"/>
                <w:b w:val="1"/>
                <w:bCs w:val="1"/>
                <w:color w:val="auto"/>
                <w:w w:val="93"/>
              </w:rPr>
              <w:t>Comprehensive Income</w:t>
            </w: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20" w:type="dxa"/>
            <w:vAlign w:val="bottom"/>
            <w:gridSpan w:val="5"/>
          </w:tcPr>
          <w:p>
            <w:pPr>
              <w:jc w:val="right"/>
              <w:ind w:right="460"/>
              <w:spacing w:after="0"/>
              <w:rPr>
                <w:sz w:val="20"/>
                <w:szCs w:val="20"/>
                <w:color w:val="auto"/>
              </w:rPr>
            </w:pPr>
            <w:r>
              <w:rPr>
                <w:rFonts w:ascii="Arial" w:cs="Arial" w:eastAsia="Arial" w:hAnsi="Arial"/>
                <w:sz w:val="16"/>
                <w:szCs w:val="16"/>
                <w:b w:val="1"/>
                <w:bCs w:val="1"/>
                <w:color w:val="auto"/>
                <w:w w:val="91"/>
              </w:rPr>
              <w:t>For the three months ended</w:t>
            </w:r>
          </w:p>
        </w:tc>
        <w:tc>
          <w:tcPr>
            <w:tcW w:w="160" w:type="dxa"/>
            <w:vAlign w:val="bottom"/>
          </w:tcPr>
          <w:p>
            <w:pPr>
              <w:spacing w:after="0"/>
              <w:rPr>
                <w:sz w:val="16"/>
                <w:szCs w:val="16"/>
                <w:color w:val="auto"/>
              </w:rPr>
            </w:pPr>
          </w:p>
        </w:tc>
        <w:tc>
          <w:tcPr>
            <w:tcW w:w="2080" w:type="dxa"/>
            <w:vAlign w:val="bottom"/>
            <w:gridSpan w:val="4"/>
          </w:tcPr>
          <w:p>
            <w:pPr>
              <w:jc w:val="right"/>
              <w:ind w:right="179"/>
              <w:spacing w:after="0"/>
              <w:rPr>
                <w:sz w:val="20"/>
                <w:szCs w:val="20"/>
                <w:color w:val="auto"/>
              </w:rPr>
            </w:pPr>
            <w:r>
              <w:rPr>
                <w:rFonts w:ascii="Arial" w:cs="Arial" w:eastAsia="Arial" w:hAnsi="Arial"/>
                <w:sz w:val="16"/>
                <w:szCs w:val="16"/>
                <w:b w:val="1"/>
                <w:bCs w:val="1"/>
                <w:color w:val="auto"/>
                <w:w w:val="92"/>
              </w:rPr>
              <w:t>For the six months ended</w:t>
            </w:r>
          </w:p>
        </w:tc>
        <w:tc>
          <w:tcPr>
            <w:tcW w:w="1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gridSpan w:val="2"/>
          </w:tcPr>
          <w:p>
            <w:pPr>
              <w:ind w:left="660"/>
              <w:spacing w:after="0"/>
              <w:rPr>
                <w:sz w:val="20"/>
                <w:szCs w:val="20"/>
                <w:color w:val="auto"/>
              </w:rPr>
            </w:pPr>
            <w:r>
              <w:rPr>
                <w:rFonts w:ascii="Arial" w:cs="Arial" w:eastAsia="Arial" w:hAnsi="Arial"/>
                <w:sz w:val="16"/>
                <w:szCs w:val="16"/>
                <w:b w:val="1"/>
                <w:bCs w:val="1"/>
                <w:color w:val="auto"/>
              </w:rPr>
              <w:t>Details about Accumulated Other</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6"/>
                <w:szCs w:val="16"/>
                <w:b w:val="1"/>
                <w:bCs w:val="1"/>
                <w:color w:val="auto"/>
              </w:rPr>
              <w:t>June 30,</w:t>
            </w:r>
          </w:p>
        </w:tc>
        <w:tc>
          <w:tcPr>
            <w:tcW w:w="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ind w:left="120"/>
              <w:spacing w:after="0"/>
              <w:rPr>
                <w:sz w:val="20"/>
                <w:szCs w:val="20"/>
                <w:color w:val="auto"/>
              </w:rPr>
            </w:pPr>
            <w:r>
              <w:rPr>
                <w:rFonts w:ascii="Arial" w:cs="Arial" w:eastAsia="Arial" w:hAnsi="Arial"/>
                <w:sz w:val="16"/>
                <w:szCs w:val="16"/>
                <w:b w:val="1"/>
                <w:bCs w:val="1"/>
                <w:color w:val="auto"/>
                <w:w w:val="96"/>
              </w:rPr>
              <w:t>Affected Line Item in the Statement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60" w:type="dxa"/>
            <w:vAlign w:val="bottom"/>
            <w:gridSpan w:val="2"/>
          </w:tcPr>
          <w:p>
            <w:pPr>
              <w:ind w:left="540"/>
              <w:spacing w:after="0"/>
              <w:rPr>
                <w:sz w:val="20"/>
                <w:szCs w:val="20"/>
                <w:color w:val="auto"/>
              </w:rPr>
            </w:pPr>
            <w:r>
              <w:rPr>
                <w:rFonts w:ascii="Arial" w:cs="Arial" w:eastAsia="Arial" w:hAnsi="Arial"/>
                <w:sz w:val="16"/>
                <w:szCs w:val="16"/>
                <w:b w:val="1"/>
                <w:bCs w:val="1"/>
                <w:color w:val="auto"/>
              </w:rPr>
              <w:t>Comprehensive Income Components</w:t>
            </w:r>
          </w:p>
        </w:tc>
        <w:tc>
          <w:tcPr>
            <w:tcW w:w="140" w:type="dxa"/>
            <w:vAlign w:val="bottom"/>
          </w:tcPr>
          <w:p>
            <w:pPr>
              <w:spacing w:after="0"/>
              <w:rPr>
                <w:sz w:val="18"/>
                <w:szCs w:val="18"/>
                <w:color w:val="auto"/>
              </w:rPr>
            </w:pPr>
          </w:p>
        </w:tc>
        <w:tc>
          <w:tcPr>
            <w:tcW w:w="900" w:type="dxa"/>
            <w:vAlign w:val="bottom"/>
          </w:tcPr>
          <w:p>
            <w:pPr>
              <w:jc w:val="right"/>
              <w:ind w:right="259"/>
              <w:spacing w:after="0"/>
              <w:rPr>
                <w:sz w:val="20"/>
                <w:szCs w:val="20"/>
                <w:color w:val="auto"/>
              </w:rPr>
            </w:pPr>
            <w:r>
              <w:rPr>
                <w:rFonts w:ascii="Arial" w:cs="Arial" w:eastAsia="Arial" w:hAnsi="Arial"/>
                <w:sz w:val="16"/>
                <w:szCs w:val="16"/>
                <w:b w:val="1"/>
                <w:bCs w:val="1"/>
                <w:color w:val="auto"/>
              </w:rPr>
              <w:t>2014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ind w:right="279"/>
              <w:spacing w:after="0"/>
              <w:rPr>
                <w:sz w:val="20"/>
                <w:szCs w:val="20"/>
                <w:color w:val="auto"/>
              </w:rPr>
            </w:pPr>
            <w:r>
              <w:rPr>
                <w:rFonts w:ascii="Arial" w:cs="Arial" w:eastAsia="Arial" w:hAnsi="Arial"/>
                <w:sz w:val="16"/>
                <w:szCs w:val="16"/>
                <w:b w:val="1"/>
                <w:bCs w:val="1"/>
                <w:color w:val="auto"/>
              </w:rPr>
              <w:t>2013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259"/>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ind w:right="25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2720" w:type="dxa"/>
            <w:vAlign w:val="bottom"/>
          </w:tcPr>
          <w:p>
            <w:pPr>
              <w:ind w:left="260"/>
              <w:spacing w:after="0"/>
              <w:rPr>
                <w:sz w:val="20"/>
                <w:szCs w:val="20"/>
                <w:color w:val="auto"/>
              </w:rPr>
            </w:pPr>
            <w:r>
              <w:rPr>
                <w:rFonts w:ascii="Arial" w:cs="Arial" w:eastAsia="Arial" w:hAnsi="Arial"/>
                <w:sz w:val="16"/>
                <w:szCs w:val="16"/>
                <w:b w:val="1"/>
                <w:bCs w:val="1"/>
                <w:color w:val="auto"/>
              </w:rPr>
              <w:t>Where Net Income is Presented</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60" w:type="dxa"/>
            <w:vAlign w:val="bottom"/>
            <w:gridSpan w:val="2"/>
            <w:shd w:val="clear" w:color="auto" w:fill="F0FFFF"/>
          </w:tcPr>
          <w:p>
            <w:pPr>
              <w:spacing w:after="0"/>
              <w:rPr>
                <w:sz w:val="20"/>
                <w:szCs w:val="20"/>
                <w:color w:val="auto"/>
              </w:rPr>
            </w:pPr>
            <w:r>
              <w:rPr>
                <w:rFonts w:ascii="Arial" w:cs="Arial" w:eastAsia="Arial" w:hAnsi="Arial"/>
                <w:sz w:val="16"/>
                <w:szCs w:val="16"/>
                <w:color w:val="auto"/>
                <w:w w:val="96"/>
              </w:rPr>
              <w:t>Realized gains on sales of available-for-sale securities:</w:t>
            </w:r>
          </w:p>
        </w:tc>
        <w:tc>
          <w:tcPr>
            <w:tcW w:w="14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6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7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4,435</w:t>
            </w:r>
          </w:p>
        </w:tc>
        <w:tc>
          <w:tcPr>
            <w:tcW w:w="26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4,652</w:t>
            </w:r>
          </w:p>
        </w:tc>
        <w:tc>
          <w:tcPr>
            <w:tcW w:w="220" w:type="dxa"/>
            <w:vAlign w:val="bottom"/>
          </w:tcPr>
          <w:p>
            <w:pPr>
              <w:spacing w:after="0"/>
              <w:rPr>
                <w:sz w:val="17"/>
                <w:szCs w:val="17"/>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116</w:t>
            </w:r>
          </w:p>
        </w:tc>
        <w:tc>
          <w:tcPr>
            <w:tcW w:w="2720" w:type="dxa"/>
            <w:vAlign w:val="bottom"/>
          </w:tcPr>
          <w:p>
            <w:pPr>
              <w:spacing w:after="0"/>
              <w:rPr>
                <w:sz w:val="20"/>
                <w:szCs w:val="20"/>
                <w:color w:val="auto"/>
              </w:rPr>
            </w:pPr>
            <w:r>
              <w:rPr>
                <w:rFonts w:ascii="Arial" w:cs="Arial" w:eastAsia="Arial" w:hAnsi="Arial"/>
                <w:sz w:val="16"/>
                <w:szCs w:val="16"/>
                <w:color w:val="auto"/>
              </w:rPr>
              <w:t>Securities gains, net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(1,725)</w:t>
            </w:r>
          </w:p>
        </w:tc>
        <w:tc>
          <w:tcPr>
            <w:tcW w:w="2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(1,817)</w:t>
            </w:r>
          </w:p>
        </w:tc>
        <w:tc>
          <w:tcPr>
            <w:tcW w:w="280" w:type="dxa"/>
            <w:vAlign w:val="bottom"/>
            <w:shd w:val="clear" w:color="auto" w:fill="F0FFFF"/>
          </w:tcPr>
          <w:p>
            <w:pPr>
              <w:spacing w:after="0"/>
              <w:rPr>
                <w:sz w:val="18"/>
                <w:szCs w:val="18"/>
                <w:color w:val="auto"/>
              </w:rPr>
            </w:pPr>
          </w:p>
        </w:tc>
        <w:tc>
          <w:tcPr>
            <w:tcW w:w="84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(45)</w:t>
            </w:r>
          </w:p>
        </w:tc>
        <w:tc>
          <w:tcPr>
            <w:tcW w:w="2720" w:type="dxa"/>
            <w:vAlign w:val="bottom"/>
            <w:shd w:val="clear" w:color="auto" w:fill="F0FFFF"/>
          </w:tcPr>
          <w:p>
            <w:pPr>
              <w:spacing w:after="0"/>
              <w:rPr>
                <w:sz w:val="20"/>
                <w:szCs w:val="20"/>
                <w:color w:val="auto"/>
              </w:rPr>
            </w:pPr>
            <w:r>
              <w:rPr>
                <w:rFonts w:ascii="Arial" w:cs="Arial" w:eastAsia="Arial" w:hAnsi="Arial"/>
                <w:sz w:val="16"/>
                <w:szCs w:val="16"/>
                <w:color w:val="auto"/>
              </w:rPr>
              <w:t>Tax expense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tcBorders>
              <w:top w:val="single" w:sz="8" w:color="F0FFFF"/>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2,710</w:t>
            </w:r>
          </w:p>
        </w:tc>
        <w:tc>
          <w:tcPr>
            <w:tcW w:w="260" w:type="dxa"/>
            <w:vAlign w:val="bottom"/>
            <w:tcBorders>
              <w:top w:val="single" w:sz="8" w:color="F0FF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F0FFFF"/>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2,835</w:t>
            </w:r>
          </w:p>
        </w:tc>
        <w:tc>
          <w:tcPr>
            <w:tcW w:w="220" w:type="dxa"/>
            <w:vAlign w:val="bottom"/>
            <w:tcBorders>
              <w:top w:val="single" w:sz="8" w:color="F0FFFF"/>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20" w:type="dxa"/>
            <w:vAlign w:val="bottom"/>
            <w:tcBorders>
              <w:top w:val="single" w:sz="8" w:color="F0FFFF"/>
            </w:tcBorders>
          </w:tcPr>
          <w:p>
            <w:pPr>
              <w:spacing w:after="0"/>
              <w:rPr>
                <w:sz w:val="17"/>
                <w:szCs w:val="17"/>
                <w:color w:val="auto"/>
              </w:rPr>
            </w:pPr>
          </w:p>
        </w:tc>
        <w:tc>
          <w:tcPr>
            <w:tcW w:w="2720" w:type="dxa"/>
            <w:vAlign w:val="bottom"/>
            <w:tcBorders>
              <w:top w:val="single" w:sz="8" w:color="F0FFFF"/>
            </w:tcBorders>
          </w:tcPr>
          <w:p>
            <w:pPr>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640" w:type="dxa"/>
            <w:vAlign w:val="bottom"/>
            <w:shd w:val="clear" w:color="auto" w:fill="F0FFFF"/>
          </w:tcPr>
          <w:p>
            <w:pPr>
              <w:spacing w:after="0"/>
              <w:rPr>
                <w:sz w:val="17"/>
                <w:szCs w:val="17"/>
                <w:color w:val="auto"/>
              </w:rPr>
            </w:pPr>
          </w:p>
        </w:tc>
        <w:tc>
          <w:tcPr>
            <w:tcW w:w="1160" w:type="dxa"/>
            <w:vAlign w:val="bottom"/>
            <w:gridSpan w:val="3"/>
            <w:shd w:val="clear" w:color="auto" w:fill="F0FFFF"/>
          </w:tcPr>
          <w:p>
            <w:pPr>
              <w:spacing w:after="0"/>
              <w:rPr>
                <w:sz w:val="17"/>
                <w:szCs w:val="17"/>
                <w:color w:val="auto"/>
              </w:rPr>
            </w:pPr>
          </w:p>
        </w:tc>
        <w:tc>
          <w:tcPr>
            <w:tcW w:w="1300" w:type="dxa"/>
            <w:vAlign w:val="bottom"/>
            <w:gridSpan w:val="3"/>
            <w:shd w:val="clear" w:color="auto" w:fill="F0FFFF"/>
          </w:tcPr>
          <w:p>
            <w:pPr>
              <w:spacing w:after="0"/>
              <w:rPr>
                <w:sz w:val="17"/>
                <w:szCs w:val="17"/>
                <w:color w:val="auto"/>
              </w:rPr>
            </w:pPr>
          </w:p>
        </w:tc>
        <w:tc>
          <w:tcPr>
            <w:tcW w:w="1240" w:type="dxa"/>
            <w:vAlign w:val="bottom"/>
            <w:gridSpan w:val="3"/>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7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60" w:type="dxa"/>
            <w:vAlign w:val="bottom"/>
            <w:gridSpan w:val="11"/>
          </w:tcPr>
          <w:p>
            <w:pPr>
              <w:spacing w:after="0"/>
              <w:rPr>
                <w:sz w:val="20"/>
                <w:szCs w:val="20"/>
                <w:color w:val="auto"/>
              </w:rPr>
            </w:pPr>
            <w:r>
              <w:rPr>
                <w:rFonts w:ascii="Arial" w:cs="Arial" w:eastAsia="Arial" w:hAnsi="Arial"/>
                <w:sz w:val="16"/>
                <w:szCs w:val="16"/>
                <w:color w:val="auto"/>
                <w:w w:val="92"/>
              </w:rPr>
              <w:t>Amortization of (losses) gains included in net income on available-for-sale securities transferred to held to maturity:</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(409)</w:t>
            </w:r>
          </w:p>
        </w:tc>
        <w:tc>
          <w:tcPr>
            <w:tcW w:w="220" w:type="dxa"/>
            <w:vAlign w:val="bottom"/>
            <w:shd w:val="clear" w:color="auto" w:fill="F0FFFF"/>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271</w:t>
            </w:r>
          </w:p>
        </w:tc>
        <w:tc>
          <w:tcPr>
            <w:tcW w:w="220" w:type="dxa"/>
            <w:vAlign w:val="bottom"/>
            <w:shd w:val="clear" w:color="auto" w:fill="F0FFFF"/>
          </w:tcPr>
          <w:p>
            <w:pPr>
              <w:spacing w:after="0"/>
              <w:rPr>
                <w:sz w:val="17"/>
                <w:szCs w:val="17"/>
                <w:color w:val="auto"/>
              </w:rPr>
            </w:pPr>
          </w:p>
        </w:tc>
        <w:tc>
          <w:tcPr>
            <w:tcW w:w="16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(739)</w:t>
            </w:r>
          </w:p>
        </w:tc>
        <w:tc>
          <w:tcPr>
            <w:tcW w:w="280" w:type="dxa"/>
            <w:vAlign w:val="bottom"/>
            <w:shd w:val="clear" w:color="auto" w:fill="F0FFFF"/>
          </w:tcPr>
          <w:p>
            <w:pPr>
              <w:jc w:val="right"/>
              <w:ind w:right="1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590</w:t>
            </w:r>
          </w:p>
        </w:tc>
        <w:tc>
          <w:tcPr>
            <w:tcW w:w="120" w:type="dxa"/>
            <w:vAlign w:val="bottom"/>
            <w:shd w:val="clear" w:color="auto" w:fill="F0FFFF"/>
          </w:tcPr>
          <w:p>
            <w:pPr>
              <w:spacing w:after="0"/>
              <w:rPr>
                <w:sz w:val="17"/>
                <w:szCs w:val="17"/>
                <w:color w:val="auto"/>
              </w:rPr>
            </w:pPr>
          </w:p>
        </w:tc>
        <w:tc>
          <w:tcPr>
            <w:tcW w:w="2720" w:type="dxa"/>
            <w:vAlign w:val="bottom"/>
            <w:shd w:val="clear" w:color="auto" w:fill="F0FFFF"/>
          </w:tcPr>
          <w:p>
            <w:pPr>
              <w:spacing w:after="0"/>
              <w:rPr>
                <w:sz w:val="20"/>
                <w:szCs w:val="20"/>
                <w:color w:val="auto"/>
              </w:rPr>
            </w:pPr>
            <w:r>
              <w:rPr>
                <w:rFonts w:ascii="Arial" w:cs="Arial" w:eastAsia="Arial" w:hAnsi="Arial"/>
                <w:sz w:val="16"/>
                <w:szCs w:val="16"/>
                <w:color w:val="auto"/>
              </w:rPr>
              <w:t>Investment securities interest revenue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154</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(103)</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277</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(227)</w:t>
            </w:r>
          </w:p>
        </w:tc>
        <w:tc>
          <w:tcPr>
            <w:tcW w:w="2720" w:type="dxa"/>
            <w:vAlign w:val="bottom"/>
          </w:tcPr>
          <w:p>
            <w:pPr>
              <w:spacing w:after="0"/>
              <w:rPr>
                <w:sz w:val="20"/>
                <w:szCs w:val="20"/>
                <w:color w:val="auto"/>
              </w:rPr>
            </w:pPr>
            <w:r>
              <w:rPr>
                <w:rFonts w:ascii="Arial" w:cs="Arial" w:eastAsia="Arial" w:hAnsi="Arial"/>
                <w:sz w:val="16"/>
                <w:szCs w:val="16"/>
                <w:color w:val="auto"/>
              </w:rPr>
              <w:t>Tax benefit (expense)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364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(255)</w:t>
            </w:r>
          </w:p>
        </w:tc>
        <w:tc>
          <w:tcPr>
            <w:tcW w:w="220" w:type="dxa"/>
            <w:vAlign w:val="bottom"/>
            <w:shd w:val="clear" w:color="auto" w:fill="F0FFFF"/>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168</w:t>
            </w:r>
          </w:p>
        </w:tc>
        <w:tc>
          <w:tcPr>
            <w:tcW w:w="220" w:type="dxa"/>
            <w:vAlign w:val="bottom"/>
            <w:shd w:val="clear" w:color="auto" w:fill="F0FFFF"/>
          </w:tcPr>
          <w:p>
            <w:pPr>
              <w:spacing w:after="0"/>
              <w:rPr>
                <w:sz w:val="21"/>
                <w:szCs w:val="21"/>
                <w:color w:val="auto"/>
              </w:rPr>
            </w:pPr>
          </w:p>
        </w:tc>
        <w:tc>
          <w:tcPr>
            <w:tcW w:w="16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(462)</w:t>
            </w:r>
          </w:p>
        </w:tc>
        <w:tc>
          <w:tcPr>
            <w:tcW w:w="280" w:type="dxa"/>
            <w:vAlign w:val="bottom"/>
            <w:shd w:val="clear" w:color="auto" w:fill="F0FFFF"/>
          </w:tcPr>
          <w:p>
            <w:pPr>
              <w:jc w:val="right"/>
              <w:ind w:right="124"/>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363</w:t>
            </w:r>
          </w:p>
        </w:tc>
        <w:tc>
          <w:tcPr>
            <w:tcW w:w="120" w:type="dxa"/>
            <w:vAlign w:val="bottom"/>
            <w:shd w:val="clear" w:color="auto" w:fill="F0FFFF"/>
          </w:tcPr>
          <w:p>
            <w:pPr>
              <w:spacing w:after="0"/>
              <w:rPr>
                <w:sz w:val="21"/>
                <w:szCs w:val="21"/>
                <w:color w:val="auto"/>
              </w:rPr>
            </w:pPr>
          </w:p>
        </w:tc>
        <w:tc>
          <w:tcPr>
            <w:tcW w:w="2720" w:type="dxa"/>
            <w:vAlign w:val="bottom"/>
            <w:shd w:val="clear" w:color="auto" w:fill="F0FFFF"/>
          </w:tcPr>
          <w:p>
            <w:pPr>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640" w:type="dxa"/>
            <w:vAlign w:val="bottom"/>
            <w:tcBorders>
              <w:top w:val="single" w:sz="8" w:color="F0FFFF"/>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1040" w:type="dxa"/>
            <w:vAlign w:val="bottom"/>
            <w:tcBorders>
              <w:top w:val="single" w:sz="8" w:color="auto"/>
            </w:tcBorders>
            <w:gridSpan w:val="2"/>
          </w:tcPr>
          <w:p>
            <w:pPr>
              <w:spacing w:after="0"/>
              <w:rPr>
                <w:sz w:val="17"/>
                <w:szCs w:val="17"/>
                <w:color w:val="auto"/>
              </w:rPr>
            </w:pPr>
          </w:p>
        </w:tc>
        <w:tc>
          <w:tcPr>
            <w:tcW w:w="260" w:type="dxa"/>
            <w:vAlign w:val="bottom"/>
            <w:tcBorders>
              <w:top w:val="single" w:sz="8" w:color="F0FFFF"/>
            </w:tcBorders>
          </w:tcPr>
          <w:p>
            <w:pPr>
              <w:spacing w:after="0"/>
              <w:rPr>
                <w:sz w:val="17"/>
                <w:szCs w:val="17"/>
                <w:color w:val="auto"/>
              </w:rPr>
            </w:pPr>
          </w:p>
        </w:tc>
        <w:tc>
          <w:tcPr>
            <w:tcW w:w="1040" w:type="dxa"/>
            <w:vAlign w:val="bottom"/>
            <w:tcBorders>
              <w:top w:val="single" w:sz="8" w:color="auto"/>
            </w:tcBorders>
            <w:gridSpan w:val="2"/>
          </w:tcPr>
          <w:p>
            <w:pPr>
              <w:spacing w:after="0"/>
              <w:rPr>
                <w:sz w:val="17"/>
                <w:szCs w:val="17"/>
                <w:color w:val="auto"/>
              </w:rPr>
            </w:pPr>
          </w:p>
        </w:tc>
        <w:tc>
          <w:tcPr>
            <w:tcW w:w="220" w:type="dxa"/>
            <w:vAlign w:val="bottom"/>
            <w:tcBorders>
              <w:top w:val="single" w:sz="8" w:color="F0FFFF"/>
            </w:tcBorders>
          </w:tcPr>
          <w:p>
            <w:pPr>
              <w:spacing w:after="0"/>
              <w:rPr>
                <w:sz w:val="17"/>
                <w:szCs w:val="17"/>
                <w:color w:val="auto"/>
              </w:rPr>
            </w:pPr>
          </w:p>
        </w:tc>
        <w:tc>
          <w:tcPr>
            <w:tcW w:w="1020" w:type="dxa"/>
            <w:vAlign w:val="bottom"/>
            <w:tcBorders>
              <w:top w:val="single" w:sz="8" w:color="auto"/>
            </w:tcBorders>
            <w:gridSpan w:val="2"/>
          </w:tcPr>
          <w:p>
            <w:pPr>
              <w:spacing w:after="0"/>
              <w:rPr>
                <w:sz w:val="17"/>
                <w:szCs w:val="17"/>
                <w:color w:val="auto"/>
              </w:rPr>
            </w:pPr>
          </w:p>
        </w:tc>
        <w:tc>
          <w:tcPr>
            <w:tcW w:w="220" w:type="dxa"/>
            <w:vAlign w:val="bottom"/>
            <w:tcBorders>
              <w:top w:val="single" w:sz="8" w:color="F0FF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272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60" w:type="dxa"/>
            <w:vAlign w:val="bottom"/>
            <w:gridSpan w:val="11"/>
            <w:shd w:val="clear" w:color="auto" w:fill="F0FFFF"/>
          </w:tcPr>
          <w:p>
            <w:pPr>
              <w:spacing w:after="0"/>
              <w:rPr>
                <w:sz w:val="20"/>
                <w:szCs w:val="20"/>
                <w:color w:val="auto"/>
              </w:rPr>
            </w:pPr>
            <w:r>
              <w:rPr>
                <w:rFonts w:ascii="Arial" w:cs="Arial" w:eastAsia="Arial" w:hAnsi="Arial"/>
                <w:sz w:val="16"/>
                <w:szCs w:val="16"/>
                <w:color w:val="auto"/>
              </w:rPr>
              <w:t>Amounts included in net income on derivative financial instruments accounted for as cash flow hedges:</w:t>
            </w:r>
          </w:p>
        </w:tc>
        <w:tc>
          <w:tcPr>
            <w:tcW w:w="28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7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ind w:left="160"/>
              <w:spacing w:after="0"/>
              <w:rPr>
                <w:sz w:val="20"/>
                <w:szCs w:val="20"/>
                <w:color w:val="auto"/>
              </w:rPr>
            </w:pPr>
            <w:r>
              <w:rPr>
                <w:rFonts w:ascii="Arial" w:cs="Arial" w:eastAsia="Arial" w:hAnsi="Arial"/>
                <w:sz w:val="16"/>
                <w:szCs w:val="16"/>
                <w:color w:val="auto"/>
              </w:rPr>
              <w:t>Effective portion of interest rate contracts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303</w:t>
            </w:r>
          </w:p>
        </w:tc>
        <w:tc>
          <w:tcPr>
            <w:tcW w:w="2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840</w:t>
            </w:r>
          </w:p>
        </w:tc>
        <w:tc>
          <w:tcPr>
            <w:tcW w:w="120" w:type="dxa"/>
            <w:vAlign w:val="bottom"/>
          </w:tcPr>
          <w:p>
            <w:pPr>
              <w:spacing w:after="0"/>
              <w:rPr>
                <w:sz w:val="17"/>
                <w:szCs w:val="17"/>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Loan interest revenue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F0FFFF"/>
          </w:tcPr>
          <w:p>
            <w:pPr>
              <w:ind w:left="160"/>
              <w:spacing w:after="0"/>
              <w:rPr>
                <w:sz w:val="20"/>
                <w:szCs w:val="20"/>
                <w:color w:val="auto"/>
              </w:rPr>
            </w:pPr>
            <w:r>
              <w:rPr>
                <w:rFonts w:ascii="Arial" w:cs="Arial" w:eastAsia="Arial" w:hAnsi="Arial"/>
                <w:sz w:val="16"/>
                <w:szCs w:val="16"/>
                <w:color w:val="auto"/>
              </w:rPr>
              <w:t>Effective portion of interest rate contracts</w:t>
            </w:r>
          </w:p>
        </w:tc>
        <w:tc>
          <w:tcPr>
            <w:tcW w:w="140" w:type="dxa"/>
            <w:vAlign w:val="bottom"/>
            <w:shd w:val="clear" w:color="auto" w:fill="F0FFFF"/>
          </w:tcPr>
          <w:p>
            <w:pPr>
              <w:spacing w:after="0"/>
              <w:rPr>
                <w:sz w:val="17"/>
                <w:szCs w:val="17"/>
                <w:color w:val="auto"/>
              </w:rPr>
            </w:pPr>
          </w:p>
        </w:tc>
        <w:tc>
          <w:tcPr>
            <w:tcW w:w="116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(350)</w:t>
            </w:r>
          </w:p>
        </w:tc>
        <w:tc>
          <w:tcPr>
            <w:tcW w:w="220" w:type="dxa"/>
            <w:vAlign w:val="bottom"/>
            <w:shd w:val="clear" w:color="auto" w:fill="F0FFFF"/>
          </w:tcPr>
          <w:p>
            <w:pPr>
              <w:spacing w:after="0"/>
              <w:rPr>
                <w:sz w:val="17"/>
                <w:szCs w:val="17"/>
                <w:color w:val="auto"/>
              </w:rPr>
            </w:pPr>
          </w:p>
        </w:tc>
        <w:tc>
          <w:tcPr>
            <w:tcW w:w="8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08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(447)</w:t>
            </w:r>
          </w:p>
        </w:tc>
        <w:tc>
          <w:tcPr>
            <w:tcW w:w="280" w:type="dxa"/>
            <w:vAlign w:val="bottom"/>
            <w:shd w:val="clear" w:color="auto" w:fill="F0FFFF"/>
          </w:tcPr>
          <w:p>
            <w:pPr>
              <w:spacing w:after="0"/>
              <w:rPr>
                <w:sz w:val="17"/>
                <w:szCs w:val="17"/>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F0FFFF"/>
          </w:tcPr>
          <w:p>
            <w:pPr>
              <w:spacing w:after="0"/>
              <w:rPr>
                <w:sz w:val="17"/>
                <w:szCs w:val="17"/>
                <w:color w:val="auto"/>
              </w:rPr>
            </w:pPr>
          </w:p>
        </w:tc>
        <w:tc>
          <w:tcPr>
            <w:tcW w:w="2720" w:type="dxa"/>
            <w:vAlign w:val="bottom"/>
            <w:shd w:val="clear" w:color="auto" w:fill="F0FFFF"/>
          </w:tcPr>
          <w:p>
            <w:pPr>
              <w:spacing w:after="0"/>
              <w:rPr>
                <w:sz w:val="20"/>
                <w:szCs w:val="20"/>
                <w:color w:val="auto"/>
              </w:rPr>
            </w:pPr>
            <w:r>
              <w:rPr>
                <w:rFonts w:ascii="Arial" w:cs="Arial" w:eastAsia="Arial" w:hAnsi="Arial"/>
                <w:sz w:val="16"/>
                <w:szCs w:val="16"/>
                <w:color w:val="auto"/>
              </w:rPr>
              <w:t>Brokered deposit interest expense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ind w:left="160"/>
              <w:spacing w:after="0"/>
              <w:rPr>
                <w:sz w:val="20"/>
                <w:szCs w:val="20"/>
                <w:color w:val="auto"/>
              </w:rPr>
            </w:pPr>
            <w:r>
              <w:rPr>
                <w:rFonts w:ascii="Arial" w:cs="Arial" w:eastAsia="Arial" w:hAnsi="Arial"/>
                <w:sz w:val="16"/>
                <w:szCs w:val="16"/>
                <w:color w:val="auto"/>
              </w:rPr>
              <w:t>Amortization of losses on de-designated positions</w:t>
            </w:r>
          </w:p>
        </w:tc>
        <w:tc>
          <w:tcPr>
            <w:tcW w:w="14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(24)</w:t>
            </w:r>
          </w:p>
        </w:tc>
        <w:tc>
          <w:tcPr>
            <w:tcW w:w="22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(24)</w:t>
            </w:r>
          </w:p>
        </w:tc>
        <w:tc>
          <w:tcPr>
            <w:tcW w:w="2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720" w:type="dxa"/>
            <w:vAlign w:val="bottom"/>
          </w:tcPr>
          <w:p>
            <w:pPr>
              <w:spacing w:after="0"/>
              <w:rPr>
                <w:sz w:val="20"/>
                <w:szCs w:val="20"/>
                <w:color w:val="auto"/>
              </w:rPr>
            </w:pPr>
            <w:r>
              <w:rPr>
                <w:rFonts w:ascii="Arial" w:cs="Arial" w:eastAsia="Arial" w:hAnsi="Arial"/>
                <w:sz w:val="16"/>
                <w:szCs w:val="16"/>
                <w:color w:val="auto"/>
                <w:w w:val="96"/>
              </w:rPr>
              <w:t>Money market deposit interest expense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F0FFFF"/>
          </w:tcPr>
          <w:p>
            <w:pPr>
              <w:ind w:left="160"/>
              <w:spacing w:after="0"/>
              <w:rPr>
                <w:sz w:val="20"/>
                <w:szCs w:val="20"/>
                <w:color w:val="auto"/>
              </w:rPr>
            </w:pPr>
            <w:r>
              <w:rPr>
                <w:rFonts w:ascii="Arial" w:cs="Arial" w:eastAsia="Arial" w:hAnsi="Arial"/>
                <w:sz w:val="16"/>
                <w:szCs w:val="16"/>
                <w:color w:val="auto"/>
              </w:rPr>
              <w:t>Amortization of losses on de-designated positions</w:t>
            </w:r>
          </w:p>
        </w:tc>
        <w:tc>
          <w:tcPr>
            <w:tcW w:w="140" w:type="dxa"/>
            <w:vAlign w:val="bottom"/>
            <w:shd w:val="clear" w:color="auto" w:fill="F0FFFF"/>
          </w:tcPr>
          <w:p>
            <w:pPr>
              <w:spacing w:after="0"/>
              <w:rPr>
                <w:sz w:val="17"/>
                <w:szCs w:val="17"/>
                <w:color w:val="auto"/>
              </w:rPr>
            </w:pPr>
          </w:p>
        </w:tc>
        <w:tc>
          <w:tcPr>
            <w:tcW w:w="116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(199)</w:t>
            </w:r>
          </w:p>
        </w:tc>
        <w:tc>
          <w:tcPr>
            <w:tcW w:w="22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F0FFFF"/>
          </w:tcPr>
          <w:p>
            <w:pPr>
              <w:spacing w:after="0"/>
              <w:rPr>
                <w:sz w:val="17"/>
                <w:szCs w:val="17"/>
                <w:color w:val="auto"/>
              </w:rPr>
            </w:pPr>
          </w:p>
        </w:tc>
        <w:tc>
          <w:tcPr>
            <w:tcW w:w="108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(199)</w:t>
            </w:r>
          </w:p>
        </w:tc>
        <w:tc>
          <w:tcPr>
            <w:tcW w:w="280" w:type="dxa"/>
            <w:vAlign w:val="bottom"/>
            <w:shd w:val="clear" w:color="auto" w:fill="F0FFFF"/>
          </w:tcPr>
          <w:p>
            <w:pPr>
              <w:spacing w:after="0"/>
              <w:rPr>
                <w:sz w:val="17"/>
                <w:szCs w:val="17"/>
                <w:color w:val="auto"/>
              </w:rPr>
            </w:pPr>
          </w:p>
        </w:tc>
        <w:tc>
          <w:tcPr>
            <w:tcW w:w="84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2720" w:type="dxa"/>
            <w:vAlign w:val="bottom"/>
            <w:shd w:val="clear" w:color="auto" w:fill="F0FFFF"/>
          </w:tcPr>
          <w:p>
            <w:pPr>
              <w:spacing w:after="0"/>
              <w:rPr>
                <w:sz w:val="20"/>
                <w:szCs w:val="20"/>
                <w:color w:val="auto"/>
              </w:rPr>
            </w:pPr>
            <w:r>
              <w:rPr>
                <w:rFonts w:ascii="Arial" w:cs="Arial" w:eastAsia="Arial" w:hAnsi="Arial"/>
                <w:sz w:val="16"/>
                <w:szCs w:val="16"/>
                <w:color w:val="auto"/>
              </w:rPr>
              <w:t>Brokered deposit interest expense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4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7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(573)</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(670)</w:t>
            </w: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844</w:t>
            </w:r>
          </w:p>
        </w:tc>
        <w:tc>
          <w:tcPr>
            <w:tcW w:w="120" w:type="dxa"/>
            <w:vAlign w:val="bottom"/>
          </w:tcPr>
          <w:p>
            <w:pPr>
              <w:spacing w:after="0"/>
              <w:rPr>
                <w:sz w:val="17"/>
                <w:szCs w:val="17"/>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Total before tax</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223</w:t>
            </w:r>
          </w:p>
        </w:tc>
        <w:tc>
          <w:tcPr>
            <w:tcW w:w="26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(119)</w:t>
            </w:r>
          </w:p>
        </w:tc>
        <w:tc>
          <w:tcPr>
            <w:tcW w:w="160" w:type="dxa"/>
            <w:vAlign w:val="bottom"/>
            <w:shd w:val="clear" w:color="auto" w:fill="F0FFFF"/>
          </w:tcPr>
          <w:p>
            <w:pPr>
              <w:spacing w:after="0"/>
              <w:rPr>
                <w:sz w:val="17"/>
                <w:szCs w:val="17"/>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261</w:t>
            </w:r>
          </w:p>
        </w:tc>
        <w:tc>
          <w:tcPr>
            <w:tcW w:w="22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84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(328)</w:t>
            </w:r>
          </w:p>
        </w:tc>
        <w:tc>
          <w:tcPr>
            <w:tcW w:w="2720" w:type="dxa"/>
            <w:vAlign w:val="bottom"/>
            <w:shd w:val="clear" w:color="auto" w:fill="F0FFFF"/>
          </w:tcPr>
          <w:p>
            <w:pPr>
              <w:spacing w:after="0"/>
              <w:rPr>
                <w:sz w:val="20"/>
                <w:szCs w:val="20"/>
                <w:color w:val="auto"/>
              </w:rPr>
            </w:pPr>
            <w:r>
              <w:rPr>
                <w:rFonts w:ascii="Arial" w:cs="Arial" w:eastAsia="Arial" w:hAnsi="Arial"/>
                <w:sz w:val="16"/>
                <w:szCs w:val="16"/>
                <w:color w:val="auto"/>
              </w:rPr>
              <w:t>Tax or benefit (expense)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4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7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(350)</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187</w:t>
            </w:r>
          </w:p>
        </w:tc>
        <w:tc>
          <w:tcPr>
            <w:tcW w:w="2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(409)</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516</w:t>
            </w:r>
          </w:p>
        </w:tc>
        <w:tc>
          <w:tcPr>
            <w:tcW w:w="120" w:type="dxa"/>
            <w:vAlign w:val="bottom"/>
          </w:tcPr>
          <w:p>
            <w:pPr>
              <w:spacing w:after="0"/>
              <w:rPr>
                <w:sz w:val="17"/>
                <w:szCs w:val="17"/>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640" w:type="dxa"/>
            <w:vAlign w:val="bottom"/>
            <w:shd w:val="clear" w:color="auto" w:fill="F0FFFF"/>
          </w:tcPr>
          <w:p>
            <w:pPr>
              <w:spacing w:after="0"/>
              <w:rPr>
                <w:sz w:val="17"/>
                <w:szCs w:val="17"/>
                <w:color w:val="auto"/>
              </w:rPr>
            </w:pPr>
          </w:p>
        </w:tc>
        <w:tc>
          <w:tcPr>
            <w:tcW w:w="1160" w:type="dxa"/>
            <w:vAlign w:val="bottom"/>
            <w:gridSpan w:val="3"/>
            <w:shd w:val="clear" w:color="auto" w:fill="F0FFFF"/>
          </w:tcPr>
          <w:p>
            <w:pPr>
              <w:spacing w:after="0"/>
              <w:rPr>
                <w:sz w:val="17"/>
                <w:szCs w:val="17"/>
                <w:color w:val="auto"/>
              </w:rPr>
            </w:pPr>
          </w:p>
        </w:tc>
        <w:tc>
          <w:tcPr>
            <w:tcW w:w="1300" w:type="dxa"/>
            <w:vAlign w:val="bottom"/>
            <w:gridSpan w:val="3"/>
            <w:shd w:val="clear" w:color="auto" w:fill="F0FFFF"/>
          </w:tcPr>
          <w:p>
            <w:pPr>
              <w:spacing w:after="0"/>
              <w:rPr>
                <w:sz w:val="17"/>
                <w:szCs w:val="17"/>
                <w:color w:val="auto"/>
              </w:rPr>
            </w:pPr>
          </w:p>
        </w:tc>
        <w:tc>
          <w:tcPr>
            <w:tcW w:w="1240" w:type="dxa"/>
            <w:vAlign w:val="bottom"/>
            <w:gridSpan w:val="3"/>
            <w:shd w:val="clear" w:color="auto" w:fill="F0FFFF"/>
          </w:tcPr>
          <w:p>
            <w:pPr>
              <w:spacing w:after="0"/>
              <w:rPr>
                <w:sz w:val="17"/>
                <w:szCs w:val="17"/>
                <w:color w:val="auto"/>
              </w:rPr>
            </w:pPr>
          </w:p>
        </w:tc>
        <w:tc>
          <w:tcPr>
            <w:tcW w:w="1220" w:type="dxa"/>
            <w:vAlign w:val="bottom"/>
            <w:gridSpan w:val="3"/>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7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80" w:type="dxa"/>
            <w:vAlign w:val="bottom"/>
            <w:gridSpan w:val="14"/>
          </w:tcPr>
          <w:p>
            <w:pPr>
              <w:spacing w:after="0"/>
              <w:rPr>
                <w:sz w:val="20"/>
                <w:szCs w:val="20"/>
                <w:color w:val="auto"/>
              </w:rPr>
            </w:pPr>
            <w:r>
              <w:rPr>
                <w:rFonts w:ascii="Arial" w:cs="Arial" w:eastAsia="Arial" w:hAnsi="Arial"/>
                <w:sz w:val="16"/>
                <w:szCs w:val="16"/>
                <w:color w:val="auto"/>
                <w:w w:val="99"/>
              </w:rPr>
              <w:t>Amortization of prior service cost and actuarial losses included in net periodic pension cost for defined benefit pension plan</w:t>
            </w: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shd w:val="clear" w:color="auto" w:fill="F0FFFF"/>
          </w:tcPr>
          <w:p>
            <w:pPr>
              <w:ind w:left="160"/>
              <w:spacing w:after="0"/>
              <w:rPr>
                <w:sz w:val="20"/>
                <w:szCs w:val="20"/>
                <w:color w:val="auto"/>
              </w:rPr>
            </w:pPr>
            <w:r>
              <w:rPr>
                <w:rFonts w:ascii="Arial" w:cs="Arial" w:eastAsia="Arial" w:hAnsi="Arial"/>
                <w:sz w:val="16"/>
                <w:szCs w:val="16"/>
                <w:color w:val="auto"/>
              </w:rPr>
              <w:t>Prior service cost</w:t>
            </w:r>
          </w:p>
        </w:tc>
        <w:tc>
          <w:tcPr>
            <w:tcW w:w="14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(92)</w:t>
            </w:r>
          </w:p>
        </w:tc>
        <w:tc>
          <w:tcPr>
            <w:tcW w:w="220" w:type="dxa"/>
            <w:vAlign w:val="bottom"/>
            <w:shd w:val="clear" w:color="auto" w:fill="F0FFFF"/>
          </w:tcPr>
          <w:p>
            <w:pPr>
              <w:jc w:val="right"/>
              <w:ind w:right="6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(91)</w:t>
            </w:r>
          </w:p>
        </w:tc>
        <w:tc>
          <w:tcPr>
            <w:tcW w:w="16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(183)</w:t>
            </w:r>
          </w:p>
        </w:tc>
        <w:tc>
          <w:tcPr>
            <w:tcW w:w="280" w:type="dxa"/>
            <w:vAlign w:val="bottom"/>
            <w:shd w:val="clear" w:color="auto" w:fill="F0FFFF"/>
          </w:tcPr>
          <w:p>
            <w:pPr>
              <w:jc w:val="right"/>
              <w:ind w:right="124"/>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(181)</w:t>
            </w:r>
          </w:p>
        </w:tc>
        <w:tc>
          <w:tcPr>
            <w:tcW w:w="2720" w:type="dxa"/>
            <w:vAlign w:val="bottom"/>
            <w:shd w:val="clear" w:color="auto" w:fill="F0FFFF"/>
          </w:tcPr>
          <w:p>
            <w:pPr>
              <w:spacing w:after="0"/>
              <w:rPr>
                <w:sz w:val="20"/>
                <w:szCs w:val="20"/>
                <w:color w:val="auto"/>
              </w:rPr>
            </w:pPr>
            <w:r>
              <w:rPr>
                <w:rFonts w:ascii="Arial" w:cs="Arial" w:eastAsia="Arial" w:hAnsi="Arial"/>
                <w:sz w:val="16"/>
                <w:szCs w:val="16"/>
                <w:color w:val="auto"/>
                <w:w w:val="93"/>
              </w:rPr>
              <w:t>Salaries and employee benefits expense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60" w:type="dxa"/>
            <w:vAlign w:val="bottom"/>
            <w:gridSpan w:val="2"/>
          </w:tcPr>
          <w:p>
            <w:pPr>
              <w:ind w:left="160"/>
              <w:spacing w:after="0"/>
              <w:rPr>
                <w:sz w:val="20"/>
                <w:szCs w:val="20"/>
                <w:color w:val="auto"/>
              </w:rPr>
            </w:pPr>
            <w:r>
              <w:rPr>
                <w:rFonts w:ascii="Arial" w:cs="Arial" w:eastAsia="Arial" w:hAnsi="Arial"/>
                <w:sz w:val="16"/>
                <w:szCs w:val="16"/>
                <w:color w:val="auto"/>
              </w:rPr>
              <w:t>Actuarial losses</w:t>
            </w:r>
          </w:p>
        </w:tc>
        <w:tc>
          <w:tcPr>
            <w:tcW w:w="14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(42)</w:t>
            </w:r>
          </w:p>
        </w:tc>
        <w:tc>
          <w:tcPr>
            <w:tcW w:w="16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(84)</w:t>
            </w:r>
          </w:p>
        </w:tc>
        <w:tc>
          <w:tcPr>
            <w:tcW w:w="2720" w:type="dxa"/>
            <w:vAlign w:val="bottom"/>
          </w:tcPr>
          <w:p>
            <w:pPr>
              <w:spacing w:after="0"/>
              <w:rPr>
                <w:sz w:val="20"/>
                <w:szCs w:val="20"/>
                <w:color w:val="auto"/>
              </w:rPr>
            </w:pPr>
            <w:r>
              <w:rPr>
                <w:rFonts w:ascii="Arial" w:cs="Arial" w:eastAsia="Arial" w:hAnsi="Arial"/>
                <w:sz w:val="16"/>
                <w:szCs w:val="16"/>
                <w:color w:val="auto"/>
                <w:w w:val="93"/>
              </w:rPr>
              <w:t>Salaries and employee benefits expense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6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6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(92)</w:t>
            </w:r>
          </w:p>
        </w:tc>
        <w:tc>
          <w:tcPr>
            <w:tcW w:w="22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(133)</w:t>
            </w:r>
          </w:p>
        </w:tc>
        <w:tc>
          <w:tcPr>
            <w:tcW w:w="160" w:type="dxa"/>
            <w:vAlign w:val="bottom"/>
            <w:shd w:val="clear" w:color="auto" w:fill="F0FFFF"/>
          </w:tcPr>
          <w:p>
            <w:pPr>
              <w:spacing w:after="0"/>
              <w:rPr>
                <w:sz w:val="17"/>
                <w:szCs w:val="17"/>
                <w:color w:val="auto"/>
              </w:rPr>
            </w:pPr>
          </w:p>
        </w:tc>
        <w:tc>
          <w:tcPr>
            <w:tcW w:w="108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(183)</w:t>
            </w:r>
          </w:p>
        </w:tc>
        <w:tc>
          <w:tcPr>
            <w:tcW w:w="280" w:type="dxa"/>
            <w:vAlign w:val="bottom"/>
            <w:shd w:val="clear" w:color="auto" w:fill="F0FFFF"/>
          </w:tcPr>
          <w:p>
            <w:pPr>
              <w:spacing w:after="0"/>
              <w:rPr>
                <w:sz w:val="17"/>
                <w:szCs w:val="17"/>
                <w:color w:val="auto"/>
              </w:rPr>
            </w:pPr>
          </w:p>
        </w:tc>
        <w:tc>
          <w:tcPr>
            <w:tcW w:w="84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(265)</w:t>
            </w:r>
          </w:p>
        </w:tc>
        <w:tc>
          <w:tcPr>
            <w:tcW w:w="2720" w:type="dxa"/>
            <w:vAlign w:val="bottom"/>
            <w:shd w:val="clear" w:color="auto" w:fill="F0FFFF"/>
          </w:tcPr>
          <w:p>
            <w:pPr>
              <w:spacing w:after="0"/>
              <w:rPr>
                <w:sz w:val="20"/>
                <w:szCs w:val="20"/>
                <w:color w:val="auto"/>
              </w:rPr>
            </w:pPr>
            <w:r>
              <w:rPr>
                <w:rFonts w:ascii="Arial" w:cs="Arial" w:eastAsia="Arial" w:hAnsi="Arial"/>
                <w:sz w:val="16"/>
                <w:szCs w:val="16"/>
                <w:color w:val="auto"/>
              </w:rPr>
              <w:t>Total before tax</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Tax benefit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4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(56)</w:t>
            </w:r>
          </w:p>
        </w:tc>
        <w:tc>
          <w:tcPr>
            <w:tcW w:w="220" w:type="dxa"/>
            <w:vAlign w:val="bottom"/>
            <w:shd w:val="clear" w:color="auto" w:fill="F0FFFF"/>
          </w:tcPr>
          <w:p>
            <w:pPr>
              <w:jc w:val="right"/>
              <w:ind w:right="6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(81)</w:t>
            </w:r>
          </w:p>
        </w:tc>
        <w:tc>
          <w:tcPr>
            <w:tcW w:w="16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(112)</w:t>
            </w:r>
          </w:p>
        </w:tc>
        <w:tc>
          <w:tcPr>
            <w:tcW w:w="280" w:type="dxa"/>
            <w:vAlign w:val="bottom"/>
            <w:shd w:val="clear" w:color="auto" w:fill="F0FFFF"/>
          </w:tcPr>
          <w:p>
            <w:pPr>
              <w:jc w:val="right"/>
              <w:ind w:right="124"/>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(162)</w:t>
            </w:r>
          </w:p>
        </w:tc>
        <w:tc>
          <w:tcPr>
            <w:tcW w:w="2720" w:type="dxa"/>
            <w:vAlign w:val="bottom"/>
            <w:shd w:val="clear" w:color="auto" w:fill="F0FFFF"/>
          </w:tcPr>
          <w:p>
            <w:pPr>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640" w:type="dxa"/>
            <w:vAlign w:val="bottom"/>
            <w:tcBorders>
              <w:top w:val="single" w:sz="8" w:color="F0FFFF"/>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F0FF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Borders>
              <w:top w:val="single" w:sz="8" w:color="F0FF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F0FF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Borders>
              <w:top w:val="single" w:sz="8" w:color="F0FFFF"/>
            </w:tcBorders>
          </w:tcPr>
          <w:p>
            <w:pPr>
              <w:spacing w:after="0"/>
              <w:rPr>
                <w:sz w:val="17"/>
                <w:szCs w:val="17"/>
                <w:color w:val="auto"/>
              </w:rPr>
            </w:pPr>
          </w:p>
        </w:tc>
        <w:tc>
          <w:tcPr>
            <w:tcW w:w="272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760" w:type="dxa"/>
            <w:vAlign w:val="bottom"/>
            <w:tcBorders>
              <w:bottom w:val="single" w:sz="8" w:color="F0FFFF"/>
            </w:tcBorders>
            <w:gridSpan w:val="2"/>
            <w:shd w:val="clear" w:color="auto" w:fill="F0FFFF"/>
          </w:tcPr>
          <w:p>
            <w:pPr>
              <w:spacing w:after="0"/>
              <w:rPr>
                <w:sz w:val="20"/>
                <w:szCs w:val="20"/>
                <w:color w:val="auto"/>
              </w:rPr>
            </w:pPr>
            <w:r>
              <w:rPr>
                <w:rFonts w:ascii="Arial" w:cs="Arial" w:eastAsia="Arial" w:hAnsi="Arial"/>
                <w:sz w:val="16"/>
                <w:szCs w:val="16"/>
                <w:color w:val="auto"/>
              </w:rPr>
              <w:t>Total reclassifications for the period</w:t>
            </w: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2,049</w:t>
            </w:r>
          </w:p>
        </w:tc>
        <w:tc>
          <w:tcPr>
            <w:tcW w:w="260" w:type="dxa"/>
            <w:vAlign w:val="bottom"/>
            <w:tcBorders>
              <w:bottom w:val="single" w:sz="8" w:color="F0FFFF"/>
            </w:tcBorders>
            <w:shd w:val="clear" w:color="auto" w:fill="F0FFFF"/>
          </w:tcPr>
          <w:p>
            <w:pPr>
              <w:spacing w:after="0"/>
              <w:rPr>
                <w:sz w:val="21"/>
                <w:szCs w:val="21"/>
                <w:color w:val="auto"/>
              </w:rPr>
            </w:pPr>
          </w:p>
        </w:tc>
        <w:tc>
          <w:tcPr>
            <w:tcW w:w="220" w:type="dxa"/>
            <w:vAlign w:val="bottom"/>
            <w:tcBorders>
              <w:bottom w:val="single" w:sz="8" w:color="auto"/>
            </w:tcBorders>
            <w:shd w:val="clear" w:color="auto" w:fill="F0FFFF"/>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274</w:t>
            </w:r>
          </w:p>
        </w:tc>
        <w:tc>
          <w:tcPr>
            <w:tcW w:w="220" w:type="dxa"/>
            <w:vAlign w:val="bottom"/>
            <w:tcBorders>
              <w:bottom w:val="single" w:sz="8" w:color="F0FFFF"/>
            </w:tcBorders>
            <w:shd w:val="clear" w:color="auto" w:fill="F0FFFF"/>
          </w:tcPr>
          <w:p>
            <w:pPr>
              <w:spacing w:after="0"/>
              <w:rPr>
                <w:sz w:val="21"/>
                <w:szCs w:val="21"/>
                <w:color w:val="auto"/>
              </w:rPr>
            </w:pPr>
          </w:p>
        </w:tc>
        <w:tc>
          <w:tcPr>
            <w:tcW w:w="160" w:type="dxa"/>
            <w:vAlign w:val="bottom"/>
            <w:tcBorders>
              <w:bottom w:val="single" w:sz="8" w:color="auto"/>
            </w:tcBorders>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1,852</w:t>
            </w:r>
          </w:p>
        </w:tc>
        <w:tc>
          <w:tcPr>
            <w:tcW w:w="220" w:type="dxa"/>
            <w:vAlign w:val="bottom"/>
            <w:tcBorders>
              <w:bottom w:val="single" w:sz="8" w:color="F0FFFF"/>
            </w:tcBorders>
            <w:shd w:val="clear" w:color="auto" w:fill="F0FFFF"/>
          </w:tcPr>
          <w:p>
            <w:pPr>
              <w:spacing w:after="0"/>
              <w:rPr>
                <w:sz w:val="21"/>
                <w:szCs w:val="21"/>
                <w:color w:val="auto"/>
              </w:rPr>
            </w:pPr>
          </w:p>
        </w:tc>
        <w:tc>
          <w:tcPr>
            <w:tcW w:w="280" w:type="dxa"/>
            <w:vAlign w:val="bottom"/>
            <w:tcBorders>
              <w:bottom w:val="single" w:sz="8" w:color="auto"/>
            </w:tcBorders>
            <w:shd w:val="clear" w:color="auto" w:fill="F0FFFF"/>
          </w:tcPr>
          <w:p>
            <w:pPr>
              <w:jc w:val="right"/>
              <w:ind w:right="124"/>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788</w:t>
            </w:r>
          </w:p>
        </w:tc>
        <w:tc>
          <w:tcPr>
            <w:tcW w:w="120" w:type="dxa"/>
            <w:vAlign w:val="bottom"/>
            <w:tcBorders>
              <w:bottom w:val="single" w:sz="8" w:color="F0FFFF"/>
            </w:tcBorders>
            <w:shd w:val="clear" w:color="auto" w:fill="F0FFFF"/>
          </w:tcPr>
          <w:p>
            <w:pPr>
              <w:spacing w:after="0"/>
              <w:rPr>
                <w:sz w:val="21"/>
                <w:szCs w:val="21"/>
                <w:color w:val="auto"/>
              </w:rPr>
            </w:pPr>
          </w:p>
        </w:tc>
        <w:tc>
          <w:tcPr>
            <w:tcW w:w="272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60" w:type="dxa"/>
            <w:vAlign w:val="bottom"/>
            <w:gridSpan w:val="2"/>
            <w:shd w:val="clear" w:color="auto" w:fill="F0FFFF"/>
          </w:tcPr>
          <w:p>
            <w:pPr>
              <w:spacing w:after="0"/>
              <w:rPr>
                <w:sz w:val="20"/>
                <w:szCs w:val="20"/>
                <w:color w:val="auto"/>
              </w:rPr>
            </w:pPr>
            <w:r>
              <w:rPr>
                <w:rFonts w:ascii="Arial" w:cs="Arial" w:eastAsia="Arial" w:hAnsi="Arial"/>
                <w:sz w:val="16"/>
                <w:szCs w:val="16"/>
                <w:color w:val="auto"/>
                <w:w w:val="95"/>
              </w:rPr>
              <w:t>Amounts shown above in parentheses reduce earnings</w:t>
            </w:r>
          </w:p>
        </w:tc>
        <w:tc>
          <w:tcPr>
            <w:tcW w:w="14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8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86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7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491" w:gutter="0" w:footer="0" w:header="0"/>
        </w:sectPr>
      </w:pPr>
    </w:p>
    <w:bookmarkStart w:id="26" w:name="page27"/>
    <w:bookmarkEnd w:id="26"/>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Earnings Per Share</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is required to report on the face of the consolidated statement of income, earnings per common share with and without the dilutive effects of potential common stock issuances from instruments such as options, convertible securities and warrants. Basic earnings per common share is based on the weighted average number of common shares outstanding during the period while the effects of potential common shares outstanding during the period are included in diluted earnings per common share.</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During the three and six months ended June 30, 2014 and 2013, United accrued dividends on preferred stock, including accretion of discounts, as shown in the following table </w:t>
      </w:r>
      <w:r>
        <w:rPr>
          <w:rFonts w:ascii="Arial" w:cs="Arial" w:eastAsia="Arial" w:hAnsi="Arial"/>
          <w:sz w:val="18"/>
          <w:szCs w:val="18"/>
          <w:i w:val="1"/>
          <w:iCs w:val="1"/>
          <w:color w:val="auto"/>
        </w:rPr>
        <w:t>(in thousands).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80" w:type="dxa"/>
            <w:vAlign w:val="bottom"/>
            <w:gridSpan w:val="5"/>
          </w:tcPr>
          <w:p>
            <w:pPr>
              <w:jc w:val="right"/>
              <w:ind w:right="35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5"/>
          </w:tcPr>
          <w:p>
            <w:pPr>
              <w:ind w:left="32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4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3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r>
      <w:tr>
        <w:trPr>
          <w:trHeight w:val="216"/>
        </w:trPr>
        <w:tc>
          <w:tcPr>
            <w:tcW w:w="4940" w:type="dxa"/>
            <w:vAlign w:val="bottom"/>
            <w:shd w:val="clear" w:color="auto" w:fill="F0FFFF"/>
          </w:tcPr>
          <w:p>
            <w:pPr>
              <w:ind w:left="40"/>
              <w:spacing w:after="0"/>
              <w:rPr>
                <w:sz w:val="20"/>
                <w:szCs w:val="20"/>
                <w:color w:val="auto"/>
              </w:rPr>
            </w:pPr>
            <w:r>
              <w:rPr>
                <w:rFonts w:ascii="Arial" w:cs="Arial" w:eastAsia="Arial" w:hAnsi="Arial"/>
                <w:sz w:val="18"/>
                <w:szCs w:val="18"/>
                <w:color w:val="auto"/>
              </w:rPr>
              <w:t>Series A - 6% fixed</w:t>
            </w:r>
          </w:p>
        </w:tc>
        <w:tc>
          <w:tcPr>
            <w:tcW w:w="840" w:type="dxa"/>
            <w:vAlign w:val="bottom"/>
            <w:gridSpan w:val="2"/>
            <w:shd w:val="clear" w:color="auto" w:fill="F0FFFF"/>
          </w:tcPr>
          <w:p>
            <w:pPr>
              <w:jc w:val="right"/>
              <w:ind w:right="670"/>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F0FFFF"/>
          </w:tcPr>
          <w:p>
            <w:pPr>
              <w:ind w:left="100"/>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w:t>
            </w:r>
          </w:p>
        </w:tc>
        <w:tc>
          <w:tcPr>
            <w:tcW w:w="4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F0FFFF"/>
          </w:tcPr>
          <w:p>
            <w:pPr>
              <w:spacing w:after="0"/>
              <w:rPr>
                <w:sz w:val="18"/>
                <w:szCs w:val="18"/>
                <w:color w:val="auto"/>
              </w:rPr>
            </w:pPr>
          </w:p>
        </w:tc>
      </w:tr>
      <w:tr>
        <w:trPr>
          <w:trHeight w:val="216"/>
        </w:trPr>
        <w:tc>
          <w:tcPr>
            <w:tcW w:w="4940" w:type="dxa"/>
            <w:vAlign w:val="bottom"/>
          </w:tcPr>
          <w:p>
            <w:pPr>
              <w:ind w:left="40"/>
              <w:spacing w:after="0"/>
              <w:rPr>
                <w:sz w:val="20"/>
                <w:szCs w:val="20"/>
                <w:color w:val="auto"/>
              </w:rPr>
            </w:pPr>
            <w:r>
              <w:rPr>
                <w:rFonts w:ascii="Arial" w:cs="Arial" w:eastAsia="Arial" w:hAnsi="Arial"/>
                <w:sz w:val="18"/>
                <w:szCs w:val="18"/>
                <w:color w:val="auto"/>
              </w:rPr>
              <w:t>Series B - 5% fixed until December 6, 2013, 9% thereafter</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2,636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5,266</w:t>
            </w:r>
          </w:p>
        </w:tc>
        <w:tc>
          <w:tcPr>
            <w:tcW w:w="120" w:type="dxa"/>
            <w:vAlign w:val="bottom"/>
          </w:tcPr>
          <w:p>
            <w:pPr>
              <w:spacing w:after="0"/>
              <w:rPr>
                <w:sz w:val="18"/>
                <w:szCs w:val="18"/>
                <w:color w:val="auto"/>
              </w:rPr>
            </w:pPr>
          </w:p>
        </w:tc>
      </w:tr>
      <w:tr>
        <w:trPr>
          <w:trHeight w:val="223"/>
        </w:trPr>
        <w:tc>
          <w:tcPr>
            <w:tcW w:w="4940" w:type="dxa"/>
            <w:vAlign w:val="bottom"/>
            <w:tcBorders>
              <w:bottom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Series D - LIBOR plus 9.6875%, resets quarterly</w:t>
            </w:r>
          </w:p>
        </w:tc>
        <w:tc>
          <w:tcPr>
            <w:tcW w:w="20" w:type="dxa"/>
            <w:vAlign w:val="bottom"/>
            <w:tcBorders>
              <w:bottom w:val="single" w:sz="8" w:color="F0FFFF"/>
            </w:tcBorders>
            <w:shd w:val="clear" w:color="auto" w:fill="F0FFFF"/>
          </w:tcPr>
          <w:p>
            <w:pPr>
              <w:spacing w:after="0"/>
              <w:rPr>
                <w:sz w:val="19"/>
                <w:szCs w:val="19"/>
                <w:color w:val="auto"/>
              </w:rPr>
            </w:pPr>
          </w:p>
        </w:tc>
        <w:tc>
          <w:tcPr>
            <w:tcW w:w="820" w:type="dxa"/>
            <w:vAlign w:val="bottom"/>
            <w:tcBorders>
              <w:bottom w:val="single" w:sz="8" w:color="auto"/>
            </w:tcBorders>
            <w:shd w:val="clear" w:color="auto" w:fill="F0FFFF"/>
          </w:tcPr>
          <w:p>
            <w:pPr>
              <w:spacing w:after="0"/>
              <w:rPr>
                <w:sz w:val="19"/>
                <w:szCs w:val="19"/>
                <w:color w:val="auto"/>
              </w:rPr>
            </w:pPr>
          </w:p>
        </w:tc>
        <w:tc>
          <w:tcPr>
            <w:tcW w:w="300" w:type="dxa"/>
            <w:vAlign w:val="bottom"/>
            <w:tcBorders>
              <w:bottom w:val="single" w:sz="8" w:color="auto"/>
            </w:tcBorders>
            <w:shd w:val="clear" w:color="auto" w:fill="F0FFFF"/>
          </w:tcPr>
          <w:p>
            <w:pPr>
              <w:ind w:left="10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F0FFFF"/>
            </w:tcBorders>
            <w:shd w:val="clear" w:color="auto" w:fill="F0FFFF"/>
          </w:tcPr>
          <w:p>
            <w:pPr>
              <w:spacing w:after="0"/>
              <w:rPr>
                <w:sz w:val="19"/>
                <w:szCs w:val="19"/>
                <w:color w:val="auto"/>
              </w:rPr>
            </w:pPr>
          </w:p>
        </w:tc>
        <w:tc>
          <w:tcPr>
            <w:tcW w:w="300" w:type="dxa"/>
            <w:vAlign w:val="bottom"/>
            <w:tcBorders>
              <w:bottom w:val="single" w:sz="8" w:color="auto"/>
            </w:tcBorders>
            <w:shd w:val="clear" w:color="auto" w:fill="F0FFFF"/>
          </w:tcPr>
          <w:p>
            <w:pPr>
              <w:spacing w:after="0"/>
              <w:rPr>
                <w:sz w:val="19"/>
                <w:szCs w:val="19"/>
                <w:color w:val="auto"/>
              </w:rPr>
            </w:pPr>
          </w:p>
        </w:tc>
        <w:tc>
          <w:tcPr>
            <w:tcW w:w="8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416</w:t>
            </w:r>
          </w:p>
        </w:tc>
        <w:tc>
          <w:tcPr>
            <w:tcW w:w="22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auto"/>
            </w:tcBorders>
            <w:shd w:val="clear" w:color="auto" w:fill="F0FFFF"/>
          </w:tcPr>
          <w:p>
            <w:pPr>
              <w:spacing w:after="0"/>
              <w:rPr>
                <w:sz w:val="19"/>
                <w:szCs w:val="19"/>
                <w:color w:val="auto"/>
              </w:rPr>
            </w:pPr>
          </w:p>
        </w:tc>
        <w:tc>
          <w:tcPr>
            <w:tcW w:w="9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280</w:t>
            </w:r>
          </w:p>
        </w:tc>
        <w:tc>
          <w:tcPr>
            <w:tcW w:w="220" w:type="dxa"/>
            <w:vAlign w:val="bottom"/>
            <w:tcBorders>
              <w:bottom w:val="single" w:sz="8" w:color="F0FFFF"/>
            </w:tcBorders>
            <w:shd w:val="clear" w:color="auto" w:fill="F0FFFF"/>
          </w:tcPr>
          <w:p>
            <w:pPr>
              <w:spacing w:after="0"/>
              <w:rPr>
                <w:sz w:val="19"/>
                <w:szCs w:val="19"/>
                <w:color w:val="auto"/>
              </w:rPr>
            </w:pPr>
          </w:p>
        </w:tc>
        <w:tc>
          <w:tcPr>
            <w:tcW w:w="280" w:type="dxa"/>
            <w:vAlign w:val="bottom"/>
            <w:tcBorders>
              <w:bottom w:val="single" w:sz="8" w:color="auto"/>
            </w:tcBorders>
            <w:shd w:val="clear" w:color="auto" w:fill="F0FFFF"/>
          </w:tcPr>
          <w:p>
            <w:pPr>
              <w:spacing w:after="0"/>
              <w:rPr>
                <w:sz w:val="19"/>
                <w:szCs w:val="19"/>
                <w:color w:val="auto"/>
              </w:rPr>
            </w:pPr>
          </w:p>
        </w:tc>
        <w:tc>
          <w:tcPr>
            <w:tcW w:w="8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835</w:t>
            </w:r>
          </w:p>
        </w:tc>
        <w:tc>
          <w:tcPr>
            <w:tcW w:w="120" w:type="dxa"/>
            <w:vAlign w:val="bottom"/>
            <w:tcBorders>
              <w:bottom w:val="single" w:sz="8" w:color="F0FFFF"/>
            </w:tcBorders>
            <w:shd w:val="clear" w:color="auto" w:fill="F0FFFF"/>
          </w:tcPr>
          <w:p>
            <w:pPr>
              <w:spacing w:after="0"/>
              <w:rPr>
                <w:sz w:val="19"/>
                <w:szCs w:val="19"/>
                <w:color w:val="auto"/>
              </w:rPr>
            </w:pPr>
          </w:p>
        </w:tc>
      </w:tr>
      <w:tr>
        <w:trPr>
          <w:trHeight w:val="216"/>
        </w:trPr>
        <w:tc>
          <w:tcPr>
            <w:tcW w:w="4940" w:type="dxa"/>
            <w:vAlign w:val="bottom"/>
          </w:tcPr>
          <w:p>
            <w:pPr>
              <w:ind w:left="260"/>
              <w:spacing w:after="0"/>
              <w:rPr>
                <w:sz w:val="20"/>
                <w:szCs w:val="20"/>
                <w:color w:val="auto"/>
              </w:rPr>
            </w:pPr>
            <w:r>
              <w:rPr>
                <w:rFonts w:ascii="Arial" w:cs="Arial" w:eastAsia="Arial" w:hAnsi="Arial"/>
                <w:sz w:val="18"/>
                <w:szCs w:val="18"/>
                <w:color w:val="auto"/>
              </w:rPr>
              <w:t>Total preferred stock dividends</w:t>
            </w:r>
          </w:p>
        </w:tc>
        <w:tc>
          <w:tcPr>
            <w:tcW w:w="840" w:type="dxa"/>
            <w:vAlign w:val="bottom"/>
            <w:gridSpan w:val="2"/>
          </w:tcPr>
          <w:p>
            <w:pPr>
              <w:jc w:val="right"/>
              <w:ind w:right="670"/>
              <w:spacing w:after="0"/>
              <w:rPr>
                <w:sz w:val="20"/>
                <w:szCs w:val="20"/>
                <w:color w:val="auto"/>
              </w:rPr>
            </w:pPr>
            <w:r>
              <w:rPr>
                <w:rFonts w:ascii="Arial" w:cs="Arial" w:eastAsia="Arial" w:hAnsi="Arial"/>
                <w:sz w:val="15"/>
                <w:szCs w:val="15"/>
                <w:color w:val="auto"/>
                <w:w w:val="71"/>
              </w:rPr>
              <w:t>$</w:t>
            </w:r>
          </w:p>
        </w:tc>
        <w:tc>
          <w:tcPr>
            <w:tcW w:w="30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3,055</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439</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6,107</w:t>
            </w:r>
          </w:p>
        </w:tc>
        <w:tc>
          <w:tcPr>
            <w:tcW w:w="120" w:type="dxa"/>
            <w:vAlign w:val="bottom"/>
          </w:tcPr>
          <w:p>
            <w:pPr>
              <w:spacing w:after="0"/>
              <w:rPr>
                <w:sz w:val="18"/>
                <w:szCs w:val="18"/>
                <w:color w:val="auto"/>
              </w:rPr>
            </w:pPr>
          </w:p>
        </w:tc>
      </w:tr>
      <w:tr>
        <w:trPr>
          <w:trHeight w:val="21"/>
        </w:trPr>
        <w:tc>
          <w:tcPr>
            <w:tcW w:w="4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All preferred stock dividends are payable quarterly.</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Series B preferred stock was issued at a discount. Dividend amounts shown include discount accretion for each period.</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preferred stock dividends were subtracted from net income in order to arrive at net income available to common shareholders. There were no dilutive securities outstanding for the three and six months ended June 30, 2013. All of United’s preferred stock was redeemed during the fourth quarter of 2013 and the first quarter of 2014.</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sets forth the computation of basic and diluted earnings per share for the three and six months ended June 30, 2014 and 2013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 except per share data)</w:t>
      </w:r>
      <w:r>
        <w:rPr>
          <w:rFonts w:ascii="Arial" w:cs="Arial" w:eastAsia="Arial" w:hAnsi="Arial"/>
          <w:sz w:val="18"/>
          <w:szCs w:val="18"/>
          <w:color w:val="auto"/>
        </w:rPr>
        <w:t>.</w:t>
      </w:r>
    </w:p>
    <w:p>
      <w:pPr>
        <w:spacing w:after="0" w:line="166"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9"/>
              </w:rPr>
              <w:t>Three Months Ended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ind w:left="26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45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4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2013</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r>
      <w:tr>
        <w:trPr>
          <w:trHeight w:val="257"/>
        </w:trPr>
        <w:tc>
          <w:tcPr>
            <w:tcW w:w="4580" w:type="dxa"/>
            <w:vAlign w:val="bottom"/>
            <w:tcBorders>
              <w:right w:val="single" w:sz="8" w:color="F0FFFF"/>
            </w:tcBorders>
            <w:shd w:val="clear" w:color="auto" w:fill="F0FFFF"/>
          </w:tcPr>
          <w:p>
            <w:pPr>
              <w:ind w:left="40"/>
              <w:spacing w:after="0"/>
              <w:rPr>
                <w:sz w:val="20"/>
                <w:szCs w:val="20"/>
                <w:color w:val="auto"/>
              </w:rPr>
            </w:pPr>
            <w:r>
              <w:rPr>
                <w:rFonts w:ascii="Arial" w:cs="Arial" w:eastAsia="Arial" w:hAnsi="Arial"/>
                <w:sz w:val="18"/>
                <w:szCs w:val="18"/>
                <w:color w:val="auto"/>
              </w:rPr>
              <w:t>Net income available to common shareholders</w:t>
            </w: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16,357</w:t>
            </w:r>
          </w:p>
        </w:tc>
        <w:tc>
          <w:tcPr>
            <w:tcW w:w="5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226,909</w:t>
            </w:r>
          </w:p>
        </w:tc>
        <w:tc>
          <w:tcPr>
            <w:tcW w:w="4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31,318</w:t>
            </w:r>
          </w:p>
        </w:tc>
        <w:tc>
          <w:tcPr>
            <w:tcW w:w="5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235,622</w:t>
            </w:r>
          </w:p>
        </w:tc>
        <w:tc>
          <w:tcPr>
            <w:tcW w:w="120" w:type="dxa"/>
            <w:vAlign w:val="bottom"/>
            <w:shd w:val="clear" w:color="auto" w:fill="F0FFFF"/>
          </w:tcPr>
          <w:p>
            <w:pPr>
              <w:spacing w:after="0"/>
              <w:rPr>
                <w:sz w:val="22"/>
                <w:szCs w:val="22"/>
                <w:color w:val="auto"/>
              </w:rPr>
            </w:pPr>
          </w:p>
        </w:tc>
      </w:tr>
      <w:tr>
        <w:trPr>
          <w:trHeight w:val="210"/>
        </w:trPr>
        <w:tc>
          <w:tcPr>
            <w:tcW w:w="458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r>
      <w:tr>
        <w:trPr>
          <w:trHeight w:val="216"/>
        </w:trPr>
        <w:tc>
          <w:tcPr>
            <w:tcW w:w="4580" w:type="dxa"/>
            <w:vAlign w:val="bottom"/>
            <w:tcBorders>
              <w:right w:val="single" w:sz="8" w:color="F0FFFF"/>
            </w:tcBorders>
            <w:shd w:val="clear" w:color="auto" w:fill="F0FF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2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r>
      <w:tr>
        <w:trPr>
          <w:trHeight w:val="216"/>
        </w:trPr>
        <w:tc>
          <w:tcPr>
            <w:tcW w:w="4580" w:type="dxa"/>
            <w:vAlign w:val="bottom"/>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60,712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58,141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60,386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58,111</w:t>
            </w:r>
          </w:p>
        </w:tc>
        <w:tc>
          <w:tcPr>
            <w:tcW w:w="120" w:type="dxa"/>
            <w:vAlign w:val="bottom"/>
          </w:tcPr>
          <w:p>
            <w:pPr>
              <w:spacing w:after="0"/>
              <w:rPr>
                <w:sz w:val="18"/>
                <w:szCs w:val="18"/>
                <w:color w:val="auto"/>
              </w:rPr>
            </w:pPr>
          </w:p>
        </w:tc>
      </w:tr>
      <w:tr>
        <w:trPr>
          <w:trHeight w:val="216"/>
        </w:trPr>
        <w:tc>
          <w:tcPr>
            <w:tcW w:w="4580" w:type="dxa"/>
            <w:vAlign w:val="bottom"/>
            <w:tcBorders>
              <w:right w:val="single" w:sz="8" w:color="F0FFFF"/>
            </w:tcBorders>
            <w:shd w:val="clear" w:color="auto" w:fill="F0FFFF"/>
          </w:tcPr>
          <w:p>
            <w:pPr>
              <w:ind w:left="220"/>
              <w:spacing w:after="0"/>
              <w:rPr>
                <w:sz w:val="20"/>
                <w:szCs w:val="20"/>
                <w:color w:val="auto"/>
              </w:rPr>
            </w:pPr>
            <w:r>
              <w:rPr>
                <w:rFonts w:ascii="Arial" w:cs="Arial" w:eastAsia="Arial" w:hAnsi="Arial"/>
                <w:sz w:val="18"/>
                <w:szCs w:val="18"/>
                <w:color w:val="auto"/>
              </w:rPr>
              <w:t>Effect of dilutive securities</w:t>
            </w:r>
          </w:p>
        </w:tc>
        <w:tc>
          <w:tcPr>
            <w:tcW w:w="22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r>
      <w:tr>
        <w:trPr>
          <w:trHeight w:val="216"/>
        </w:trPr>
        <w:tc>
          <w:tcPr>
            <w:tcW w:w="4580" w:type="dxa"/>
            <w:vAlign w:val="bottom"/>
          </w:tcPr>
          <w:p>
            <w:pPr>
              <w:ind w:left="460"/>
              <w:spacing w:after="0"/>
              <w:rPr>
                <w:sz w:val="20"/>
                <w:szCs w:val="20"/>
                <w:color w:val="auto"/>
              </w:rPr>
            </w:pPr>
            <w:r>
              <w:rPr>
                <w:rFonts w:ascii="Arial" w:cs="Arial" w:eastAsia="Arial" w:hAnsi="Arial"/>
                <w:sz w:val="18"/>
                <w:szCs w:val="18"/>
                <w:color w:val="auto"/>
              </w:rPr>
              <w:t>Stock options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580" w:type="dxa"/>
            <w:vAlign w:val="bottom"/>
            <w:tcBorders>
              <w:right w:val="single" w:sz="8" w:color="F0FFFF"/>
            </w:tcBorders>
            <w:shd w:val="clear" w:color="auto" w:fill="F0FFFF"/>
          </w:tcPr>
          <w:p>
            <w:pPr>
              <w:ind w:left="440"/>
              <w:spacing w:after="0"/>
              <w:rPr>
                <w:sz w:val="20"/>
                <w:szCs w:val="20"/>
                <w:color w:val="auto"/>
              </w:rPr>
            </w:pPr>
            <w:r>
              <w:rPr>
                <w:rFonts w:ascii="Arial" w:cs="Arial" w:eastAsia="Arial" w:hAnsi="Arial"/>
                <w:sz w:val="18"/>
                <w:szCs w:val="18"/>
                <w:color w:val="auto"/>
              </w:rPr>
              <w:t>Warrants</w:t>
            </w:r>
          </w:p>
        </w:tc>
        <w:tc>
          <w:tcPr>
            <w:tcW w:w="220" w:type="dxa"/>
            <w:vAlign w:val="bottom"/>
            <w:shd w:val="clear" w:color="auto" w:fill="F0FFFF"/>
          </w:tcPr>
          <w:p>
            <w:pPr>
              <w:spacing w:after="0"/>
              <w:rPr>
                <w:sz w:val="19"/>
                <w:szCs w:val="19"/>
                <w:color w:val="auto"/>
              </w:rPr>
            </w:pP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9"/>
                <w:szCs w:val="19"/>
                <w:color w:val="auto"/>
              </w:rPr>
            </w:pPr>
          </w:p>
        </w:tc>
        <w:tc>
          <w:tcPr>
            <w:tcW w:w="300" w:type="dxa"/>
            <w:vAlign w:val="bottom"/>
            <w:shd w:val="clear" w:color="auto" w:fill="F0FFFF"/>
          </w:tcPr>
          <w:p>
            <w:pPr>
              <w:spacing w:after="0"/>
              <w:rPr>
                <w:sz w:val="19"/>
                <w:szCs w:val="19"/>
                <w:color w:val="auto"/>
              </w:rPr>
            </w:pPr>
          </w:p>
        </w:tc>
        <w:tc>
          <w:tcPr>
            <w:tcW w:w="9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tcBorders>
              <w:top w:val="single" w:sz="8" w:color="F0FFFF"/>
            </w:tcBorders>
          </w:tcPr>
          <w:p>
            <w:pPr>
              <w:ind w:left="220"/>
              <w:spacing w:after="0"/>
              <w:rPr>
                <w:sz w:val="20"/>
                <w:szCs w:val="20"/>
                <w:color w:val="auto"/>
              </w:rPr>
            </w:pPr>
            <w:r>
              <w:rPr>
                <w:rFonts w:ascii="Arial" w:cs="Arial" w:eastAsia="Arial" w:hAnsi="Arial"/>
                <w:sz w:val="18"/>
                <w:szCs w:val="18"/>
                <w:color w:val="auto"/>
              </w:rPr>
              <w:t>Diluted</w:t>
            </w:r>
          </w:p>
        </w:tc>
        <w:tc>
          <w:tcPr>
            <w:tcW w:w="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60,714</w:t>
            </w:r>
          </w:p>
        </w:tc>
        <w:tc>
          <w:tcPr>
            <w:tcW w:w="220" w:type="dxa"/>
            <w:vAlign w:val="bottom"/>
            <w:tcBorders>
              <w:top w:val="single" w:sz="8" w:color="F0FF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58,141</w:t>
            </w:r>
          </w:p>
        </w:tc>
        <w:tc>
          <w:tcPr>
            <w:tcW w:w="220" w:type="dxa"/>
            <w:vAlign w:val="bottom"/>
            <w:tcBorders>
              <w:top w:val="single" w:sz="8" w:color="F0FF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60,388</w:t>
            </w:r>
          </w:p>
        </w:tc>
        <w:tc>
          <w:tcPr>
            <w:tcW w:w="200" w:type="dxa"/>
            <w:vAlign w:val="bottom"/>
            <w:tcBorders>
              <w:top w:val="single" w:sz="8" w:color="F0FF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58,111</w:t>
            </w:r>
          </w:p>
        </w:tc>
        <w:tc>
          <w:tcPr>
            <w:tcW w:w="120" w:type="dxa"/>
            <w:vAlign w:val="bottom"/>
            <w:tcBorders>
              <w:top w:val="single" w:sz="8" w:color="F0FFFF"/>
            </w:tcBorders>
          </w:tcPr>
          <w:p>
            <w:pPr>
              <w:spacing w:after="0"/>
              <w:rPr>
                <w:sz w:val="18"/>
                <w:szCs w:val="18"/>
                <w:color w:val="auto"/>
              </w:rPr>
            </w:pPr>
          </w:p>
        </w:tc>
      </w:tr>
      <w:tr>
        <w:trPr>
          <w:trHeight w:val="21"/>
        </w:trPr>
        <w:tc>
          <w:tcPr>
            <w:tcW w:w="4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4580" w:type="dxa"/>
            <w:vAlign w:val="bottom"/>
            <w:tcBorders>
              <w:right w:val="single" w:sz="8" w:color="F0FFFF"/>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r>
      <w:tr>
        <w:trPr>
          <w:trHeight w:val="216"/>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Income per common share:</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7"/>
        </w:trPr>
        <w:tc>
          <w:tcPr>
            <w:tcW w:w="4580" w:type="dxa"/>
            <w:vAlign w:val="bottom"/>
            <w:tcBorders>
              <w:right w:val="single" w:sz="8" w:color="F0FFFF"/>
            </w:tcBorders>
            <w:shd w:val="clear" w:color="auto" w:fill="F0FFFF"/>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.27</w:t>
            </w:r>
          </w:p>
        </w:tc>
        <w:tc>
          <w:tcPr>
            <w:tcW w:w="5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3.90</w:t>
            </w:r>
          </w:p>
        </w:tc>
        <w:tc>
          <w:tcPr>
            <w:tcW w:w="4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.52</w:t>
            </w:r>
          </w:p>
        </w:tc>
        <w:tc>
          <w:tcPr>
            <w:tcW w:w="5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4.05</w:t>
            </w:r>
          </w:p>
        </w:tc>
        <w:tc>
          <w:tcPr>
            <w:tcW w:w="120" w:type="dxa"/>
            <w:vAlign w:val="bottom"/>
            <w:shd w:val="clear" w:color="auto" w:fill="F0FFFF"/>
          </w:tcPr>
          <w:p>
            <w:pPr>
              <w:spacing w:after="0"/>
              <w:rPr>
                <w:sz w:val="20"/>
                <w:szCs w:val="20"/>
                <w:color w:val="auto"/>
              </w:rPr>
            </w:pPr>
          </w:p>
        </w:tc>
      </w:tr>
      <w:tr>
        <w:trPr>
          <w:trHeight w:val="20"/>
        </w:trPr>
        <w:tc>
          <w:tcPr>
            <w:tcW w:w="458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r>
      <w:tr>
        <w:trPr>
          <w:trHeight w:val="210"/>
        </w:trPr>
        <w:tc>
          <w:tcPr>
            <w:tcW w:w="4580" w:type="dxa"/>
            <w:vAlign w:val="bottom"/>
          </w:tcPr>
          <w:p>
            <w:pPr>
              <w:ind w:left="22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3.90</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18"/>
                <w:szCs w:val="18"/>
                <w:color w:val="auto"/>
              </w:rPr>
            </w:pPr>
          </w:p>
        </w:tc>
      </w:tr>
      <w:tr>
        <w:trPr>
          <w:trHeight w:val="21"/>
        </w:trPr>
        <w:tc>
          <w:tcPr>
            <w:tcW w:w="4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June 30, 2014, United had the following potentially dilutive stock options and warrants outstanding: a warrant to purchase 219,909 common shares at $61.40 per share originally issued to the U.S. Treasury; 316,343 common shares issuable upon exercise of stock options granted to employees with a weighted average exercise price of $96.22; 973,467 shares issuable upon completion of vesting of restricted stock awards; and warrants to purchase common stock equivalent junior preferred stock that would be convertible into 1,411,765 common shares exercisable at $21.25 per share granted to Fletcher International Ltd. (“Fletcher”) in connection with a 2010 asset purchase and sale agreement. On March 5, 2014, United announced that it and the Chapter 11 Trustee for Fletcher had agreed to settle all potential claims and counterclaims between them relating to or arising out of, among other things, their respective rights and obligations under the Warrant. Pursuant to the settlement agreement with Fletcher, United has agreed to repurchase the warrant and resolve all claims between the parties. The settlement agreement and the transactions contemplated thereby have been approved by the bankruptcy court but remain subject to an appeal.</w:t>
      </w:r>
    </w:p>
    <w:p>
      <w:pPr>
        <w:spacing w:after="0" w:line="217"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At June 30, 2013, United had the following potentially dilutive stock options and warrants outstanding: a warrant to purchase 219,909 common shares at $61.40 per share originally issued to the U.S. Treasury; 129,670 common shares issuable upon exercise of warrants attached to trust preferred securities with an exercise price of $100 per share; 407,372 common shares issuable upon exercise of stock options granted to employees with a weighted average exercise price of $100.90; 393,785 shares issuable upon completion of vesting of restricted stock awards; warrants to purchase common stock equivalent junior preferred stock that would be convertible into 1,411,765 common shares exercisable at $21.25 per share granted to Fletcher in connection with a 2010 asset purchase and sale agreement; and 1,551,126 common shares issuable upon exercise of warrants granted in connection with United’s tax benefits preservation plan, exercisable at $12.50 per share.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87" w:orient="portrait"/>
          <w:cols w:equalWidth="0" w:num="1">
            <w:col w:w="11420"/>
          </w:cols>
          <w:pgMar w:left="240" w:top="891" w:right="239" w:bottom="0"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Derivatives and Hedging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Management Objective of Using Derivatives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United is exposed to certain risks arising from both its business operations and economic conditions. United principally manages its exposures to a wide variety of business and operational risks through management of its core business activities. United manages interest rate risk primarily by managing the amount, sources, and duration of its investment securities portfolio and wholesale funding and through the use of derivative financial instruments. Specifically, United enters into derivative financial instruments to manage exposures that arise from business activities that result in the receipt or payment of future known and uncertain cash amounts, the value of which are determined by interest rates. United’s derivative financial instruments are used to manage differences in the amount, timing, and duration of United’s known or expected cash receipts and its known or expected cash payments principally related to United’s loans, investment securities, wholesale borrowings and deposits.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conjunction with the FASB’s fair value measurement guidance, United made an accounting policy election to measure the credit risk of its derivative financial instruments that are subject to master netting agreements on a gross basis.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table below presents the fair value of United’s derivative financial instruments as well as their classification on the consolidated balance sheet as of June 30, 2014, December 31, 2013 and June 30, 2013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7"/>
              </w:rPr>
              <w:t>Derivatives designated as hedging instruments under ASC 815</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ind w:left="240"/>
              <w:spacing w:after="0" w:line="198" w:lineRule="exact"/>
              <w:rPr>
                <w:sz w:val="20"/>
                <w:szCs w:val="20"/>
                <w:color w:val="auto"/>
              </w:rPr>
            </w:pPr>
            <w:r>
              <w:rPr>
                <w:rFonts w:ascii="Arial" w:cs="Arial" w:eastAsia="Arial" w:hAnsi="Arial"/>
                <w:sz w:val="18"/>
                <w:szCs w:val="18"/>
                <w:b w:val="1"/>
                <w:bCs w:val="1"/>
                <w:color w:val="auto"/>
              </w:rPr>
              <w:t>Balance Sheet</w:t>
            </w:r>
          </w:p>
        </w:tc>
        <w:tc>
          <w:tcPr>
            <w:tcW w:w="200" w:type="dxa"/>
            <w:vAlign w:val="bottom"/>
          </w:tcPr>
          <w:p>
            <w:pPr>
              <w:spacing w:after="0"/>
              <w:rPr>
                <w:sz w:val="17"/>
                <w:szCs w:val="17"/>
                <w:color w:val="auto"/>
              </w:rPr>
            </w:pPr>
          </w:p>
        </w:tc>
        <w:tc>
          <w:tcPr>
            <w:tcW w:w="1060" w:type="dxa"/>
            <w:vAlign w:val="bottom"/>
          </w:tcPr>
          <w:p>
            <w:pPr>
              <w:jc w:val="center"/>
              <w:ind w:right="130"/>
              <w:spacing w:after="0" w:line="198" w:lineRule="exact"/>
              <w:rPr>
                <w:sz w:val="20"/>
                <w:szCs w:val="20"/>
                <w:color w:val="auto"/>
              </w:rPr>
            </w:pPr>
            <w:r>
              <w:rPr>
                <w:rFonts w:ascii="Arial" w:cs="Arial" w:eastAsia="Arial" w:hAnsi="Arial"/>
                <w:sz w:val="18"/>
                <w:szCs w:val="18"/>
                <w:b w:val="1"/>
                <w:bCs w:val="1"/>
                <w:color w:val="auto"/>
                <w:w w:val="88"/>
              </w:rPr>
              <w:t>June 30,</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90"/>
              <w:spacing w:after="0" w:line="198" w:lineRule="exact"/>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40" w:type="dxa"/>
            <w:vAlign w:val="bottom"/>
            <w:tcBorders>
              <w:bottom w:val="single" w:sz="8" w:color="auto"/>
            </w:tcBorders>
          </w:tcPr>
          <w:p>
            <w:pPr>
              <w:ind w:left="1740"/>
              <w:spacing w:after="0"/>
              <w:rPr>
                <w:sz w:val="20"/>
                <w:szCs w:val="20"/>
                <w:color w:val="auto"/>
              </w:rPr>
            </w:pPr>
            <w:r>
              <w:rPr>
                <w:rFonts w:ascii="Arial" w:cs="Arial" w:eastAsia="Arial" w:hAnsi="Arial"/>
                <w:sz w:val="18"/>
                <w:szCs w:val="18"/>
                <w:b w:val="1"/>
                <w:bCs w:val="1"/>
                <w:color w:val="auto"/>
              </w:rPr>
              <w:t>Interest Rate Products</w:t>
            </w:r>
          </w:p>
        </w:tc>
        <w:tc>
          <w:tcPr>
            <w:tcW w:w="12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2014</w:t>
            </w: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F0FFFF"/>
          </w:tcPr>
          <w:p>
            <w:pPr>
              <w:spacing w:after="0"/>
              <w:rPr>
                <w:sz w:val="20"/>
                <w:szCs w:val="20"/>
                <w:color w:val="auto"/>
              </w:rPr>
            </w:pPr>
            <w:r>
              <w:rPr>
                <w:rFonts w:ascii="Arial" w:cs="Arial" w:eastAsia="Arial" w:hAnsi="Arial"/>
                <w:sz w:val="18"/>
                <w:szCs w:val="18"/>
                <w:color w:val="auto"/>
              </w:rPr>
              <w:t>Cash flow hedge of money market deposits</w:t>
            </w:r>
          </w:p>
        </w:tc>
        <w:tc>
          <w:tcPr>
            <w:tcW w:w="120" w:type="dxa"/>
            <w:vAlign w:val="bottom"/>
            <w:shd w:val="clear" w:color="auto" w:fill="F0FFFF"/>
          </w:tcPr>
          <w:p>
            <w:pPr>
              <w:spacing w:after="0"/>
              <w:rPr>
                <w:sz w:val="18"/>
                <w:szCs w:val="18"/>
                <w:color w:val="auto"/>
              </w:rPr>
            </w:pPr>
          </w:p>
        </w:tc>
        <w:tc>
          <w:tcPr>
            <w:tcW w:w="17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1,109</w:t>
            </w:r>
          </w:p>
        </w:tc>
        <w:tc>
          <w:tcPr>
            <w:tcW w:w="3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4,782</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5,345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Fair value hedge of corporate bonds</w:t>
            </w:r>
          </w:p>
        </w:tc>
        <w:tc>
          <w:tcPr>
            <w:tcW w:w="120" w:type="dxa"/>
            <w:vAlign w:val="bottom"/>
          </w:tcPr>
          <w:p>
            <w:pPr>
              <w:spacing w:after="0"/>
              <w:rPr>
                <w:sz w:val="19"/>
                <w:szCs w:val="19"/>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4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162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1,109</w:t>
            </w:r>
          </w:p>
        </w:tc>
        <w:tc>
          <w:tcPr>
            <w:tcW w:w="3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8,721</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6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Borders>
              <w:top w:val="single" w:sz="8" w:color="F0FF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F0FFFF"/>
          </w:tcPr>
          <w:p>
            <w:pPr>
              <w:spacing w:after="0"/>
              <w:rPr>
                <w:sz w:val="20"/>
                <w:szCs w:val="20"/>
                <w:color w:val="auto"/>
              </w:rPr>
            </w:pPr>
            <w:r>
              <w:rPr>
                <w:rFonts w:ascii="Arial" w:cs="Arial" w:eastAsia="Arial" w:hAnsi="Arial"/>
                <w:sz w:val="18"/>
                <w:szCs w:val="18"/>
                <w:color w:val="auto"/>
              </w:rPr>
              <w:t>Cash flow hedge of short-term debt</w:t>
            </w:r>
          </w:p>
        </w:tc>
        <w:tc>
          <w:tcPr>
            <w:tcW w:w="120" w:type="dxa"/>
            <w:vAlign w:val="bottom"/>
            <w:shd w:val="clear" w:color="auto" w:fill="F0FFFF"/>
          </w:tcPr>
          <w:p>
            <w:pPr>
              <w:spacing w:after="0"/>
              <w:rPr>
                <w:sz w:val="18"/>
                <w:szCs w:val="18"/>
                <w:color w:val="auto"/>
              </w:rPr>
            </w:pPr>
          </w:p>
        </w:tc>
        <w:tc>
          <w:tcPr>
            <w:tcW w:w="17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3,368</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Cash flow hedge of money market deposits</w:t>
            </w:r>
          </w:p>
        </w:tc>
        <w:tc>
          <w:tcPr>
            <w:tcW w:w="12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F0FFFF"/>
          </w:tcPr>
          <w:p>
            <w:pPr>
              <w:spacing w:after="0"/>
              <w:rPr>
                <w:sz w:val="20"/>
                <w:szCs w:val="20"/>
                <w:color w:val="auto"/>
              </w:rPr>
            </w:pPr>
            <w:r>
              <w:rPr>
                <w:rFonts w:ascii="Arial" w:cs="Arial" w:eastAsia="Arial" w:hAnsi="Arial"/>
                <w:sz w:val="18"/>
                <w:szCs w:val="18"/>
                <w:color w:val="auto"/>
              </w:rPr>
              <w:t>Fair value hedge of brokered CD’s</w:t>
            </w:r>
          </w:p>
        </w:tc>
        <w:tc>
          <w:tcPr>
            <w:tcW w:w="120" w:type="dxa"/>
            <w:vAlign w:val="bottom"/>
            <w:shd w:val="clear" w:color="auto" w:fill="F0FFFF"/>
          </w:tcPr>
          <w:p>
            <w:pPr>
              <w:spacing w:after="0"/>
              <w:rPr>
                <w:sz w:val="18"/>
                <w:szCs w:val="18"/>
                <w:color w:val="auto"/>
              </w:rPr>
            </w:pPr>
          </w:p>
        </w:tc>
        <w:tc>
          <w:tcPr>
            <w:tcW w:w="17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9,857</w:t>
            </w:r>
          </w:p>
        </w:tc>
        <w:tc>
          <w:tcPr>
            <w:tcW w:w="2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19,970</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23,325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Fair value hedge of corporate bonds</w:t>
            </w:r>
          </w:p>
        </w:tc>
        <w:tc>
          <w:tcPr>
            <w:tcW w:w="120" w:type="dxa"/>
            <w:vAlign w:val="bottom"/>
          </w:tcPr>
          <w:p>
            <w:pPr>
              <w:spacing w:after="0"/>
              <w:rPr>
                <w:sz w:val="19"/>
                <w:szCs w:val="19"/>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4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62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10,380</w:t>
            </w:r>
          </w:p>
        </w:tc>
        <w:tc>
          <w:tcPr>
            <w:tcW w:w="3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25,646</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28,325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6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26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1"/>
              </w:rPr>
              <w:t>Derivatives not designated as hedging instruments under ASC 815</w:t>
            </w: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center"/>
              <w:ind w:right="140"/>
              <w:spacing w:after="0" w:line="198" w:lineRule="exact"/>
              <w:rPr>
                <w:sz w:val="20"/>
                <w:szCs w:val="20"/>
                <w:color w:val="auto"/>
              </w:rPr>
            </w:pPr>
            <w:r>
              <w:rPr>
                <w:rFonts w:ascii="Arial" w:cs="Arial" w:eastAsia="Arial" w:hAnsi="Arial"/>
                <w:sz w:val="18"/>
                <w:szCs w:val="18"/>
                <w:b w:val="1"/>
                <w:bCs w:val="1"/>
                <w:color w:val="auto"/>
                <w:w w:val="87"/>
              </w:rPr>
              <w:t>Balance Sheet</w:t>
            </w:r>
          </w:p>
        </w:tc>
        <w:tc>
          <w:tcPr>
            <w:tcW w:w="200" w:type="dxa"/>
            <w:vAlign w:val="bottom"/>
          </w:tcPr>
          <w:p>
            <w:pPr>
              <w:spacing w:after="0"/>
              <w:rPr>
                <w:sz w:val="17"/>
                <w:szCs w:val="17"/>
                <w:color w:val="auto"/>
              </w:rPr>
            </w:pPr>
          </w:p>
        </w:tc>
        <w:tc>
          <w:tcPr>
            <w:tcW w:w="1060" w:type="dxa"/>
            <w:vAlign w:val="bottom"/>
          </w:tcPr>
          <w:p>
            <w:pPr>
              <w:jc w:val="center"/>
              <w:ind w:right="130"/>
              <w:spacing w:after="0" w:line="198" w:lineRule="exact"/>
              <w:rPr>
                <w:sz w:val="20"/>
                <w:szCs w:val="20"/>
                <w:color w:val="auto"/>
              </w:rPr>
            </w:pPr>
            <w:r>
              <w:rPr>
                <w:rFonts w:ascii="Arial" w:cs="Arial" w:eastAsia="Arial" w:hAnsi="Arial"/>
                <w:sz w:val="18"/>
                <w:szCs w:val="18"/>
                <w:b w:val="1"/>
                <w:bCs w:val="1"/>
                <w:color w:val="auto"/>
                <w:w w:val="88"/>
              </w:rPr>
              <w:t>June 30,</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90"/>
              <w:spacing w:after="0" w:line="198" w:lineRule="exact"/>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40" w:type="dxa"/>
            <w:vAlign w:val="bottom"/>
            <w:tcBorders>
              <w:bottom w:val="single" w:sz="8" w:color="auto"/>
            </w:tcBorders>
          </w:tcPr>
          <w:p>
            <w:pPr>
              <w:ind w:left="1740"/>
              <w:spacing w:after="0"/>
              <w:rPr>
                <w:sz w:val="20"/>
                <w:szCs w:val="20"/>
                <w:color w:val="auto"/>
              </w:rPr>
            </w:pPr>
            <w:r>
              <w:rPr>
                <w:rFonts w:ascii="Arial" w:cs="Arial" w:eastAsia="Arial" w:hAnsi="Arial"/>
                <w:sz w:val="18"/>
                <w:szCs w:val="18"/>
                <w:b w:val="1"/>
                <w:bCs w:val="1"/>
                <w:color w:val="auto"/>
              </w:rPr>
              <w:t>Interest Rate Products</w:t>
            </w:r>
          </w:p>
        </w:tc>
        <w:tc>
          <w:tcPr>
            <w:tcW w:w="12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2014</w:t>
            </w:r>
          </w:p>
        </w:tc>
        <w:tc>
          <w:tcPr>
            <w:tcW w:w="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F0FFFF"/>
          </w:tcPr>
          <w:p>
            <w:pPr>
              <w:spacing w:after="0"/>
              <w:rPr>
                <w:sz w:val="20"/>
                <w:szCs w:val="20"/>
                <w:color w:val="auto"/>
              </w:rPr>
            </w:pPr>
            <w:r>
              <w:rPr>
                <w:rFonts w:ascii="Arial" w:cs="Arial" w:eastAsia="Arial" w:hAnsi="Arial"/>
                <w:sz w:val="18"/>
                <w:szCs w:val="18"/>
                <w:color w:val="auto"/>
              </w:rPr>
              <w:t>Customer swap positions</w:t>
            </w:r>
          </w:p>
        </w:tc>
        <w:tc>
          <w:tcPr>
            <w:tcW w:w="120" w:type="dxa"/>
            <w:vAlign w:val="bottom"/>
            <w:shd w:val="clear" w:color="auto" w:fill="F0FFFF"/>
          </w:tcPr>
          <w:p>
            <w:pPr>
              <w:spacing w:after="0"/>
              <w:rPr>
                <w:sz w:val="18"/>
                <w:szCs w:val="18"/>
                <w:color w:val="auto"/>
              </w:rPr>
            </w:pPr>
          </w:p>
        </w:tc>
        <w:tc>
          <w:tcPr>
            <w:tcW w:w="17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2,572</w:t>
            </w:r>
          </w:p>
        </w:tc>
        <w:tc>
          <w:tcPr>
            <w:tcW w:w="3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898</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Dealer offsets to customer swap positions</w:t>
            </w:r>
          </w:p>
        </w:tc>
        <w:tc>
          <w:tcPr>
            <w:tcW w:w="12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F0FFFF"/>
          </w:tcPr>
          <w:p>
            <w:pPr>
              <w:spacing w:after="0"/>
              <w:rPr>
                <w:sz w:val="20"/>
                <w:szCs w:val="20"/>
                <w:color w:val="auto"/>
              </w:rPr>
            </w:pPr>
            <w:r>
              <w:rPr>
                <w:rFonts w:ascii="Arial" w:cs="Arial" w:eastAsia="Arial" w:hAnsi="Arial"/>
                <w:sz w:val="18"/>
                <w:szCs w:val="18"/>
                <w:color w:val="auto"/>
              </w:rPr>
              <w:t>Bifurcated embedded derivatives</w:t>
            </w:r>
          </w:p>
        </w:tc>
        <w:tc>
          <w:tcPr>
            <w:tcW w:w="120" w:type="dxa"/>
            <w:vAlign w:val="bottom"/>
            <w:shd w:val="clear" w:color="auto" w:fill="F0FFFF"/>
          </w:tcPr>
          <w:p>
            <w:pPr>
              <w:spacing w:after="0"/>
              <w:rPr>
                <w:sz w:val="18"/>
                <w:szCs w:val="18"/>
                <w:color w:val="auto"/>
              </w:rPr>
            </w:pPr>
          </w:p>
        </w:tc>
        <w:tc>
          <w:tcPr>
            <w:tcW w:w="17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12,369</w:t>
            </w:r>
          </w:p>
        </w:tc>
        <w:tc>
          <w:tcPr>
            <w:tcW w:w="2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12,867</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Offsetting positions for de-designated cash flow hedges</w:t>
            </w:r>
          </w:p>
        </w:tc>
        <w:tc>
          <w:tcPr>
            <w:tcW w:w="120" w:type="dxa"/>
            <w:vAlign w:val="bottom"/>
          </w:tcPr>
          <w:p>
            <w:pPr>
              <w:spacing w:after="0"/>
              <w:rPr>
                <w:sz w:val="19"/>
                <w:szCs w:val="19"/>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5,641</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4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1620" w:type="dxa"/>
            <w:vAlign w:val="bottom"/>
            <w:shd w:val="clear" w:color="auto" w:fill="F0FFFF"/>
          </w:tcPr>
          <w:p>
            <w:pPr>
              <w:spacing w:after="0"/>
              <w:rPr>
                <w:sz w:val="22"/>
                <w:szCs w:val="22"/>
                <w:color w:val="auto"/>
              </w:rPr>
            </w:pPr>
          </w:p>
        </w:tc>
        <w:tc>
          <w:tcPr>
            <w:tcW w:w="120" w:type="dxa"/>
            <w:vAlign w:val="bottom"/>
            <w:shd w:val="clear" w:color="auto" w:fill="F0FFFF"/>
          </w:tcPr>
          <w:p>
            <w:pPr>
              <w:spacing w:after="0"/>
              <w:rPr>
                <w:sz w:val="22"/>
                <w:szCs w:val="22"/>
                <w:color w:val="auto"/>
              </w:rPr>
            </w:pP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20,915</w:t>
            </w:r>
          </w:p>
        </w:tc>
        <w:tc>
          <w:tcPr>
            <w:tcW w:w="3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15,112</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740" w:type="dxa"/>
            <w:vAlign w:val="bottom"/>
            <w:tcBorders>
              <w:top w:val="single" w:sz="8" w:color="F0FFFF"/>
            </w:tcBorders>
            <w:gridSpan w:val="2"/>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Borders>
              <w:top w:val="single" w:sz="8" w:color="F0FF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F0FFFF"/>
          </w:tcPr>
          <w:p>
            <w:pPr>
              <w:spacing w:after="0"/>
              <w:rPr>
                <w:sz w:val="20"/>
                <w:szCs w:val="20"/>
                <w:color w:val="auto"/>
              </w:rPr>
            </w:pPr>
            <w:r>
              <w:rPr>
                <w:rFonts w:ascii="Arial" w:cs="Arial" w:eastAsia="Arial" w:hAnsi="Arial"/>
                <w:sz w:val="18"/>
                <w:szCs w:val="18"/>
                <w:color w:val="auto"/>
              </w:rPr>
              <w:t>Customer swap positions</w:t>
            </w:r>
          </w:p>
        </w:tc>
        <w:tc>
          <w:tcPr>
            <w:tcW w:w="120" w:type="dxa"/>
            <w:vAlign w:val="bottom"/>
            <w:shd w:val="clear" w:color="auto" w:fill="F0FFFF"/>
          </w:tcPr>
          <w:p>
            <w:pPr>
              <w:spacing w:after="0"/>
              <w:rPr>
                <w:sz w:val="18"/>
                <w:szCs w:val="18"/>
                <w:color w:val="auto"/>
              </w:rPr>
            </w:pPr>
          </w:p>
        </w:tc>
        <w:tc>
          <w:tcPr>
            <w:tcW w:w="17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333</w:t>
            </w:r>
          </w:p>
        </w:tc>
        <w:tc>
          <w:tcPr>
            <w:tcW w:w="32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1,347</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Dealer offsets to customer swap positions</w:t>
            </w:r>
          </w:p>
        </w:tc>
        <w:tc>
          <w:tcPr>
            <w:tcW w:w="12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2,592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F0FFFF"/>
          </w:tcPr>
          <w:p>
            <w:pPr>
              <w:spacing w:after="0"/>
              <w:rPr>
                <w:sz w:val="20"/>
                <w:szCs w:val="20"/>
                <w:color w:val="auto"/>
              </w:rPr>
            </w:pPr>
            <w:r>
              <w:rPr>
                <w:rFonts w:ascii="Arial" w:cs="Arial" w:eastAsia="Arial" w:hAnsi="Arial"/>
                <w:sz w:val="18"/>
                <w:szCs w:val="18"/>
                <w:color w:val="auto"/>
              </w:rPr>
              <w:t>Dealer offsets to bifurcated embedded derivatives</w:t>
            </w:r>
          </w:p>
        </w:tc>
        <w:tc>
          <w:tcPr>
            <w:tcW w:w="120" w:type="dxa"/>
            <w:vAlign w:val="bottom"/>
            <w:shd w:val="clear" w:color="auto" w:fill="F0FFFF"/>
          </w:tcPr>
          <w:p>
            <w:pPr>
              <w:spacing w:after="0"/>
              <w:rPr>
                <w:sz w:val="18"/>
                <w:szCs w:val="18"/>
                <w:color w:val="auto"/>
              </w:rPr>
            </w:pPr>
          </w:p>
        </w:tc>
        <w:tc>
          <w:tcPr>
            <w:tcW w:w="17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17,599</w:t>
            </w:r>
          </w:p>
        </w:tc>
        <w:tc>
          <w:tcPr>
            <w:tcW w:w="2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18,324</w:t>
            </w:r>
          </w:p>
        </w:tc>
        <w:tc>
          <w:tcPr>
            <w:tcW w:w="1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Cash flow hedge of brokered CDs</w:t>
            </w:r>
          </w:p>
        </w:tc>
        <w:tc>
          <w:tcPr>
            <w:tcW w:w="12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1,728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Cash flow hedge of money market deposits</w:t>
            </w:r>
          </w:p>
        </w:tc>
        <w:tc>
          <w:tcPr>
            <w:tcW w:w="120" w:type="dxa"/>
            <w:vAlign w:val="bottom"/>
            <w:tcBorders>
              <w:bottom w:val="single" w:sz="8" w:color="F0FFFF"/>
            </w:tcBorders>
            <w:shd w:val="clear" w:color="auto" w:fill="F0FFFF"/>
          </w:tcPr>
          <w:p>
            <w:pPr>
              <w:spacing w:after="0"/>
              <w:rPr>
                <w:sz w:val="19"/>
                <w:szCs w:val="19"/>
                <w:color w:val="auto"/>
              </w:rPr>
            </w:pPr>
          </w:p>
        </w:tc>
        <w:tc>
          <w:tcPr>
            <w:tcW w:w="1740" w:type="dxa"/>
            <w:vAlign w:val="bottom"/>
            <w:tcBorders>
              <w:bottom w:val="single" w:sz="8" w:color="F0FFFF"/>
            </w:tcBorders>
            <w:gridSpan w:val="2"/>
            <w:shd w:val="clear" w:color="auto" w:fill="F0FFFF"/>
          </w:tcPr>
          <w:p>
            <w:pPr>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shd w:val="clear" w:color="auto" w:fill="F0FFFF"/>
          </w:tcPr>
          <w:p>
            <w:pPr>
              <w:spacing w:after="0"/>
              <w:rPr>
                <w:sz w:val="19"/>
                <w:szCs w:val="19"/>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3,913</w:t>
            </w:r>
          </w:p>
        </w:tc>
        <w:tc>
          <w:tcPr>
            <w:tcW w:w="240" w:type="dxa"/>
            <w:vAlign w:val="bottom"/>
            <w:tcBorders>
              <w:bottom w:val="single" w:sz="8" w:color="F0FFFF"/>
            </w:tcBorders>
            <w:shd w:val="clear" w:color="auto" w:fill="F0FFFF"/>
          </w:tcPr>
          <w:p>
            <w:pPr>
              <w:spacing w:after="0"/>
              <w:rPr>
                <w:sz w:val="19"/>
                <w:szCs w:val="19"/>
                <w:color w:val="auto"/>
              </w:rPr>
            </w:pPr>
          </w:p>
        </w:tc>
        <w:tc>
          <w:tcPr>
            <w:tcW w:w="80" w:type="dxa"/>
            <w:vAlign w:val="bottom"/>
            <w:tcBorders>
              <w:bottom w:val="single" w:sz="8" w:color="auto"/>
            </w:tcBorders>
            <w:shd w:val="clear" w:color="auto" w:fill="F0FFFF"/>
          </w:tcPr>
          <w:p>
            <w:pPr>
              <w:spacing w:after="0"/>
              <w:rPr>
                <w:sz w:val="19"/>
                <w:szCs w:val="19"/>
                <w:color w:val="auto"/>
              </w:rPr>
            </w:pPr>
          </w:p>
        </w:tc>
        <w:tc>
          <w:tcPr>
            <w:tcW w:w="11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auto"/>
            </w:tcBorders>
            <w:shd w:val="clear" w:color="auto" w:fill="F0FFFF"/>
          </w:tcPr>
          <w:p>
            <w:pPr>
              <w:spacing w:after="0"/>
              <w:rPr>
                <w:sz w:val="19"/>
                <w:szCs w:val="19"/>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26,165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20,586</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Derivative contracts that are not accounted for as hedging instruments under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and are described as “customer derivatives,” are between United and certain commercial loan customers with offsetting positions to dealers under a back-to-back swap program. United also has three interest rate swap contracts that are not designated as hedging instruments but are economic hedges of market linked brokered certificates of deposit. The market linked brokered certificates of deposit contain embedded derivatives that are bifurcated from the host instruments and marked to market through earnings. The marks on the market linked swaps and the bifurcated embedded derivatives tend to move in opposite directions with changes in 90-day LIBOR and therefore provide an effective economic hedge.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 of Interest Rate Risk</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United’s objectives in using interest rate derivatives are to add stability to net interest revenue and to manage its exposure to interest rate movements. To accomplish this objective, United uses interest rate swaps as part of its interest rate risk management strategy. At June 30, 2014, United’s interest rate swaps designated as cash flow hedges involved the payment of fixed-rate amounts to a counterparty in exchange for United receiving variable-rate payments over the life of the agreements without exchange of the underlying notional amount. United’s current cash flow hedges are for the purpose of converting variable rate deposits and wholesale borrowings to a fixed rate to protect United in a rising rate environment. At June 30, 2014, United had two swap contracts outstanding with a total notional amount of $275 million that were designated as cash flow hedges of indexed money market accounts. The swaps are forward starting with $100 million in notional becoming effective in the third quarter of 2014 and $175 million becoming effective later in 2015. At December 31, 2013 and June 30, 2013, United had three swap contracts outstanding with a total notional amount of $200 million that were designated as cash flow hedges of future issuances of three-month brokered deposits or other LIBOR based floating rate wholesale borrowings, and three swap contracts outstanding with a total notional amount of $375 million that were designated as cash flow hedges of indexed money market accounts. During the second quarter of 2014, United de-designated swaps with a notional of $400 million and put on offsetting positions which had a similar effect to terminating the positions. Changes in United’s balance sheet composition and interest rate risk position made the hedges no longer necessary as protection against rising interest rates. The loss remaining in other comprehensive income on the de-designated swaps is being amortized into earnings over the original term of the swaps as the forecasted transactions that the swaps were originally designated to hedge are still expected to occur.</w:t>
      </w:r>
    </w:p>
    <w:p>
      <w:pPr>
        <w:spacing w:after="0" w:line="19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effective portion of changes in the fair value of derivatives designated and that qualify as cash flow hedges is recorded in accumulated other comprehensive income and is subsequently reclassified into earnings in the period that the hedged forecasted transaction affects earnings. Amounts reported in accumulated other comprehensive income related to derivatives will be reclassified to interest expense when the swaps become effective, as interest payments are made on United’s LIBOR based, variable-rate wholesale borrowings and indexed deposit accounts. United’s active forward starting cash flow hedges of floating rate liabilities began interest settlements in the first quarter of 2014. United recognized $50,000 and $85,000 in hedge ineffectiveness losses in interest expense on active cash flow hedges during the second quarter and first six months of 2014. No such hedge ineffectiveness gains or losses were recognized on active cash flow hedges during the second quarter or first six months of 2013. United expects that $3.34 million will be reclassified as an increase to deposit interest expense over the next twelve months related to these cash flow hedges.</w:t>
      </w: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and six months ended June 30, 2013, United accelerated the reclassification of $3,000 and $4,000, respectively, in gains from terminated positions, as a result of the forecasted transactions becoming probable not to occur. These amounts are recognized in loan interest revenue as hedge ineffectiveness.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Hedges of Interest Rate Risk</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United is exposed to changes in the fair value of certain of its fixed rate investments and obligations due to changes in interest rates. United uses interest rate swaps to manage its exposure to changes in fair value on these instruments attributable to changes in interest rates. Interest rate swaps designated as fair value hedges of brokered deposits involve the receipt of fixed-rate amounts from a counterparty in exchange for United making variable rate payments over the life of the agreements without the exchange of the underlying notional amount. Interest rate swaps designated as fair value hedges of fixed rate investments involve the receipt of variable-rate amounts from a counterparty in exchange for United making fixed rate payments over the life of the instrument without the exchange of the underlying notional amount. At June 30, 2014, United had 16 interest rate swaps with an aggregate notional amount of $199 million that were designated as fair value hedges of interest rate risk. These contracts were pay-variable / receive-fixed swaps hedging changes in the fair value of fixed rate brokered time deposits resulting from changes in interest rates. At June 30, 2013, United had 25 interest rate swaps with an aggregate notional amount of $335 million that were designated as fair value hedges. At June 30, 2013, eight of the interest rate swaps with an aggregate notional amount of $86 million were receive-variable / pay-fixed swaps that were used for the purpose of hedging changes in the fair value of corporate bonds resulting from changes in interest rates. These swaps were cancelled and the bonds were sold in the second quarter of 2014. The other 17 were pay-variable / receive-fixed swaps hedging changes in fair value of fixed rate brokered time deposits resulting from changes in interest rates.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income statement line item as the offsetting loss or gain on the related derivatives. During the three and six months ended June 30, 2014 United recognized net losses of $236,000 and 625,000, respectively, and during the three and six months ended June 30, 2013, United recognized net losses of $223,000 and $189,000, respectively, related to ineffectiveness of the fair value hedging relationships. United also recognized net reductions of interest expense of $1.22 million and $2.43 million, respectively, for the three and six months ended June 30, 2014 and net reductions of interest expense of $1.20 million and $2.27 million, respectively, for the three and six months ended June 30, 2013 related to United’s fair value hedges of brokered time deposits, which include net settlements on the derivatives. United recognized reductions of interest revenue on securities during the three and six months ended June 30, 2014 in the amounts of $425,000 and $955,000, respectively, related to United’s fair value hedges of corporate bonds. For the three and six months ended June 30, 2013, United recognized reductions of interest revenue on securities in the amounts of $283,000 and $295,000,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Disclosure of the Effect of Derivative Instruments on the Income Statement</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tables below present the effect of United’s derivative financial instruments on the consolidated statement of operations for the three and six months ended June 30, 2014 and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Derivatives in Fair Value Hedging Relationships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91"/>
              </w:rPr>
              <w:t>Location of Gain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90"/>
              </w:rPr>
              <w:t>Amount of Gain (Loss)</w:t>
            </w:r>
          </w:p>
        </w:tc>
        <w:tc>
          <w:tcPr>
            <w:tcW w:w="240" w:type="dxa"/>
            <w:vAlign w:val="bottom"/>
          </w:tcPr>
          <w:p>
            <w:pPr>
              <w:spacing w:after="0"/>
              <w:rPr>
                <w:sz w:val="18"/>
                <w:szCs w:val="18"/>
                <w:color w:val="auto"/>
              </w:rPr>
            </w:pPr>
          </w:p>
        </w:tc>
        <w:tc>
          <w:tcPr>
            <w:tcW w:w="244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0"/>
              </w:rPr>
              <w:t>Amount of Gain (Loss)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87"/>
              </w:rPr>
              <w:t>(Loss) Recognized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89"/>
              </w:rPr>
              <w:t>Recognized in Income</w:t>
            </w:r>
          </w:p>
        </w:tc>
        <w:tc>
          <w:tcPr>
            <w:tcW w:w="240" w:type="dxa"/>
            <w:vAlign w:val="bottom"/>
          </w:tcPr>
          <w:p>
            <w:pPr>
              <w:spacing w:after="0"/>
              <w:rPr>
                <w:sz w:val="18"/>
                <w:szCs w:val="18"/>
                <w:color w:val="auto"/>
              </w:rPr>
            </w:pPr>
          </w:p>
        </w:tc>
        <w:tc>
          <w:tcPr>
            <w:tcW w:w="244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88"/>
              </w:rPr>
              <w:t>Recognized in Income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080" w:type="dxa"/>
            <w:vAlign w:val="bottom"/>
          </w:tcPr>
          <w:p>
            <w:pPr>
              <w:jc w:val="center"/>
              <w:spacing w:after="0"/>
              <w:rPr>
                <w:sz w:val="20"/>
                <w:szCs w:val="20"/>
                <w:color w:val="auto"/>
              </w:rPr>
            </w:pPr>
            <w:r>
              <w:rPr>
                <w:rFonts w:ascii="Arial" w:cs="Arial" w:eastAsia="Arial" w:hAnsi="Arial"/>
                <w:sz w:val="18"/>
                <w:szCs w:val="18"/>
                <w:b w:val="1"/>
                <w:bCs w:val="1"/>
                <w:color w:val="auto"/>
                <w:w w:val="90"/>
              </w:rPr>
              <w:t>in Income on</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6"/>
          </w:tcPr>
          <w:p>
            <w:pPr>
              <w:jc w:val="center"/>
              <w:ind w:right="420"/>
              <w:spacing w:after="0"/>
              <w:rPr>
                <w:sz w:val="20"/>
                <w:szCs w:val="20"/>
                <w:color w:val="auto"/>
              </w:rPr>
            </w:pPr>
            <w:r>
              <w:rPr>
                <w:rFonts w:ascii="Arial" w:cs="Arial" w:eastAsia="Arial" w:hAnsi="Arial"/>
                <w:sz w:val="18"/>
                <w:szCs w:val="18"/>
                <w:b w:val="1"/>
                <w:bCs w:val="1"/>
                <w:color w:val="auto"/>
                <w:w w:val="91"/>
              </w:rPr>
              <w:t>on Derivative</w:t>
            </w:r>
          </w:p>
        </w:tc>
        <w:tc>
          <w:tcPr>
            <w:tcW w:w="240" w:type="dxa"/>
            <w:vAlign w:val="bottom"/>
          </w:tcPr>
          <w:p>
            <w:pPr>
              <w:spacing w:after="0"/>
              <w:rPr>
                <w:sz w:val="20"/>
                <w:szCs w:val="20"/>
                <w:color w:val="auto"/>
              </w:rPr>
            </w:pPr>
          </w:p>
        </w:tc>
        <w:tc>
          <w:tcPr>
            <w:tcW w:w="244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1"/>
              </w:rPr>
              <w:t>on Hedged Item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Derivative</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Three Months Ended June 30,</w:t>
            </w:r>
          </w:p>
        </w:tc>
        <w:tc>
          <w:tcPr>
            <w:tcW w:w="20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Fair value hedges of brokered CD’s</w:t>
            </w:r>
          </w:p>
        </w:tc>
        <w:tc>
          <w:tcPr>
            <w:tcW w:w="2080" w:type="dxa"/>
            <w:vAlign w:val="bottom"/>
          </w:tcPr>
          <w:p>
            <w:pPr>
              <w:spacing w:after="0"/>
              <w:rPr>
                <w:sz w:val="20"/>
                <w:szCs w:val="20"/>
                <w:color w:val="auto"/>
              </w:rPr>
            </w:pPr>
            <w:r>
              <w:rPr>
                <w:rFonts w:ascii="Arial" w:cs="Arial" w:eastAsia="Arial" w:hAnsi="Arial"/>
                <w:sz w:val="18"/>
                <w:szCs w:val="18"/>
                <w:color w:val="auto"/>
              </w:rPr>
              <w:t>Interest expense</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4,262</w:t>
            </w:r>
          </w:p>
        </w:tc>
        <w:tc>
          <w:tcPr>
            <w:tcW w:w="1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(15,441)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(4,382)</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15,337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F0FFFF"/>
          </w:tcPr>
          <w:p>
            <w:pPr>
              <w:spacing w:after="0"/>
              <w:rPr>
                <w:sz w:val="20"/>
                <w:szCs w:val="20"/>
                <w:color w:val="auto"/>
              </w:rPr>
            </w:pPr>
            <w:r>
              <w:rPr>
                <w:rFonts w:ascii="Arial" w:cs="Arial" w:eastAsia="Arial" w:hAnsi="Arial"/>
                <w:sz w:val="18"/>
                <w:szCs w:val="18"/>
                <w:color w:val="auto"/>
              </w:rPr>
              <w:t>Fair value hedges of corporate bonds</w:t>
            </w:r>
          </w:p>
        </w:tc>
        <w:tc>
          <w:tcPr>
            <w:tcW w:w="2080" w:type="dxa"/>
            <w:vAlign w:val="bottom"/>
            <w:shd w:val="clear" w:color="auto" w:fill="F0FFFF"/>
          </w:tcPr>
          <w:p>
            <w:pPr>
              <w:spacing w:after="0"/>
              <w:rPr>
                <w:sz w:val="20"/>
                <w:szCs w:val="20"/>
                <w:color w:val="auto"/>
              </w:rPr>
            </w:pPr>
            <w:r>
              <w:rPr>
                <w:rFonts w:ascii="Arial" w:cs="Arial" w:eastAsia="Arial" w:hAnsi="Arial"/>
                <w:sz w:val="18"/>
                <w:szCs w:val="18"/>
                <w:color w:val="auto"/>
              </w:rPr>
              <w:t>Interest revenue</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(783)</w:t>
            </w: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4,461</w:t>
            </w: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667</w:t>
            </w: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(4,068)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0" w:type="dxa"/>
            <w:vAlign w:val="bottom"/>
            <w:shd w:val="clear" w:color="auto" w:fill="F0FFFF"/>
          </w:tcPr>
          <w:p>
            <w:pPr>
              <w:spacing w:after="0"/>
              <w:rPr>
                <w:sz w:val="2"/>
                <w:szCs w:val="2"/>
                <w:color w:val="auto"/>
              </w:rPr>
            </w:pPr>
          </w:p>
        </w:tc>
        <w:tc>
          <w:tcPr>
            <w:tcW w:w="208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3,479</w:t>
            </w:r>
          </w:p>
        </w:tc>
        <w:tc>
          <w:tcPr>
            <w:tcW w:w="1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(10,980)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(3,715)</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11,269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0" w:type="dxa"/>
            <w:vAlign w:val="bottom"/>
            <w:shd w:val="clear" w:color="auto" w:fill="F0FFFF"/>
          </w:tcPr>
          <w:p>
            <w:pPr>
              <w:spacing w:after="0"/>
              <w:rPr>
                <w:sz w:val="18"/>
                <w:szCs w:val="18"/>
                <w:color w:val="auto"/>
              </w:rPr>
            </w:pPr>
          </w:p>
        </w:tc>
        <w:tc>
          <w:tcPr>
            <w:tcW w:w="20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b w:val="1"/>
                <w:bCs w:val="1"/>
                <w:color w:val="auto"/>
              </w:rPr>
              <w:t>Six Months Ended June 30,</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F0FFFF"/>
          </w:tcPr>
          <w:p>
            <w:pPr>
              <w:spacing w:after="0"/>
              <w:rPr>
                <w:sz w:val="20"/>
                <w:szCs w:val="20"/>
                <w:color w:val="auto"/>
              </w:rPr>
            </w:pPr>
            <w:r>
              <w:rPr>
                <w:rFonts w:ascii="Arial" w:cs="Arial" w:eastAsia="Arial" w:hAnsi="Arial"/>
                <w:sz w:val="18"/>
                <w:szCs w:val="18"/>
                <w:color w:val="auto"/>
              </w:rPr>
              <w:t>Fair value hedges of brokered CD’s</w:t>
            </w:r>
          </w:p>
        </w:tc>
        <w:tc>
          <w:tcPr>
            <w:tcW w:w="2080" w:type="dxa"/>
            <w:vAlign w:val="bottom"/>
            <w:shd w:val="clear" w:color="auto" w:fill="F0FFFF"/>
          </w:tcPr>
          <w:p>
            <w:pPr>
              <w:spacing w:after="0"/>
              <w:rPr>
                <w:sz w:val="20"/>
                <w:szCs w:val="20"/>
                <w:color w:val="auto"/>
              </w:rPr>
            </w:pPr>
            <w:r>
              <w:rPr>
                <w:rFonts w:ascii="Arial" w:cs="Arial" w:eastAsia="Arial" w:hAnsi="Arial"/>
                <w:sz w:val="18"/>
                <w:szCs w:val="18"/>
                <w:color w:val="auto"/>
              </w:rPr>
              <w:t>Interest expense</w:t>
            </w:r>
          </w:p>
        </w:tc>
        <w:tc>
          <w:tcPr>
            <w:tcW w:w="3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10,115</w:t>
            </w:r>
          </w:p>
        </w:tc>
        <w:tc>
          <w:tcPr>
            <w:tcW w:w="140" w:type="dxa"/>
            <w:vAlign w:val="bottom"/>
            <w:shd w:val="clear" w:color="auto" w:fill="F0FFFF"/>
          </w:tcPr>
          <w:p>
            <w:pPr>
              <w:spacing w:after="0"/>
              <w:rPr>
                <w:sz w:val="18"/>
                <w:szCs w:val="18"/>
                <w:color w:val="auto"/>
              </w:rPr>
            </w:pPr>
          </w:p>
        </w:tc>
        <w:tc>
          <w:tcPr>
            <w:tcW w:w="3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(17,285)</w:t>
            </w: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(10,416)</w:t>
            </w:r>
          </w:p>
        </w:tc>
        <w:tc>
          <w:tcPr>
            <w:tcW w:w="3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17,116</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Fair value hedges of corporate bonds</w:t>
            </w:r>
          </w:p>
        </w:tc>
        <w:tc>
          <w:tcPr>
            <w:tcW w:w="2080" w:type="dxa"/>
            <w:vAlign w:val="bottom"/>
          </w:tcPr>
          <w:p>
            <w:pPr>
              <w:spacing w:after="0"/>
              <w:rPr>
                <w:sz w:val="20"/>
                <w:szCs w:val="20"/>
                <w:color w:val="auto"/>
              </w:rPr>
            </w:pPr>
            <w:r>
              <w:rPr>
                <w:rFonts w:ascii="Arial" w:cs="Arial" w:eastAsia="Arial" w:hAnsi="Arial"/>
                <w:sz w:val="18"/>
                <w:szCs w:val="18"/>
                <w:color w:val="auto"/>
              </w:rPr>
              <w:t>Interest revenue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(2,487)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4,229</w:t>
            </w:r>
          </w:p>
        </w:tc>
        <w:tc>
          <w:tcPr>
            <w:tcW w:w="2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2,163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(3,857)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00" w:type="dxa"/>
            <w:vAlign w:val="bottom"/>
            <w:shd w:val="clear" w:color="auto" w:fill="F0FFFF"/>
          </w:tcPr>
          <w:p>
            <w:pPr>
              <w:spacing w:after="0"/>
              <w:rPr>
                <w:sz w:val="20"/>
                <w:szCs w:val="20"/>
                <w:color w:val="auto"/>
              </w:rPr>
            </w:pPr>
          </w:p>
        </w:tc>
        <w:tc>
          <w:tcPr>
            <w:tcW w:w="2080" w:type="dxa"/>
            <w:vAlign w:val="bottom"/>
            <w:shd w:val="clear" w:color="auto" w:fill="F0FFFF"/>
          </w:tcPr>
          <w:p>
            <w:pPr>
              <w:spacing w:after="0"/>
              <w:rPr>
                <w:sz w:val="20"/>
                <w:szCs w:val="20"/>
                <w:color w:val="auto"/>
              </w:rPr>
            </w:pPr>
          </w:p>
        </w:tc>
        <w:tc>
          <w:tcPr>
            <w:tcW w:w="3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7,628</w:t>
            </w:r>
          </w:p>
        </w:tc>
        <w:tc>
          <w:tcPr>
            <w:tcW w:w="140" w:type="dxa"/>
            <w:vAlign w:val="bottom"/>
            <w:shd w:val="clear" w:color="auto" w:fill="F0FFFF"/>
          </w:tcPr>
          <w:p>
            <w:pPr>
              <w:spacing w:after="0"/>
              <w:rPr>
                <w:sz w:val="20"/>
                <w:szCs w:val="20"/>
                <w:color w:val="auto"/>
              </w:rPr>
            </w:pPr>
          </w:p>
        </w:tc>
        <w:tc>
          <w:tcPr>
            <w:tcW w:w="3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(13,056)</w:t>
            </w: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(8,253)</w:t>
            </w:r>
          </w:p>
        </w:tc>
        <w:tc>
          <w:tcPr>
            <w:tcW w:w="3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13,259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top w:val="single" w:sz="8" w:color="F0FFFF"/>
            </w:tcBorders>
            <w:shd w:val="clear" w:color="auto" w:fill="F0FFFF"/>
          </w:tcPr>
          <w:p>
            <w:pPr>
              <w:spacing w:after="0" w:line="20" w:lineRule="exact"/>
              <w:rPr>
                <w:sz w:val="1"/>
                <w:szCs w:val="1"/>
                <w:color w:val="auto"/>
              </w:rPr>
            </w:pPr>
          </w:p>
        </w:tc>
        <w:tc>
          <w:tcPr>
            <w:tcW w:w="208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certain cases, the estate of deceased brokered certificate of deposit holders may put the certificate of deposit back to the issuing bank at par upon the death of the holder. When these death puts occur, a gain or loss is recognized for the difference between the fair value and the par amount of the deposits put back. The change in the fair value of brokered time deposits that are being hedged in fair value hedging relationships reported in the table above includes gains and losses from death puts and such gains and losses are included in the amount of reported ineffectiveness gains or losses.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Derivatives in Cash Flow Hedging Relationships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1"/>
              </w:rPr>
              <w:t>Amount of Gain (Loss)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0"/>
              </w:rPr>
              <w:t>Recognized in Other</w:t>
            </w:r>
          </w:p>
        </w:tc>
        <w:tc>
          <w:tcPr>
            <w:tcW w:w="3420" w:type="dxa"/>
            <w:vAlign w:val="bottom"/>
            <w:gridSpan w:val="6"/>
          </w:tcPr>
          <w:p>
            <w:pPr>
              <w:jc w:val="center"/>
              <w:ind w:left="210"/>
              <w:spacing w:after="0"/>
              <w:rPr>
                <w:sz w:val="20"/>
                <w:szCs w:val="20"/>
                <w:color w:val="auto"/>
              </w:rPr>
            </w:pPr>
            <w:r>
              <w:rPr>
                <w:rFonts w:ascii="Arial" w:cs="Arial" w:eastAsia="Arial" w:hAnsi="Arial"/>
                <w:sz w:val="18"/>
                <w:szCs w:val="18"/>
                <w:b w:val="1"/>
                <w:bCs w:val="1"/>
                <w:color w:val="auto"/>
                <w:w w:val="89"/>
              </w:rPr>
              <w:t>Gain (Loss) Reclassified from</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7"/>
              </w:rPr>
              <w:t>Comprehensive</w:t>
            </w:r>
          </w:p>
        </w:tc>
        <w:tc>
          <w:tcPr>
            <w:tcW w:w="3420" w:type="dxa"/>
            <w:vAlign w:val="bottom"/>
            <w:gridSpan w:val="6"/>
          </w:tcPr>
          <w:p>
            <w:pPr>
              <w:jc w:val="center"/>
              <w:ind w:left="210"/>
              <w:spacing w:after="0"/>
              <w:rPr>
                <w:sz w:val="20"/>
                <w:szCs w:val="20"/>
                <w:color w:val="auto"/>
              </w:rPr>
            </w:pPr>
            <w:r>
              <w:rPr>
                <w:rFonts w:ascii="Arial" w:cs="Arial" w:eastAsia="Arial" w:hAnsi="Arial"/>
                <w:sz w:val="18"/>
                <w:szCs w:val="18"/>
                <w:b w:val="1"/>
                <w:bCs w:val="1"/>
                <w:color w:val="auto"/>
                <w:w w:val="90"/>
              </w:rPr>
              <w:t>Accumulated Other Comprehensive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40" w:type="dxa"/>
            <w:vAlign w:val="bottom"/>
            <w:gridSpan w:val="9"/>
          </w:tcPr>
          <w:p>
            <w:pPr>
              <w:jc w:val="center"/>
              <w:ind w:right="100"/>
              <w:spacing w:after="0"/>
              <w:rPr>
                <w:sz w:val="20"/>
                <w:szCs w:val="20"/>
                <w:color w:val="auto"/>
              </w:rPr>
            </w:pPr>
            <w:r>
              <w:rPr>
                <w:rFonts w:ascii="Arial" w:cs="Arial" w:eastAsia="Arial" w:hAnsi="Arial"/>
                <w:sz w:val="18"/>
                <w:szCs w:val="18"/>
                <w:b w:val="1"/>
                <w:bCs w:val="1"/>
                <w:color w:val="auto"/>
                <w:w w:val="89"/>
              </w:rPr>
              <w:t>Gain (Loss) Recognized in Income 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1"/>
              </w:rPr>
              <w:t>Income on Derivative</w:t>
            </w:r>
          </w:p>
        </w:tc>
        <w:tc>
          <w:tcPr>
            <w:tcW w:w="2700" w:type="dxa"/>
            <w:vAlign w:val="bottom"/>
            <w:gridSpan w:val="5"/>
          </w:tcPr>
          <w:p>
            <w:pPr>
              <w:jc w:val="center"/>
              <w:ind w:left="930"/>
              <w:spacing w:after="0"/>
              <w:rPr>
                <w:sz w:val="20"/>
                <w:szCs w:val="20"/>
                <w:color w:val="auto"/>
              </w:rPr>
            </w:pPr>
            <w:r>
              <w:rPr>
                <w:rFonts w:ascii="Arial" w:cs="Arial" w:eastAsia="Arial" w:hAnsi="Arial"/>
                <w:sz w:val="18"/>
                <w:szCs w:val="18"/>
                <w:b w:val="1"/>
                <w:bCs w:val="1"/>
                <w:color w:val="auto"/>
                <w:w w:val="89"/>
              </w:rPr>
              <w:t>Income into Income</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Derivative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1"/>
              </w:rPr>
              <w:t>(Effective Portion)</w:t>
            </w:r>
          </w:p>
        </w:tc>
        <w:tc>
          <w:tcPr>
            <w:tcW w:w="2700" w:type="dxa"/>
            <w:vAlign w:val="bottom"/>
            <w:gridSpan w:val="5"/>
          </w:tcPr>
          <w:p>
            <w:pPr>
              <w:jc w:val="center"/>
              <w:ind w:left="910"/>
              <w:spacing w:after="0"/>
              <w:rPr>
                <w:sz w:val="20"/>
                <w:szCs w:val="20"/>
                <w:color w:val="auto"/>
              </w:rPr>
            </w:pPr>
            <w:r>
              <w:rPr>
                <w:rFonts w:ascii="Arial" w:cs="Arial" w:eastAsia="Arial" w:hAnsi="Arial"/>
                <w:sz w:val="18"/>
                <w:szCs w:val="18"/>
                <w:b w:val="1"/>
                <w:bCs w:val="1"/>
                <w:color w:val="auto"/>
                <w:w w:val="91"/>
              </w:rPr>
              <w:t>(Effective Portion)</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gridSpan w:val="7"/>
          </w:tcPr>
          <w:p>
            <w:pPr>
              <w:jc w:val="center"/>
              <w:ind w:left="730"/>
              <w:spacing w:after="0"/>
              <w:rPr>
                <w:sz w:val="20"/>
                <w:szCs w:val="20"/>
                <w:color w:val="auto"/>
              </w:rPr>
            </w:pPr>
            <w:r>
              <w:rPr>
                <w:rFonts w:ascii="Arial" w:cs="Arial" w:eastAsia="Arial" w:hAnsi="Arial"/>
                <w:sz w:val="18"/>
                <w:szCs w:val="18"/>
                <w:b w:val="1"/>
                <w:bCs w:val="1"/>
                <w:color w:val="auto"/>
                <w:w w:val="91"/>
              </w:rPr>
              <w:t>(Ineffective Portion)</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26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136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b w:val="1"/>
                <w:bCs w:val="1"/>
                <w:color w:val="auto"/>
              </w:rPr>
              <w:t>Location</w:t>
            </w: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30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gridSpan w:val="4"/>
            <w:shd w:val="clear" w:color="auto" w:fill="F0FFFF"/>
          </w:tcPr>
          <w:p>
            <w:pPr>
              <w:spacing w:after="0"/>
              <w:rPr>
                <w:sz w:val="20"/>
                <w:szCs w:val="20"/>
                <w:color w:val="auto"/>
              </w:rPr>
            </w:pPr>
            <w:r>
              <w:rPr>
                <w:rFonts w:ascii="Arial" w:cs="Arial" w:eastAsia="Arial" w:hAnsi="Arial"/>
                <w:sz w:val="18"/>
                <w:szCs w:val="18"/>
                <w:b w:val="1"/>
                <w:bCs w:val="1"/>
                <w:color w:val="auto"/>
              </w:rPr>
              <w:t>Three Months Ended June 30,</w:t>
            </w: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3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0" w:type="dxa"/>
            <w:vAlign w:val="bottom"/>
            <w:tcBorders>
              <w:left w:val="single" w:sz="8" w:color="F0FFFF"/>
            </w:tcBorders>
            <w:shd w:val="clear" w:color="auto" w:fill="F0FFFF"/>
          </w:tcPr>
          <w:p>
            <w:pPr>
              <w:spacing w:after="0"/>
              <w:rPr>
                <w:sz w:val="18"/>
                <w:szCs w:val="18"/>
                <w:color w:val="auto"/>
              </w:rPr>
            </w:pPr>
          </w:p>
        </w:tc>
        <w:tc>
          <w:tcPr>
            <w:tcW w:w="1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Interest revenue</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303</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360" w:type="dxa"/>
            <w:vAlign w:val="bottom"/>
            <w:shd w:val="clear" w:color="auto" w:fill="F0FF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(573)</w:t>
            </w:r>
          </w:p>
        </w:tc>
        <w:tc>
          <w:tcPr>
            <w:tcW w:w="720" w:type="dxa"/>
            <w:vAlign w:val="bottom"/>
            <w:shd w:val="clear" w:color="auto" w:fill="F0FFFF"/>
          </w:tcPr>
          <w:p>
            <w:pPr>
              <w:spacing w:after="0"/>
              <w:rPr>
                <w:sz w:val="18"/>
                <w:szCs w:val="18"/>
                <w:color w:val="auto"/>
              </w:rPr>
            </w:pPr>
          </w:p>
        </w:tc>
        <w:tc>
          <w:tcPr>
            <w:tcW w:w="3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left w:val="single" w:sz="8" w:color="F0FFFF"/>
            </w:tcBorders>
            <w:shd w:val="clear" w:color="auto" w:fill="F0FFFF"/>
          </w:tcPr>
          <w:p>
            <w:pPr>
              <w:spacing w:after="0"/>
              <w:rPr>
                <w:sz w:val="18"/>
                <w:szCs w:val="18"/>
                <w:color w:val="auto"/>
              </w:rPr>
            </w:pPr>
          </w:p>
        </w:tc>
        <w:tc>
          <w:tcPr>
            <w:tcW w:w="1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shd w:val="clear" w:color="auto" w:fill="F0FFFF"/>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840" w:type="dxa"/>
            <w:vAlign w:val="bottom"/>
            <w:shd w:val="clear" w:color="auto" w:fill="F0FFFF"/>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84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36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Borders>
              <w:left w:val="single" w:sz="8" w:color="F0FFFF"/>
            </w:tcBorders>
            <w:shd w:val="clear" w:color="auto" w:fill="F0FFFF"/>
          </w:tcPr>
          <w:p>
            <w:pPr>
              <w:spacing w:after="0"/>
              <w:rPr>
                <w:sz w:val="2"/>
                <w:szCs w:val="2"/>
                <w:color w:val="auto"/>
              </w:rPr>
            </w:pPr>
          </w:p>
        </w:tc>
        <w:tc>
          <w:tcPr>
            <w:tcW w:w="118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800" w:type="dxa"/>
            <w:vAlign w:val="bottom"/>
            <w:shd w:val="clear" w:color="auto" w:fill="F0FFFF"/>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8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w w:val="95"/>
              </w:rPr>
              <w:t>Interest rate swaps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(3,547)</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11,672</w:t>
            </w: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Total</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(573)</w:t>
            </w: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306</w:t>
            </w:r>
          </w:p>
        </w:tc>
        <w:tc>
          <w:tcPr>
            <w:tcW w:w="128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Interest expense</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20" w:type="dxa"/>
            <w:vAlign w:val="bottom"/>
            <w:gridSpan w:val="3"/>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3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100" w:type="dxa"/>
            <w:vAlign w:val="bottom"/>
            <w:tcBorders>
              <w:left w:val="single" w:sz="8" w:color="F0FFFF"/>
            </w:tcBorders>
            <w:shd w:val="clear" w:color="auto" w:fill="F0FFFF"/>
          </w:tcPr>
          <w:p>
            <w:pPr>
              <w:spacing w:after="0"/>
              <w:rPr>
                <w:sz w:val="18"/>
                <w:szCs w:val="18"/>
                <w:color w:val="auto"/>
              </w:rPr>
            </w:pPr>
          </w:p>
        </w:tc>
        <w:tc>
          <w:tcPr>
            <w:tcW w:w="1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gridSpan w:val="4"/>
          </w:tcPr>
          <w:p>
            <w:pPr>
              <w:spacing w:after="0"/>
              <w:rPr>
                <w:sz w:val="20"/>
                <w:szCs w:val="20"/>
                <w:color w:val="auto"/>
              </w:rPr>
            </w:pPr>
            <w:r>
              <w:rPr>
                <w:rFonts w:ascii="Arial" w:cs="Arial" w:eastAsia="Arial" w:hAnsi="Arial"/>
                <w:sz w:val="18"/>
                <w:szCs w:val="18"/>
                <w:b w:val="1"/>
                <w:bCs w:val="1"/>
                <w:color w:val="auto"/>
              </w:rPr>
              <w:t>Six Months Ended June 30,</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360" w:type="dxa"/>
            <w:vAlign w:val="bottom"/>
            <w:shd w:val="clear" w:color="auto" w:fill="F0FFFF"/>
          </w:tcPr>
          <w:p>
            <w:pPr>
              <w:spacing w:after="0"/>
              <w:rPr>
                <w:sz w:val="20"/>
                <w:szCs w:val="20"/>
                <w:color w:val="auto"/>
              </w:rPr>
            </w:pPr>
            <w:r>
              <w:rPr>
                <w:rFonts w:ascii="Arial" w:cs="Arial" w:eastAsia="Arial" w:hAnsi="Arial"/>
                <w:sz w:val="18"/>
                <w:szCs w:val="18"/>
                <w:color w:val="auto"/>
              </w:rPr>
              <w:t>Interest revenue</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F0FFFF"/>
          </w:tcPr>
          <w:p>
            <w:pPr>
              <w:jc w:val="right"/>
              <w:ind w:right="53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3"/>
              </w:rPr>
              <w:t>840</w:t>
            </w:r>
          </w:p>
        </w:tc>
        <w:tc>
          <w:tcPr>
            <w:tcW w:w="100" w:type="dxa"/>
            <w:vAlign w:val="bottom"/>
            <w:tcBorders>
              <w:left w:val="single" w:sz="8" w:color="F0FFFF"/>
            </w:tcBorders>
            <w:shd w:val="clear" w:color="auto" w:fill="F0FFFF"/>
          </w:tcPr>
          <w:p>
            <w:pPr>
              <w:spacing w:after="0"/>
              <w:rPr>
                <w:sz w:val="18"/>
                <w:szCs w:val="18"/>
                <w:color w:val="auto"/>
              </w:rPr>
            </w:pPr>
          </w:p>
        </w:tc>
        <w:tc>
          <w:tcPr>
            <w:tcW w:w="11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(670)</w:t>
            </w:r>
          </w:p>
        </w:tc>
        <w:tc>
          <w:tcPr>
            <w:tcW w:w="7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1480" w:type="dxa"/>
            <w:vAlign w:val="bottom"/>
            <w:shd w:val="clear" w:color="auto" w:fill="F0FFFF"/>
          </w:tcPr>
          <w:p>
            <w:pPr>
              <w:spacing w:after="0"/>
              <w:rPr>
                <w:sz w:val="20"/>
                <w:szCs w:val="20"/>
                <w:color w:val="auto"/>
              </w:rPr>
            </w:pPr>
            <w:r>
              <w:rPr>
                <w:rFonts w:ascii="Arial" w:cs="Arial" w:eastAsia="Arial" w:hAnsi="Arial"/>
                <w:sz w:val="18"/>
                <w:szCs w:val="18"/>
                <w:color w:val="auto"/>
                <w:w w:val="95"/>
              </w:rPr>
              <w:t>Interest rate swaps</w:t>
            </w:r>
          </w:p>
        </w:tc>
        <w:tc>
          <w:tcPr>
            <w:tcW w:w="2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(6,379)</w:t>
            </w:r>
          </w:p>
        </w:tc>
        <w:tc>
          <w:tcPr>
            <w:tcW w:w="200" w:type="dxa"/>
            <w:vAlign w:val="bottom"/>
            <w:shd w:val="clear" w:color="auto" w:fill="F0FF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12,102</w:t>
            </w:r>
          </w:p>
        </w:tc>
        <w:tc>
          <w:tcPr>
            <w:tcW w:w="1360" w:type="dxa"/>
            <w:vAlign w:val="bottom"/>
            <w:shd w:val="clear" w:color="auto" w:fill="F0FFFF"/>
          </w:tcPr>
          <w:p>
            <w:pPr>
              <w:spacing w:after="0"/>
              <w:rPr>
                <w:sz w:val="20"/>
                <w:szCs w:val="20"/>
                <w:color w:val="auto"/>
              </w:rPr>
            </w:pPr>
            <w:r>
              <w:rPr>
                <w:rFonts w:ascii="Arial" w:cs="Arial" w:eastAsia="Arial" w:hAnsi="Arial"/>
                <w:sz w:val="18"/>
                <w:szCs w:val="18"/>
                <w:color w:val="auto"/>
              </w:rPr>
              <w:t>Total</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(670)</w:t>
            </w:r>
          </w:p>
        </w:tc>
        <w:tc>
          <w:tcPr>
            <w:tcW w:w="720" w:type="dxa"/>
            <w:vAlign w:val="bottom"/>
            <w:shd w:val="clear" w:color="auto" w:fill="F0FFFF"/>
          </w:tcPr>
          <w:p>
            <w:pPr>
              <w:jc w:val="right"/>
              <w:ind w:right="53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3"/>
              </w:rPr>
              <w:t>844</w:t>
            </w:r>
          </w:p>
        </w:tc>
        <w:tc>
          <w:tcPr>
            <w:tcW w:w="1280" w:type="dxa"/>
            <w:vAlign w:val="bottom"/>
            <w:tcBorders>
              <w:left w:val="single" w:sz="8" w:color="F0FFFF"/>
            </w:tcBorders>
            <w:gridSpan w:val="2"/>
            <w:shd w:val="clear" w:color="auto" w:fill="F0FFFF"/>
          </w:tcPr>
          <w:p>
            <w:pPr>
              <w:jc w:val="center"/>
              <w:ind w:left="10"/>
              <w:spacing w:after="0"/>
              <w:rPr>
                <w:sz w:val="20"/>
                <w:szCs w:val="20"/>
                <w:color w:val="auto"/>
              </w:rPr>
            </w:pPr>
            <w:r>
              <w:rPr>
                <w:rFonts w:ascii="Arial" w:cs="Arial" w:eastAsia="Arial" w:hAnsi="Arial"/>
                <w:sz w:val="18"/>
                <w:szCs w:val="18"/>
                <w:color w:val="auto"/>
                <w:w w:val="88"/>
              </w:rPr>
              <w:t>Interest expense</w:t>
            </w:r>
          </w:p>
        </w:tc>
        <w:tc>
          <w:tcPr>
            <w:tcW w:w="320" w:type="dxa"/>
            <w:vAlign w:val="bottom"/>
            <w:gridSpan w:val="2"/>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(85)</w:t>
            </w:r>
          </w:p>
        </w:tc>
        <w:tc>
          <w:tcPr>
            <w:tcW w:w="2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F0FF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36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left w:val="single" w:sz="8" w:color="F0FFFF"/>
            </w:tcBorders>
            <w:shd w:val="clear" w:color="auto" w:fill="F0FFFF"/>
          </w:tcPr>
          <w:p>
            <w:pPr>
              <w:spacing w:after="0" w:line="20" w:lineRule="exact"/>
              <w:rPr>
                <w:sz w:val="1"/>
                <w:szCs w:val="1"/>
                <w:color w:val="auto"/>
              </w:rPr>
            </w:pPr>
          </w:p>
        </w:tc>
        <w:tc>
          <w:tcPr>
            <w:tcW w:w="118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United manages its credit exposure on derivatives transactions by entering into a bilateral credit support agreement with each counterparty. The credit support agreements require collateralization of exposures beyond specified minimum threshold amounts. The details of these agreements, including the minimum thresholds, vary by counterparty. As of June 30, 2014, collateral totaling $35.2 million was pledged toward derivatives in a liability position.</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United’s agreements with each of its derivative counterparties contain a provision where if either party defaults on any of its indebtedness, then it could also be declared in default on its derivative obligations. The agreements with derivatives counterparties also include provisions that if not met, could result in United being declared in default. United has agreements with certain of its derivative counterparties that contain a provision where if United fails to maintain its status as a well-capitalized institution or is subject to a prompt corrective action directive, the counterparty could terminate the derivative positions and United would be required to settle its obligations under the agreements.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Stock-Based Compensation</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United has an equity compensation plan that allows for grants of incentive stock options, nonqualified stock options, restricted stock and restricted stock unit awards (also referred to as “nonvested stock” awards), stock awards, performance share awards or stock appreciation rights. Options granted under the plan can have an exercise price no less than the fair market value of the underlying stock at the date of grant. The general terms of the plan include a vesting period (usually four years) with an exercisable period not to exceed ten years. Certain options, restricted stock and restricted stock unit awards provide for accelerated vesting if there is a change in control (as defined in the plan). As of June 30, 2014, 551,782 additional awards could be granted under the plan. Through June 30, 2014, incentive stock options, nonqualified stock options, restricted stock and restricted stock unit awards, base salary stock grants and performance share awards have been granted under the plan.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stock option activity for the first six months of 2014.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Weighted-</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1"/>
              </w:rPr>
              <w:t>Weighted-</w:t>
            </w: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8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Intrinisic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Average Exercise</w:t>
            </w: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Contractual</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20" w:type="dxa"/>
            <w:vAlign w:val="bottom"/>
          </w:tcPr>
          <w:p>
            <w:pPr>
              <w:ind w:left="220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16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14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Price</w:t>
            </w: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Term (Years)</w:t>
            </w:r>
          </w:p>
        </w:tc>
        <w:tc>
          <w:tcPr>
            <w:tcW w:w="1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F0FFFF"/>
          </w:tcPr>
          <w:p>
            <w:pPr>
              <w:spacing w:after="0"/>
              <w:rPr>
                <w:sz w:val="20"/>
                <w:szCs w:val="20"/>
                <w:color w:val="auto"/>
              </w:rPr>
            </w:pPr>
            <w:r>
              <w:rPr>
                <w:rFonts w:ascii="Arial" w:cs="Arial" w:eastAsia="Arial" w:hAnsi="Arial"/>
                <w:sz w:val="18"/>
                <w:szCs w:val="18"/>
                <w:color w:val="auto"/>
              </w:rPr>
              <w:t>Outstanding at December 31, 2013</w:t>
            </w:r>
          </w:p>
        </w:tc>
        <w:tc>
          <w:tcPr>
            <w:tcW w:w="1740" w:type="dxa"/>
            <w:vAlign w:val="bottom"/>
            <w:gridSpan w:val="3"/>
            <w:shd w:val="clear" w:color="auto" w:fill="F0FFFF"/>
          </w:tcPr>
          <w:p>
            <w:pPr>
              <w:jc w:val="right"/>
              <w:ind w:right="240"/>
              <w:spacing w:after="0"/>
              <w:rPr>
                <w:sz w:val="20"/>
                <w:szCs w:val="20"/>
                <w:color w:val="auto"/>
              </w:rPr>
            </w:pPr>
            <w:r>
              <w:rPr>
                <w:rFonts w:ascii="Arial" w:cs="Arial" w:eastAsia="Arial" w:hAnsi="Arial"/>
                <w:sz w:val="18"/>
                <w:szCs w:val="18"/>
                <w:color w:val="auto"/>
              </w:rPr>
              <w:t>350,772</w:t>
            </w:r>
          </w:p>
        </w:tc>
        <w:tc>
          <w:tcPr>
            <w:tcW w:w="180" w:type="dxa"/>
            <w:vAlign w:val="bottom"/>
            <w:shd w:val="clear" w:color="auto" w:fill="F0FFFF"/>
          </w:tcPr>
          <w:p>
            <w:pPr>
              <w:jc w:val="right"/>
              <w:ind w:right="1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97.87</w:t>
            </w:r>
          </w:p>
        </w:tc>
        <w:tc>
          <w:tcPr>
            <w:tcW w:w="13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Expired</w:t>
            </w:r>
          </w:p>
        </w:tc>
        <w:tc>
          <w:tcPr>
            <w:tcW w:w="12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(34,429)</w:t>
            </w:r>
          </w:p>
        </w:tc>
        <w:tc>
          <w:tcPr>
            <w:tcW w:w="18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112.97</w:t>
            </w: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20" w:type="dxa"/>
            <w:vAlign w:val="bottom"/>
            <w:tcBorders>
              <w:bottom w:val="single" w:sz="8" w:color="F0FFFF"/>
            </w:tcBorders>
            <w:shd w:val="clear" w:color="auto" w:fill="F0FFFF"/>
          </w:tcPr>
          <w:p>
            <w:pPr>
              <w:spacing w:after="0" w:line="196" w:lineRule="exact"/>
              <w:rPr>
                <w:sz w:val="20"/>
                <w:szCs w:val="20"/>
                <w:color w:val="auto"/>
              </w:rPr>
            </w:pPr>
            <w:r>
              <w:rPr>
                <w:rFonts w:ascii="Arial" w:cs="Arial" w:eastAsia="Arial" w:hAnsi="Arial"/>
                <w:sz w:val="18"/>
                <w:szCs w:val="18"/>
                <w:color w:val="auto"/>
              </w:rPr>
              <w:t>Outstanding at June 30, 2014</w:t>
            </w:r>
          </w:p>
        </w:tc>
        <w:tc>
          <w:tcPr>
            <w:tcW w:w="120" w:type="dxa"/>
            <w:vAlign w:val="bottom"/>
            <w:tcBorders>
              <w:bottom w:val="single" w:sz="8" w:color="F0FFFF"/>
            </w:tcBorders>
            <w:shd w:val="clear" w:color="auto" w:fill="F0FFFF"/>
          </w:tcPr>
          <w:p>
            <w:pPr>
              <w:spacing w:after="0"/>
              <w:rPr>
                <w:sz w:val="22"/>
                <w:szCs w:val="22"/>
                <w:color w:val="auto"/>
              </w:rPr>
            </w:pPr>
          </w:p>
        </w:tc>
        <w:tc>
          <w:tcPr>
            <w:tcW w:w="1380" w:type="dxa"/>
            <w:vAlign w:val="bottom"/>
            <w:tcBorders>
              <w:top w:val="single" w:sz="8" w:color="auto"/>
              <w:bottom w:val="single" w:sz="8" w:color="auto"/>
            </w:tcBorders>
            <w:shd w:val="clear" w:color="auto" w:fill="F0FFFF"/>
          </w:tcPr>
          <w:p>
            <w:pPr>
              <w:jc w:val="right"/>
              <w:spacing w:after="0" w:line="196" w:lineRule="exact"/>
              <w:rPr>
                <w:sz w:val="20"/>
                <w:szCs w:val="20"/>
                <w:color w:val="auto"/>
              </w:rPr>
            </w:pPr>
            <w:r>
              <w:rPr>
                <w:rFonts w:ascii="Arial" w:cs="Arial" w:eastAsia="Arial" w:hAnsi="Arial"/>
                <w:sz w:val="18"/>
                <w:szCs w:val="18"/>
                <w:color w:val="auto"/>
              </w:rPr>
              <w:t>316,343</w:t>
            </w:r>
          </w:p>
        </w:tc>
        <w:tc>
          <w:tcPr>
            <w:tcW w:w="240" w:type="dxa"/>
            <w:vAlign w:val="bottom"/>
            <w:tcBorders>
              <w:bottom w:val="single" w:sz="8" w:color="F0FFFF"/>
            </w:tcBorders>
            <w:shd w:val="clear" w:color="auto" w:fill="F0FFFF"/>
          </w:tcPr>
          <w:p>
            <w:pPr>
              <w:spacing w:after="0"/>
              <w:rPr>
                <w:sz w:val="22"/>
                <w:szCs w:val="22"/>
                <w:color w:val="auto"/>
              </w:rPr>
            </w:pPr>
          </w:p>
        </w:tc>
        <w:tc>
          <w:tcPr>
            <w:tcW w:w="180" w:type="dxa"/>
            <w:vAlign w:val="bottom"/>
            <w:tcBorders>
              <w:bottom w:val="single" w:sz="8" w:color="F0FFFF"/>
            </w:tcBorders>
            <w:shd w:val="clear" w:color="auto" w:fill="F0FFFF"/>
          </w:tcPr>
          <w:p>
            <w:pPr>
              <w:spacing w:after="0"/>
              <w:rPr>
                <w:sz w:val="22"/>
                <w:szCs w:val="22"/>
                <w:color w:val="auto"/>
              </w:rPr>
            </w:pPr>
          </w:p>
        </w:tc>
        <w:tc>
          <w:tcPr>
            <w:tcW w:w="1440" w:type="dxa"/>
            <w:vAlign w:val="bottom"/>
            <w:tcBorders>
              <w:bottom w:val="single" w:sz="8" w:color="F0FFFF"/>
            </w:tcBorders>
            <w:gridSpan w:val="2"/>
            <w:shd w:val="clear" w:color="auto" w:fill="F0FFFF"/>
          </w:tcPr>
          <w:p>
            <w:pPr>
              <w:jc w:val="right"/>
              <w:ind w:right="240"/>
              <w:spacing w:after="0" w:line="196" w:lineRule="exact"/>
              <w:rPr>
                <w:sz w:val="20"/>
                <w:szCs w:val="20"/>
                <w:color w:val="auto"/>
              </w:rPr>
            </w:pPr>
            <w:r>
              <w:rPr>
                <w:rFonts w:ascii="Arial" w:cs="Arial" w:eastAsia="Arial" w:hAnsi="Arial"/>
                <w:sz w:val="18"/>
                <w:szCs w:val="18"/>
                <w:color w:val="auto"/>
              </w:rPr>
              <w:t>96.22</w:t>
            </w:r>
          </w:p>
        </w:tc>
        <w:tc>
          <w:tcPr>
            <w:tcW w:w="1560" w:type="dxa"/>
            <w:vAlign w:val="bottom"/>
            <w:tcBorders>
              <w:bottom w:val="single" w:sz="8" w:color="F0FFFF"/>
            </w:tcBorders>
            <w:gridSpan w:val="2"/>
            <w:shd w:val="clear" w:color="auto" w:fill="F0FFFF"/>
          </w:tcPr>
          <w:p>
            <w:pPr>
              <w:jc w:val="right"/>
              <w:ind w:right="220"/>
              <w:spacing w:after="0" w:line="196" w:lineRule="exact"/>
              <w:rPr>
                <w:sz w:val="20"/>
                <w:szCs w:val="20"/>
                <w:color w:val="auto"/>
              </w:rPr>
            </w:pPr>
            <w:r>
              <w:rPr>
                <w:rFonts w:ascii="Arial" w:cs="Arial" w:eastAsia="Arial" w:hAnsi="Arial"/>
                <w:sz w:val="18"/>
                <w:szCs w:val="18"/>
                <w:color w:val="auto"/>
              </w:rPr>
              <w:t>3.1</w:t>
            </w:r>
          </w:p>
        </w:tc>
        <w:tc>
          <w:tcPr>
            <w:tcW w:w="180" w:type="dxa"/>
            <w:vAlign w:val="bottom"/>
            <w:tcBorders>
              <w:bottom w:val="single" w:sz="8" w:color="F0FFFF"/>
            </w:tcBorders>
            <w:shd w:val="clear" w:color="auto" w:fill="F0FF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F0FFFF"/>
            </w:tcBorders>
            <w:gridSpan w:val="2"/>
            <w:shd w:val="clear" w:color="auto" w:fill="F0FFFF"/>
          </w:tcPr>
          <w:p>
            <w:pPr>
              <w:jc w:val="right"/>
              <w:ind w:right="100"/>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02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Exercisable at June 30, 2014</w:t>
            </w:r>
          </w:p>
        </w:tc>
        <w:tc>
          <w:tcPr>
            <w:tcW w:w="120" w:type="dxa"/>
            <w:vAlign w:val="bottom"/>
            <w:tcBorders>
              <w:bottom w:val="single" w:sz="8" w:color="F0FFFF"/>
            </w:tcBorders>
            <w:shd w:val="clear" w:color="auto" w:fill="F0FFFF"/>
          </w:tcPr>
          <w:p>
            <w:pPr>
              <w:spacing w:after="0"/>
              <w:rPr>
                <w:sz w:val="22"/>
                <w:szCs w:val="22"/>
                <w:color w:val="auto"/>
              </w:rPr>
            </w:pPr>
          </w:p>
        </w:tc>
        <w:tc>
          <w:tcPr>
            <w:tcW w:w="13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306,268</w:t>
            </w:r>
          </w:p>
        </w:tc>
        <w:tc>
          <w:tcPr>
            <w:tcW w:w="240" w:type="dxa"/>
            <w:vAlign w:val="bottom"/>
            <w:tcBorders>
              <w:bottom w:val="single" w:sz="8" w:color="F0FFFF"/>
            </w:tcBorders>
            <w:shd w:val="clear" w:color="auto" w:fill="F0FFFF"/>
          </w:tcPr>
          <w:p>
            <w:pPr>
              <w:spacing w:after="0"/>
              <w:rPr>
                <w:sz w:val="22"/>
                <w:szCs w:val="22"/>
                <w:color w:val="auto"/>
              </w:rPr>
            </w:pPr>
          </w:p>
        </w:tc>
        <w:tc>
          <w:tcPr>
            <w:tcW w:w="180" w:type="dxa"/>
            <w:vAlign w:val="bottom"/>
            <w:tcBorders>
              <w:bottom w:val="single" w:sz="8" w:color="F0FFFF"/>
            </w:tcBorders>
            <w:shd w:val="clear" w:color="auto" w:fill="F0FFFF"/>
          </w:tcPr>
          <w:p>
            <w:pPr>
              <w:spacing w:after="0"/>
              <w:rPr>
                <w:sz w:val="22"/>
                <w:szCs w:val="22"/>
                <w:color w:val="auto"/>
              </w:rPr>
            </w:pPr>
          </w:p>
        </w:tc>
        <w:tc>
          <w:tcPr>
            <w:tcW w:w="1440" w:type="dxa"/>
            <w:vAlign w:val="bottom"/>
            <w:tcBorders>
              <w:bottom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98.96</w:t>
            </w:r>
          </w:p>
        </w:tc>
        <w:tc>
          <w:tcPr>
            <w:tcW w:w="1560" w:type="dxa"/>
            <w:vAlign w:val="bottom"/>
            <w:tcBorders>
              <w:bottom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2.9</w:t>
            </w:r>
          </w:p>
        </w:tc>
        <w:tc>
          <w:tcPr>
            <w:tcW w:w="180" w:type="dxa"/>
            <w:vAlign w:val="bottom"/>
            <w:tcBorders>
              <w:bottom w:val="single" w:sz="8" w:color="F0FFFF"/>
            </w:tcBorders>
            <w:shd w:val="clear" w:color="auto" w:fill="F0FFFF"/>
          </w:tcPr>
          <w:p>
            <w:pPr>
              <w:spacing w:after="0"/>
              <w:rPr>
                <w:sz w:val="22"/>
                <w:szCs w:val="22"/>
                <w:color w:val="auto"/>
              </w:rPr>
            </w:pPr>
          </w:p>
        </w:tc>
        <w:tc>
          <w:tcPr>
            <w:tcW w:w="1280" w:type="dxa"/>
            <w:vAlign w:val="bottom"/>
            <w:tcBorders>
              <w:bottom w:val="single" w:sz="8" w:color="F0FFFF"/>
            </w:tcBorders>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 stock options were granted during the six months ended June 30, 2014 or 2013. Most of United’s outstanding stock options were granted prior to the economic downturn during which time United’s stock price decreased sharply. The lower stock price has rendered most of United’s outstanding options severely out of the money and potentially worthless to the grantee. Therefore, historical exercise patterns do not provide a reasonable basis for determining the expected life of new option grants. United therefore uses the formula provided by the SEC in Staff Accounting Bulletin No. 107 to determine the expected life of options.</w:t>
      </w:r>
    </w:p>
    <w:p>
      <w:pPr>
        <w:spacing w:after="0" w:line="21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United recognized $2,000 in compensation expense related to stock options during the six months ended June 30, 2014. Compensation expense relating to stock options for the six months ended June 30, 2013 was a reduction of expense of $60,000 due to the reversal of previously recognized expense on grants that did not vest. The amount of compensation expense was determined based on the fair value of the options at the time of grant, multiplied by the number of options granted that were expected to vest, which was then amortized over the vesting period. The forfeiture rate for new options issued is estimated to be approximately 3% per year. No options were exercised during the first six months of 2014 or 2013.</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gridSpan w:val="2"/>
          </w:tcPr>
          <w:p>
            <w:pPr>
              <w:spacing w:after="0"/>
              <w:rPr>
                <w:sz w:val="20"/>
                <w:szCs w:val="20"/>
                <w:color w:val="auto"/>
              </w:rPr>
            </w:pPr>
            <w:r>
              <w:rPr>
                <w:rFonts w:ascii="Arial" w:cs="Arial" w:eastAsia="Arial" w:hAnsi="Arial"/>
                <w:sz w:val="18"/>
                <w:szCs w:val="18"/>
                <w:color w:val="auto"/>
              </w:rPr>
              <w:t>The table below presents restricted stock activity for the first six months of 2014.</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17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Average Grant-</w:t>
            </w:r>
          </w:p>
        </w:tc>
        <w:tc>
          <w:tcPr>
            <w:tcW w:w="0" w:type="dxa"/>
            <w:vAlign w:val="bottom"/>
          </w:tcPr>
          <w:p>
            <w:pPr>
              <w:spacing w:after="0"/>
              <w:rPr>
                <w:sz w:val="1"/>
                <w:szCs w:val="1"/>
                <w:color w:val="auto"/>
              </w:rPr>
            </w:pPr>
          </w:p>
        </w:tc>
      </w:tr>
      <w:tr>
        <w:trPr>
          <w:trHeight w:val="241"/>
        </w:trPr>
        <w:tc>
          <w:tcPr>
            <w:tcW w:w="1720" w:type="dxa"/>
            <w:vAlign w:val="bottom"/>
          </w:tcPr>
          <w:p>
            <w:pPr>
              <w:spacing w:after="0"/>
              <w:rPr>
                <w:sz w:val="20"/>
                <w:szCs w:val="20"/>
                <w:color w:val="auto"/>
              </w:rPr>
            </w:pPr>
          </w:p>
        </w:tc>
        <w:tc>
          <w:tcPr>
            <w:tcW w:w="5000" w:type="dxa"/>
            <w:vAlign w:val="bottom"/>
          </w:tcPr>
          <w:p>
            <w:pPr>
              <w:ind w:left="1860"/>
              <w:spacing w:after="0"/>
              <w:rPr>
                <w:sz w:val="20"/>
                <w:szCs w:val="20"/>
                <w:color w:val="auto"/>
              </w:rPr>
            </w:pPr>
            <w:r>
              <w:rPr>
                <w:rFonts w:ascii="Arial" w:cs="Arial" w:eastAsia="Arial" w:hAnsi="Arial"/>
                <w:sz w:val="18"/>
                <w:szCs w:val="18"/>
                <w:b w:val="1"/>
                <w:bCs w:val="1"/>
                <w:color w:val="auto"/>
              </w:rPr>
              <w:t>Restricted Stock</w:t>
            </w:r>
          </w:p>
        </w:tc>
        <w:tc>
          <w:tcPr>
            <w:tcW w:w="100" w:type="dxa"/>
            <w:vAlign w:val="bottom"/>
          </w:tcPr>
          <w:p>
            <w:pPr>
              <w:spacing w:after="0"/>
              <w:rPr>
                <w:sz w:val="20"/>
                <w:szCs w:val="20"/>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Date Fair Value</w:t>
            </w: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5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000" w:type="dxa"/>
            <w:vAlign w:val="bottom"/>
            <w:shd w:val="clear" w:color="auto" w:fill="F0FFFF"/>
          </w:tcPr>
          <w:p>
            <w:pPr>
              <w:spacing w:after="0"/>
              <w:rPr>
                <w:sz w:val="20"/>
                <w:szCs w:val="20"/>
                <w:color w:val="auto"/>
              </w:rPr>
            </w:pPr>
            <w:r>
              <w:rPr>
                <w:rFonts w:ascii="Arial" w:cs="Arial" w:eastAsia="Arial" w:hAnsi="Arial"/>
                <w:sz w:val="18"/>
                <w:szCs w:val="18"/>
                <w:color w:val="auto"/>
              </w:rPr>
              <w:t>Outstanding at December 31, 2013</w:t>
            </w:r>
          </w:p>
        </w:tc>
        <w:tc>
          <w:tcPr>
            <w:tcW w:w="1360" w:type="dxa"/>
            <w:vAlign w:val="bottom"/>
            <w:gridSpan w:val="3"/>
            <w:shd w:val="clear" w:color="auto" w:fill="F0FFFF"/>
          </w:tcPr>
          <w:p>
            <w:pPr>
              <w:jc w:val="right"/>
              <w:ind w:right="180"/>
              <w:spacing w:after="0"/>
              <w:rPr>
                <w:sz w:val="20"/>
                <w:szCs w:val="20"/>
                <w:color w:val="auto"/>
              </w:rPr>
            </w:pPr>
            <w:r>
              <w:rPr>
                <w:rFonts w:ascii="Arial" w:cs="Arial" w:eastAsia="Arial" w:hAnsi="Arial"/>
                <w:sz w:val="18"/>
                <w:szCs w:val="18"/>
                <w:color w:val="auto"/>
              </w:rPr>
              <w:t>1,073,676</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Granted</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36,496</w:t>
            </w:r>
          </w:p>
        </w:tc>
        <w:tc>
          <w:tcPr>
            <w:tcW w:w="1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18.03</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00" w:type="dxa"/>
            <w:vAlign w:val="bottom"/>
            <w:shd w:val="clear" w:color="auto" w:fill="F0FFFF"/>
          </w:tcPr>
          <w:p>
            <w:pPr>
              <w:spacing w:after="0"/>
              <w:rPr>
                <w:sz w:val="20"/>
                <w:szCs w:val="20"/>
                <w:color w:val="auto"/>
              </w:rPr>
            </w:pPr>
            <w:r>
              <w:rPr>
                <w:rFonts w:ascii="Arial" w:cs="Arial" w:eastAsia="Arial" w:hAnsi="Arial"/>
                <w:sz w:val="18"/>
                <w:szCs w:val="18"/>
                <w:color w:val="auto"/>
              </w:rPr>
              <w:t>Excercised</w:t>
            </w:r>
          </w:p>
        </w:tc>
        <w:tc>
          <w:tcPr>
            <w:tcW w:w="1360" w:type="dxa"/>
            <w:vAlign w:val="bottom"/>
            <w:gridSpan w:val="3"/>
            <w:shd w:val="clear" w:color="auto" w:fill="F0FFFF"/>
          </w:tcPr>
          <w:p>
            <w:pPr>
              <w:jc w:val="right"/>
              <w:ind w:right="120"/>
              <w:spacing w:after="0"/>
              <w:rPr>
                <w:sz w:val="20"/>
                <w:szCs w:val="20"/>
                <w:color w:val="auto"/>
              </w:rPr>
            </w:pPr>
            <w:r>
              <w:rPr>
                <w:rFonts w:ascii="Arial" w:cs="Arial" w:eastAsia="Arial" w:hAnsi="Arial"/>
                <w:sz w:val="18"/>
                <w:szCs w:val="18"/>
                <w:color w:val="auto"/>
              </w:rPr>
              <w:t>(134,905)</w:t>
            </w:r>
          </w:p>
        </w:tc>
        <w:tc>
          <w:tcPr>
            <w:tcW w:w="120" w:type="dxa"/>
            <w:vAlign w:val="bottom"/>
            <w:shd w:val="clear" w:color="auto" w:fill="F0FFFF"/>
          </w:tcPr>
          <w:p>
            <w:pPr>
              <w:spacing w:after="0"/>
              <w:rPr>
                <w:sz w:val="18"/>
                <w:szCs w:val="18"/>
                <w:color w:val="auto"/>
              </w:rPr>
            </w:pPr>
          </w:p>
        </w:tc>
        <w:tc>
          <w:tcPr>
            <w:tcW w:w="15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Cancelled</w:t>
            </w:r>
          </w:p>
        </w:tc>
        <w:tc>
          <w:tcPr>
            <w:tcW w:w="1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(1,800)</w:t>
            </w:r>
          </w:p>
        </w:tc>
        <w:tc>
          <w:tcPr>
            <w:tcW w:w="12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57"/>
        </w:trPr>
        <w:tc>
          <w:tcPr>
            <w:tcW w:w="1720" w:type="dxa"/>
            <w:vAlign w:val="bottom"/>
          </w:tcPr>
          <w:p>
            <w:pPr>
              <w:spacing w:after="0"/>
              <w:rPr>
                <w:sz w:val="22"/>
                <w:szCs w:val="22"/>
                <w:color w:val="auto"/>
              </w:rPr>
            </w:pPr>
          </w:p>
        </w:tc>
        <w:tc>
          <w:tcPr>
            <w:tcW w:w="500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Outstanding at June 30, 2014</w:t>
            </w:r>
          </w:p>
        </w:tc>
        <w:tc>
          <w:tcPr>
            <w:tcW w:w="100" w:type="dxa"/>
            <w:vAlign w:val="bottom"/>
            <w:tcBorders>
              <w:bottom w:val="single" w:sz="8" w:color="F0FFFF"/>
            </w:tcBorders>
            <w:shd w:val="clear" w:color="auto" w:fill="F0FFFF"/>
          </w:tcPr>
          <w:p>
            <w:pPr>
              <w:spacing w:after="0"/>
              <w:rPr>
                <w:sz w:val="22"/>
                <w:szCs w:val="22"/>
                <w:color w:val="auto"/>
              </w:rPr>
            </w:pPr>
          </w:p>
        </w:tc>
        <w:tc>
          <w:tcPr>
            <w:tcW w:w="10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973,467</w:t>
            </w:r>
          </w:p>
        </w:tc>
        <w:tc>
          <w:tcPr>
            <w:tcW w:w="18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1500" w:type="dxa"/>
            <w:vAlign w:val="bottom"/>
            <w:tcBorders>
              <w:bottom w:val="single" w:sz="8" w:color="F0FFFF"/>
            </w:tcBorders>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10"/>
        </w:trPr>
        <w:tc>
          <w:tcPr>
            <w:tcW w:w="17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720" w:type="dxa"/>
            <w:vAlign w:val="bottom"/>
            <w:vMerge w:val="continue"/>
          </w:tcPr>
          <w:p>
            <w:pPr>
              <w:spacing w:after="0"/>
              <w:rPr>
                <w:sz w:val="22"/>
                <w:szCs w:val="22"/>
                <w:color w:val="auto"/>
              </w:rPr>
            </w:pPr>
          </w:p>
        </w:tc>
        <w:tc>
          <w:tcPr>
            <w:tcW w:w="500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Vested at June 30, 2014</w:t>
            </w:r>
          </w:p>
        </w:tc>
        <w:tc>
          <w:tcPr>
            <w:tcW w:w="100" w:type="dxa"/>
            <w:vAlign w:val="bottom"/>
            <w:tcBorders>
              <w:bottom w:val="single" w:sz="8" w:color="F0FFFF"/>
            </w:tcBorders>
            <w:shd w:val="clear" w:color="auto" w:fill="F0FFFF"/>
          </w:tcPr>
          <w:p>
            <w:pPr>
              <w:spacing w:after="0"/>
              <w:rPr>
                <w:sz w:val="22"/>
                <w:szCs w:val="22"/>
                <w:color w:val="auto"/>
              </w:rPr>
            </w:pPr>
          </w:p>
        </w:tc>
        <w:tc>
          <w:tcPr>
            <w:tcW w:w="10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11,080</w:t>
            </w:r>
          </w:p>
        </w:tc>
        <w:tc>
          <w:tcPr>
            <w:tcW w:w="180" w:type="dxa"/>
            <w:vAlign w:val="bottom"/>
            <w:tcBorders>
              <w:bottom w:val="single" w:sz="8" w:color="F0FFFF"/>
            </w:tcBorders>
            <w:shd w:val="clear" w:color="auto" w:fill="F0FFFF"/>
          </w:tcPr>
          <w:p>
            <w:pPr>
              <w:spacing w:after="0"/>
              <w:rPr>
                <w:sz w:val="22"/>
                <w:szCs w:val="22"/>
                <w:color w:val="auto"/>
              </w:rPr>
            </w:pPr>
          </w:p>
        </w:tc>
        <w:tc>
          <w:tcPr>
            <w:tcW w:w="120" w:type="dxa"/>
            <w:vAlign w:val="bottom"/>
            <w:tcBorders>
              <w:bottom w:val="single" w:sz="8" w:color="F0FFFF"/>
            </w:tcBorders>
            <w:shd w:val="clear" w:color="auto" w:fill="F0FFFF"/>
          </w:tcPr>
          <w:p>
            <w:pPr>
              <w:spacing w:after="0"/>
              <w:rPr>
                <w:sz w:val="22"/>
                <w:szCs w:val="22"/>
                <w:color w:val="auto"/>
              </w:rPr>
            </w:pPr>
          </w:p>
        </w:tc>
        <w:tc>
          <w:tcPr>
            <w:tcW w:w="1500" w:type="dxa"/>
            <w:vAlign w:val="bottom"/>
            <w:tcBorders>
              <w:bottom w:val="single" w:sz="8" w:color="F0FFFF"/>
            </w:tcBorders>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Compensation expense for restricted stock is based on the fair value of restricted stock awards at the time of grant, which is equal to the value of United’s common stock on the date of grant. The value of restricted stock grants that are expected to vest is amortized into expense over the vesting period. For the six months ended June 30, 2014 and 2013, compensation expense of $2.18 million and $1.23 million, respectively, was recognized related to restricted stock awards. In addition, for the six months ended June 30, 2014 and 2013, $50,000 and $93,000, respectively, was recognized in other operating expense for restricted stock units granted to members of United’s board of directors. The total intrinsic value of restricted stock was $15.9 million at June 30, 2014.</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June 30, 2014, there was $10.7 million of unrecognized compensation cost related to non-vested stock options and restricted stock awards granted under the plan. That cost is expected to be recognized over a weighted-average period of 3.16 years. The aggregate grant date fair value of options and restricted stock awards that vested during the six months ended June 30, 2014, was $1.27 million.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Common and Preferred Stock Issued / Common Stock Issuable</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sponsors a Dividend Reinvestment and Share Purchase Plan (“DRIP”) that allows participants who already own United’s common stock to purchase additional shares directly from United. The DRIP also allows participants to automatically reinvest their quarterly dividends in additional shares of common stock without a commission. No shares were issued through the DRIP in 2013 or the first six months of 2014.</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United’s 401(k) retirement plan regularly purchases shares of United’s common stock directly from United. In addition, United has an Employee Stock Purchase Program that allows eligible employees to purchase shares of common stock at a 5% discount, with no commission charges. For the six months ended June 30, 2014 and 2013, United issued 19,299 and 35,667 shares, respectively, and increased capital by $328,000 and $383,000, respectively, through these programs.</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United offers its common stock as an investment option in its deferred compensation plan. United also allows for the deferral of restricted stock awards. The common stock component of the deferred compensation plan is accounted for as an equity instrument and is reflected in the consolidated financial statements as common stock issuable. The deferred compensation plan does not allow for diversification once an election is made to invest in United’s common stock and settlement must be accomplished in shares at the time the deferral period is completed. At June 30, 2014 and 2013, 314,039 and 271,215 shares of common stock, respectively, were issuable under the deferred compensation plan.</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fourth quarter of 2013 and first quarter of 2014, United redeemed all of its outstanding preferred stock. The preferred stock was redeemed at par and did not result in any gain or loss. The redemptions were funded from a combination of dividends from United Community Bank, borrowings on United’s holding company line of credit and cash on hand.</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its settlement agreement with Fletcher, United agreed to deliver 640,000 shares of its common stock and cash that, together with the common stock, would have a combined fair value of $12 million. On March 25, 2014, to satisfy its obligations under the settlement agreement, United completed the sale of 640,000 shares of common stock and received approximately $12.2 million in net proceeds after discounts and expenses, $12 million of which is payable to Fletcher once the settlement is completed. The settlement agreement and the transactions contemplated thereby have been approved by the bankruptcy court but remain subject to an appeal.</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Income Taxes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income tax provision for the three and six months ended June 30, 2014 was $9.63 million and $18.7 million, respectively, which represents an effective tax rate of 37% for both periods. The income tax benefit for the three and six months ended June 30, 2013 was $257 million and $256 million, respectively, primarily due to the reversal of the valuation allowance on United’s deferred tax asset. At June 30, 2014, December 31, 2013 and June 30, 2013, the valuation allowance on deferred tax assets was $4.10 million, $4.10 million and $4.96 million, respectively. Management assesses the valuation allowance recorded against deferred tax assets at each reporting period. The determination of whether a valuation allowance for deferred tax assets is appropriate is subject to considerable judgment and requires an evaluation of all the positive and negative evidence.</w:t>
      </w:r>
    </w:p>
    <w:p>
      <w:pPr>
        <w:spacing w:after="0" w:line="20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the second quarter of 2013, United reversed $272 million of its valuation allowance on its net deferred tax asset. United established a full valuation allowance on its net deferred tax asset in 2010 due to the realization of significant losses and uncertainty about United’s future earnings forecasts.</w:t>
      </w:r>
    </w:p>
    <w:p>
      <w:pPr>
        <w:spacing w:after="0" w:line="17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United evaluated the need for a valuation allowance again at June 30, 2014. Based on the assessment of all the positive and negative evidence, management concluded that it is more likely than not that nearly all of the net deferred tax asset will be realized based upon future taxable income. The remaining valuation allowance of $4.10 million is related to specific state income tax credits that have short carryforward periods and are expected to expire unused. The positive evidence considered by management in arriving at the conclusion that a full valuation allowance is not necessary included consecutive profitable quarters beginning with the fourth quarter of 2011, United’s strong pre-crisis earnings history and growth in pre-tax, pre-credit earnings, which demonstrate demand for United’s products and services, and United’s significant improvement in credit measures, which improve both the sustainability of profitability and management’s ability to forecast future credit losses. The negative evidence previously considered by management included a three-year cumulative loss position and informal memorandum of understanding (“MOU”) with the banking regulatory agencies. The MOUs were terminated in the fourth quarter of 2013 and first quarter of 2014 and United was no longer in a three-year cumulative loss position effective with the first quarter of 2014, based on a rolling twelve quarters.</w:t>
      </w:r>
    </w:p>
    <w:p>
      <w:pPr>
        <w:spacing w:after="0" w:line="20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valuation allowance could fluctuate in future periods based on the assessment of the positive and negative evidence. Management’s conclusion at June 30, 2014 that it was more likely than not that the net deferred tax assets of $233 million will be realized is based upon management’s estimate of future taxable income. Management’s estimate of future taxable income is based on internal forecasts that consider historical performance, various internal estimates and assumptions, as well as certain external data all of which management believes to be reasonable although inherently subject to significant judgment. If actual results differ significantly from the current estimates of future taxable income, even if caused by adverse macro-economic conditions, the valuation allowance may need to be increased for some or all of the deferred tax asset. Such an increase to the deferred tax asset valuation allowance could have a material adverse effect on United’s financial condition and results of operations.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 is subject to income taxation in the United States and various state jurisdictions. United’s federal and state income tax returns are filed on a consolidated basis. Currently, no years for which United filed a federal income tax return are under examination by the IRS, and there are no state tax examinations currently in progress. United is no longer subject to income tax examinations from state and local income tax authorities for years before 2010. Although United is unable to determine the ultimate outcome of future examinations, United believes that the liability recorded for uncertain tax positions is appropriate.</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At June 30, 2014, December 31, 2013 and June 30, 2013, unrecognized income tax benefits totaled $4.69 million, $4.50 million and $5.18 million, respectively. In the first quarter of 2014, United adopted the provisions of ASU No. 2013-11, </w:t>
      </w:r>
      <w:r>
        <w:rPr>
          <w:rFonts w:ascii="Arial" w:cs="Arial" w:eastAsia="Arial" w:hAnsi="Arial"/>
          <w:sz w:val="17"/>
          <w:szCs w:val="17"/>
          <w:i w:val="1"/>
          <w:iCs w:val="1"/>
          <w:color w:val="auto"/>
        </w:rPr>
        <w:t>Presentation of an Unrecognized Tax Benefit When a Net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Operating Loss Carryforward, a Similar Tax Loss, or a Tax Credit Carryforward Exists. </w:t>
      </w:r>
      <w:r>
        <w:rPr>
          <w:rFonts w:ascii="Arial" w:cs="Arial" w:eastAsia="Arial" w:hAnsi="Arial"/>
          <w:sz w:val="17"/>
          <w:szCs w:val="17"/>
          <w:color w:val="auto"/>
        </w:rPr>
        <w:t>ASU No. 2013-11 requires unrecognized tax benefits to be presented</w:t>
      </w:r>
      <w:r>
        <w:rPr>
          <w:rFonts w:ascii="Arial" w:cs="Arial" w:eastAsia="Arial" w:hAnsi="Arial"/>
          <w:sz w:val="17"/>
          <w:szCs w:val="17"/>
          <w:i w:val="1"/>
          <w:iCs w:val="1"/>
          <w:color w:val="auto"/>
        </w:rPr>
        <w:t xml:space="preserve"> </w:t>
      </w:r>
      <w:r>
        <w:rPr>
          <w:rFonts w:ascii="Arial" w:cs="Arial" w:eastAsia="Arial" w:hAnsi="Arial"/>
          <w:sz w:val="17"/>
          <w:szCs w:val="17"/>
          <w:color w:val="auto"/>
        </w:rPr>
        <w:t>as a reduction of a deferred tax asset unless certain conditions are present. Prior to adoption, unrecognized tax benefits were presented as a component of the current tax liability payable. Upon adoption, United reclassified $4.59 million in unrecognized tax benefits from other liabilities to its net deferred tax asset. The reclassification resulted in decreases in United’s net deferred tax asset and other liabilities.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Assets and Liabilities Measured at Fair Value</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Fair value measurements are determined based on the assumptions that market participants would use in pricing the asset or liability. As a basis for considering market participant assumptions in fair value measurements, United uses a fair value hierarchy that distinguishes between market participant assumptions based on market data obtained from sources independent of the reporting entity (observable inputs that are classified within Levels 1 and 2 of the hierarchy) and the reporting entity’s own assumptions about market participant assumptions (unobservable inputs classified within Level 3 of the hierarchy).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Hierarchy</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Valuation is based upon quoted prices (unadjusted) in active markets for identical assets or liabilities that United has the ability to access.</w:t>
      </w:r>
    </w:p>
    <w:p>
      <w:pPr>
        <w:spacing w:after="0" w:line="275" w:lineRule="exact"/>
        <w:rPr>
          <w:sz w:val="20"/>
          <w:szCs w:val="20"/>
          <w:color w:val="auto"/>
        </w:rPr>
      </w:pPr>
    </w:p>
    <w:p>
      <w:pPr>
        <w:ind w:left="620"/>
        <w:spacing w:after="0" w:line="342"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Valuation is based upon quoted prices for similar assets and liabilities in active markets, as well as inputs that are observable for the asset or</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liability (other than quoted prices), such as interest rates, foreign exchange rates, and yield curves that are observable at commonly quoted intervals.</w:t>
      </w:r>
    </w:p>
    <w:p>
      <w:pPr>
        <w:spacing w:after="0" w:line="151" w:lineRule="exact"/>
        <w:rPr>
          <w:sz w:val="20"/>
          <w:szCs w:val="20"/>
          <w:color w:val="auto"/>
        </w:rPr>
      </w:pPr>
    </w:p>
    <w:p>
      <w:pPr>
        <w:jc w:val="both"/>
        <w:ind w:left="580"/>
        <w:spacing w:after="0" w:line="255"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Valuation is generated from model-based techniques that use at least one significant assumption based on unobservable inputs for the asset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which are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United’s assessment of the significance of a particular input to the fair value measurement in its entirety requires judgment, and considers factors specific to the asset or liability.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valuation methodologies used for assets and liabilities recorded at fair value.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Securities Available-for-Sale</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Investment securities available-for-sale are recorded at fair value on a recurring basis. Fair value measurement is based upon quoted prices, if available. If quoted prices are not available, fair values are measured using independent pricing models or other model-based valuation techniques such as the present value of future cash flows, adjusted for the security’s credit rating, prepayment assumptions and other factors such as credit loss assumptions. Level 1 securities include those traded on an active exchange, such as the New York Stock Exchange, U.S. Treasury securities that are traded by dealers or brokers in active over-the-counter markets and money market funds. Level 2 securities include mortgage-backed securities issued by government sponsored entities, municipal bonds, corporate debt securities and asset-backed securities and are valued based on observable inputs that are observable in the market and can be corroborated by observable market data for substantially the full term of the securities. Securities classified as Level 3 are valued based on estimates obtained from broker-dealers.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Compensation Plan Assets and Liabilities</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Included in other assets in the Consolidated Balance Sheet are assets related to employee deferred compensation plans. The assets associated with these plans are invested in mutual funds and classified as Level 1. Deferred compensation liabilities, also classified as Level 1, are carried at the fair value of the obligation to the employee, which mirrors the fair value of the invested assets and is included in other liabilities in the consolidated balance sheet.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Loans Held for Sale</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Mortgage loans held for sale are carried at the lower of cost or market value. The fair value of mortgage loans held for sale is based on what secondary markets are currently offering for portfolios with similar characteristics.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Loans</w:t>
      </w:r>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United does not record loans at fair value on a recurring basis. However, from time to time, a loan is considered impaired and an allowance for loan losses is established. Loans for which it is probable that payment of interest and principal will not be made in accordance with the contractual terms of the loan agreement are considered impaired. Once a loan is identified as individually impaired, management measures impairment based on the present value of expected future cash flows discounted at the loan’s effective interest rate, except that as a practical expedient, a creditor may measure impairment based on a loan’s observable market price, or the fair value of the collateral if repayment of the loan is dependent upon the sale of the underlying collateral. Those impaired loans not requiring an allowance represent loans for which the fair value of the expected repayments or collateral exceed the recorded investments in such loans. Impaired loans where an allowance is established based on the fair value of collateral require classification in the fair value hierarchy. When the fair value of the collateral is based on an observable market price or a current appraised value, United records the impaired loan as nonrecurring Level 2. When an appraised value is not available or management determines the fair value of the collateral is further impaired below the appraised value and there is no observable market price, United records the impaired loan as nonrecurring Level 3.</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Foreclosed Assets</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Foreclosed assets are adjusted to fair value, less cost to sell, upon transfer of the loans to foreclosed assets. Subsequently, foreclosed assets are carried at the lower of carrying value or fair value. Fair value is based upon independent market prices, appraised values of the collateral or management’s estimation of the value of the collateral. When the fair value of the collateral is based on an observable market price or a current appraised value, United records the foreclosed asset as nonrecurring Level 2. When an appraised value is not available or management determines the fair value of the collateral is further impaired below the appraised value and there is no observable market price, United records the foreclosed asset as nonrecurring Level 3.</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Financial Instruments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 uses interest rate swaps and interest rate floors to manage its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and the discounted expected variable cash payments. The variable cash payments are based on an expectation of future interest rates (forward curves) derived from observable market interest rate curves.</w:t>
      </w:r>
    </w:p>
    <w:p>
      <w:pPr>
        <w:spacing w:after="0" w:line="22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fair values of interest rate options are determined using the market standard methodology of discounting the future expected cash receipts that would occur if variable interest rates fell below the strike rate of the floors. The variable interest rates used in the calculation of projected receipts on the floor are based on an expectation of future interest rates derived from observable market interest rate curves and volatilities. To comply with the provisions of ASC 820, United incorporates credit valuation adjustments to appropriately reflect both its own nonperformance risk and the respective counterparty’s nonperformance risk in the fair value measurements. In adjusting the fair value of its derivative contracts for the effect of nonperformance risk, United has considered the effect of netting and any applicable credit enhancements, such as collateral postings, thresholds, mutual puts, and guarantees.</w:t>
      </w:r>
    </w:p>
    <w:p>
      <w:pPr>
        <w:spacing w:after="0" w:line="19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Although United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itself and its counterparties. However, as of June 30, 2014, United had assessed the significance of the effect of the credit valuation adjustments on the overall valuation of its derivative positions and has determined that the credit valuation adjustments are not significant to the overall valuation of its derivatives. As a result, United has determined that its derivative valuations in their entirety are classified in Level 2 of the fair value hierarchy.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table below presents United’s assets and liabilities measured at fair value on a recurring basis as of June 30, 2014, December 31, 2013 and June 30, 2013, aggregated by the level in the fair value hierarchy within which those measurements fall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June 30, 2014</w:t>
            </w: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b w:val="1"/>
                <w:bCs w:val="1"/>
                <w:color w:val="auto"/>
              </w:rPr>
              <w:t>Assets:</w:t>
            </w:r>
          </w:p>
        </w:tc>
        <w:tc>
          <w:tcPr>
            <w:tcW w:w="1740" w:type="dxa"/>
            <w:vAlign w:val="bottom"/>
            <w:tcBorders>
              <w:top w:val="single" w:sz="8" w:color="auto"/>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Securities available for sale:</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F0FFFF"/>
          </w:tcPr>
          <w:p>
            <w:pPr>
              <w:ind w:left="280"/>
              <w:spacing w:after="0"/>
              <w:rPr>
                <w:sz w:val="20"/>
                <w:szCs w:val="20"/>
                <w:color w:val="auto"/>
              </w:rPr>
            </w:pPr>
            <w:r>
              <w:rPr>
                <w:rFonts w:ascii="Arial" w:cs="Arial" w:eastAsia="Arial" w:hAnsi="Arial"/>
                <w:sz w:val="18"/>
                <w:szCs w:val="18"/>
                <w:color w:val="auto"/>
              </w:rPr>
              <w:t>U.S. Treasury securities</w:t>
            </w:r>
          </w:p>
        </w:tc>
        <w:tc>
          <w:tcPr>
            <w:tcW w:w="2040" w:type="dxa"/>
            <w:vAlign w:val="bottom"/>
            <w:gridSpan w:val="3"/>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15,508</w:t>
            </w:r>
          </w:p>
        </w:tc>
        <w:tc>
          <w:tcPr>
            <w:tcW w:w="2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15,508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80"/>
              <w:spacing w:after="0"/>
              <w:rPr>
                <w:sz w:val="20"/>
                <w:szCs w:val="20"/>
                <w:color w:val="auto"/>
              </w:rPr>
            </w:pPr>
            <w:r>
              <w:rPr>
                <w:rFonts w:ascii="Arial" w:cs="Arial" w:eastAsia="Arial" w:hAnsi="Arial"/>
                <w:sz w:val="18"/>
                <w:szCs w:val="18"/>
                <w:color w:val="auto"/>
              </w:rPr>
              <w:t>State and political subdivisions</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21,815</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F0FFFF"/>
          </w:tcPr>
          <w:p>
            <w:pPr>
              <w:ind w:left="280"/>
              <w:spacing w:after="0"/>
              <w:rPr>
                <w:sz w:val="20"/>
                <w:szCs w:val="20"/>
                <w:color w:val="auto"/>
              </w:rPr>
            </w:pPr>
            <w:r>
              <w:rPr>
                <w:rFonts w:ascii="Arial" w:cs="Arial" w:eastAsia="Arial" w:hAnsi="Arial"/>
                <w:sz w:val="18"/>
                <w:szCs w:val="18"/>
                <w:color w:val="auto"/>
              </w:rPr>
              <w:t>Mortgage-backed securities</w:t>
            </w:r>
          </w:p>
        </w:tc>
        <w:tc>
          <w:tcPr>
            <w:tcW w:w="17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1,077,440</w:t>
            </w: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1,077,440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80"/>
              <w:spacing w:after="0"/>
              <w:rPr>
                <w:sz w:val="20"/>
                <w:szCs w:val="20"/>
                <w:color w:val="auto"/>
              </w:rPr>
            </w:pPr>
            <w:r>
              <w:rPr>
                <w:rFonts w:ascii="Arial" w:cs="Arial" w:eastAsia="Arial" w:hAnsi="Arial"/>
                <w:sz w:val="18"/>
                <w:szCs w:val="18"/>
                <w:color w:val="auto"/>
              </w:rPr>
              <w:t>Corporate bonds</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175,671</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175,971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F0FFFF"/>
          </w:tcPr>
          <w:p>
            <w:pPr>
              <w:ind w:left="280"/>
              <w:spacing w:after="0"/>
              <w:rPr>
                <w:sz w:val="20"/>
                <w:szCs w:val="20"/>
                <w:color w:val="auto"/>
              </w:rPr>
            </w:pPr>
            <w:r>
              <w:rPr>
                <w:rFonts w:ascii="Arial" w:cs="Arial" w:eastAsia="Arial" w:hAnsi="Arial"/>
                <w:sz w:val="18"/>
                <w:szCs w:val="18"/>
                <w:color w:val="auto"/>
              </w:rPr>
              <w:t>Asset-backed securities</w:t>
            </w:r>
          </w:p>
        </w:tc>
        <w:tc>
          <w:tcPr>
            <w:tcW w:w="17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448,323</w:t>
            </w: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448,323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280"/>
              <w:spacing w:after="0"/>
              <w:rPr>
                <w:sz w:val="20"/>
                <w:szCs w:val="20"/>
                <w:color w:val="auto"/>
              </w:rPr>
            </w:pPr>
            <w:r>
              <w:rPr>
                <w:rFonts w:ascii="Arial" w:cs="Arial" w:eastAsia="Arial" w:hAnsi="Arial"/>
                <w:sz w:val="18"/>
                <w:szCs w:val="18"/>
                <w:color w:val="auto"/>
              </w:rPr>
              <w:t>Other</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2,211</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Deferred compensation plan assets</w:t>
            </w:r>
          </w:p>
        </w:tc>
        <w:tc>
          <w:tcPr>
            <w:tcW w:w="17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3,715</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Derivative financial instruments</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22,024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22,024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200" w:type="dxa"/>
            <w:vAlign w:val="bottom"/>
            <w:shd w:val="clear" w:color="auto" w:fill="F0FFFF"/>
          </w:tcPr>
          <w:p>
            <w:pPr>
              <w:ind w:left="560"/>
              <w:spacing w:after="0"/>
              <w:rPr>
                <w:sz w:val="20"/>
                <w:szCs w:val="20"/>
                <w:color w:val="auto"/>
              </w:rPr>
            </w:pPr>
            <w:r>
              <w:rPr>
                <w:rFonts w:ascii="Arial" w:cs="Arial" w:eastAsia="Arial" w:hAnsi="Arial"/>
                <w:sz w:val="18"/>
                <w:szCs w:val="18"/>
                <w:color w:val="auto"/>
              </w:rPr>
              <w:t>Total assets</w:t>
            </w:r>
          </w:p>
        </w:tc>
        <w:tc>
          <w:tcPr>
            <w:tcW w:w="2040" w:type="dxa"/>
            <w:vAlign w:val="bottom"/>
            <w:gridSpan w:val="3"/>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3,715</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1,762,992</w:t>
            </w:r>
          </w:p>
        </w:tc>
        <w:tc>
          <w:tcPr>
            <w:tcW w:w="200" w:type="dxa"/>
            <w:vAlign w:val="bottom"/>
            <w:shd w:val="clear" w:color="auto" w:fill="F0FFFF"/>
          </w:tcPr>
          <w:p>
            <w:pPr>
              <w:spacing w:after="0"/>
              <w:rPr>
                <w:sz w:val="22"/>
                <w:szCs w:val="22"/>
                <w:color w:val="auto"/>
              </w:rPr>
            </w:pPr>
          </w:p>
        </w:tc>
        <w:tc>
          <w:tcPr>
            <w:tcW w:w="2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300</w:t>
            </w:r>
          </w:p>
        </w:tc>
        <w:tc>
          <w:tcPr>
            <w:tcW w:w="3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1,767,007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top w:val="single" w:sz="8" w:color="F0FFFF"/>
            </w:tcBorders>
          </w:tcPr>
          <w:p>
            <w:pPr>
              <w:spacing w:after="0"/>
              <w:rPr>
                <w:sz w:val="20"/>
                <w:szCs w:val="20"/>
                <w:color w:val="auto"/>
              </w:rPr>
            </w:pPr>
            <w:r>
              <w:rPr>
                <w:rFonts w:ascii="Arial" w:cs="Arial" w:eastAsia="Arial" w:hAnsi="Arial"/>
                <w:sz w:val="18"/>
                <w:szCs w:val="18"/>
                <w:b w:val="1"/>
                <w:bCs w:val="1"/>
                <w:color w:val="auto"/>
              </w:rPr>
              <w:t>Liabilities:</w:t>
            </w:r>
          </w:p>
        </w:tc>
        <w:tc>
          <w:tcPr>
            <w:tcW w:w="174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Deferred compensation plan liability</w:t>
            </w:r>
          </w:p>
        </w:tc>
        <w:tc>
          <w:tcPr>
            <w:tcW w:w="2040" w:type="dxa"/>
            <w:vAlign w:val="bottom"/>
            <w:gridSpan w:val="3"/>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3,715</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Brokered certificates of deposit</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179,215</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179,215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Derivative financial instruments</w:t>
            </w:r>
          </w:p>
        </w:tc>
        <w:tc>
          <w:tcPr>
            <w:tcW w:w="17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36,545</w:t>
            </w: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36,545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shd w:val="clear" w:color="auto" w:fill="F0FFFF"/>
          </w:tcPr>
          <w:p>
            <w:pPr>
              <w:spacing w:after="0"/>
              <w:rPr>
                <w:sz w:val="2"/>
                <w:szCs w:val="2"/>
                <w:color w:val="auto"/>
              </w:rPr>
            </w:pPr>
          </w:p>
        </w:tc>
        <w:tc>
          <w:tcPr>
            <w:tcW w:w="174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560"/>
              <w:spacing w:after="0"/>
              <w:rPr>
                <w:sz w:val="20"/>
                <w:szCs w:val="20"/>
                <w:color w:val="auto"/>
              </w:rPr>
            </w:pPr>
            <w:r>
              <w:rPr>
                <w:rFonts w:ascii="Arial" w:cs="Arial" w:eastAsia="Arial" w:hAnsi="Arial"/>
                <w:sz w:val="18"/>
                <w:szCs w:val="18"/>
                <w:color w:val="auto"/>
              </w:rPr>
              <w:t>Total liabilities</w:t>
            </w:r>
          </w:p>
        </w:tc>
        <w:tc>
          <w:tcPr>
            <w:tcW w:w="20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3,715</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215,760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219,475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740" w:type="dxa"/>
            <w:vAlign w:val="bottom"/>
            <w:vMerge w:val="restart"/>
          </w:tcPr>
          <w:p>
            <w:pPr>
              <w:jc w:val="right"/>
              <w:ind w:right="7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4200" w:type="dxa"/>
            <w:vAlign w:val="bottom"/>
            <w:tcBorders>
              <w:bottom w:val="single" w:sz="8" w:color="DCDCDC"/>
            </w:tcBorders>
          </w:tcPr>
          <w:p>
            <w:pPr>
              <w:spacing w:after="0"/>
              <w:rPr>
                <w:sz w:val="24"/>
                <w:szCs w:val="24"/>
                <w:color w:val="auto"/>
              </w:rPr>
            </w:pPr>
          </w:p>
        </w:tc>
        <w:tc>
          <w:tcPr>
            <w:tcW w:w="1740" w:type="dxa"/>
            <w:vAlign w:val="bottom"/>
            <w:tcBorders>
              <w:bottom w:val="single" w:sz="8" w:color="DCDCDC"/>
            </w:tcBorders>
            <w:vMerge w:val="continue"/>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96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9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9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1"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December 31, 2013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6"/>
        </w:trPr>
        <w:tc>
          <w:tcPr>
            <w:tcW w:w="20" w:type="dxa"/>
            <w:vAlign w:val="bottom"/>
          </w:tcPr>
          <w:p>
            <w:pPr>
              <w:spacing w:after="0"/>
              <w:rPr>
                <w:sz w:val="18"/>
                <w:szCs w:val="18"/>
                <w:color w:val="auto"/>
              </w:rPr>
            </w:pPr>
          </w:p>
        </w:tc>
        <w:tc>
          <w:tcPr>
            <w:tcW w:w="580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Securities available for sale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F0FFFF"/>
          </w:tcPr>
          <w:p>
            <w:pPr>
              <w:ind w:left="320"/>
              <w:spacing w:after="0"/>
              <w:rPr>
                <w:sz w:val="20"/>
                <w:szCs w:val="20"/>
                <w:color w:val="auto"/>
              </w:rPr>
            </w:pPr>
            <w:r>
              <w:rPr>
                <w:rFonts w:ascii="Arial" w:cs="Arial" w:eastAsia="Arial" w:hAnsi="Arial"/>
                <w:sz w:val="18"/>
                <w:szCs w:val="18"/>
                <w:color w:val="auto"/>
              </w:rPr>
              <w:t>State and political subdivisions</w:t>
            </w:r>
          </w:p>
        </w:tc>
        <w:tc>
          <w:tcPr>
            <w:tcW w:w="4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23,242</w:t>
            </w:r>
          </w:p>
        </w:tc>
        <w:tc>
          <w:tcPr>
            <w:tcW w:w="860" w:type="dxa"/>
            <w:vAlign w:val="bottom"/>
            <w:shd w:val="clear" w:color="auto" w:fill="F0FFFF"/>
          </w:tcPr>
          <w:p>
            <w:pPr>
              <w:jc w:val="right"/>
              <w:ind w:right="67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23,242</w:t>
            </w:r>
          </w:p>
        </w:tc>
      </w:tr>
      <w:tr>
        <w:trPr>
          <w:trHeight w:val="216"/>
        </w:trPr>
        <w:tc>
          <w:tcPr>
            <w:tcW w:w="20" w:type="dxa"/>
            <w:vAlign w:val="bottom"/>
          </w:tcPr>
          <w:p>
            <w:pPr>
              <w:spacing w:after="0"/>
              <w:rPr>
                <w:sz w:val="18"/>
                <w:szCs w:val="18"/>
                <w:color w:val="auto"/>
              </w:rPr>
            </w:pPr>
          </w:p>
        </w:tc>
        <w:tc>
          <w:tcPr>
            <w:tcW w:w="5800" w:type="dxa"/>
            <w:vAlign w:val="bottom"/>
          </w:tcPr>
          <w:p>
            <w:pPr>
              <w:ind w:left="320"/>
              <w:spacing w:after="0"/>
              <w:rPr>
                <w:sz w:val="20"/>
                <w:szCs w:val="20"/>
                <w:color w:val="auto"/>
              </w:rPr>
            </w:pPr>
            <w:r>
              <w:rPr>
                <w:rFonts w:ascii="Arial" w:cs="Arial" w:eastAsia="Arial" w:hAnsi="Arial"/>
                <w:sz w:val="18"/>
                <w:szCs w:val="18"/>
                <w:color w:val="auto"/>
              </w:rPr>
              <w:t>Mortgage-backed securities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1,145,347</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1,145,347</w:t>
            </w:r>
          </w:p>
        </w:tc>
      </w:tr>
      <w:tr>
        <w:trPr>
          <w:trHeight w:val="216"/>
        </w:trPr>
        <w:tc>
          <w:tcPr>
            <w:tcW w:w="20" w:type="dxa"/>
            <w:vAlign w:val="bottom"/>
          </w:tcPr>
          <w:p>
            <w:pPr>
              <w:spacing w:after="0"/>
              <w:rPr>
                <w:sz w:val="18"/>
                <w:szCs w:val="18"/>
                <w:color w:val="auto"/>
              </w:rPr>
            </w:pPr>
          </w:p>
        </w:tc>
        <w:tc>
          <w:tcPr>
            <w:tcW w:w="5800" w:type="dxa"/>
            <w:vAlign w:val="bottom"/>
            <w:shd w:val="clear" w:color="auto" w:fill="F0FFFF"/>
          </w:tcPr>
          <w:p>
            <w:pPr>
              <w:ind w:left="320"/>
              <w:spacing w:after="0"/>
              <w:rPr>
                <w:sz w:val="20"/>
                <w:szCs w:val="20"/>
                <w:color w:val="auto"/>
              </w:rPr>
            </w:pPr>
            <w:r>
              <w:rPr>
                <w:rFonts w:ascii="Arial" w:cs="Arial" w:eastAsia="Arial" w:hAnsi="Arial"/>
                <w:sz w:val="18"/>
                <w:szCs w:val="18"/>
                <w:color w:val="auto"/>
              </w:rPr>
              <w:t>Corporate bonds</w:t>
            </w:r>
          </w:p>
        </w:tc>
        <w:tc>
          <w:tcPr>
            <w:tcW w:w="2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249,946</w:t>
            </w:r>
          </w:p>
        </w:tc>
        <w:tc>
          <w:tcPr>
            <w:tcW w:w="860" w:type="dxa"/>
            <w:vAlign w:val="bottom"/>
            <w:shd w:val="clear" w:color="auto" w:fill="F0FFFF"/>
          </w:tcPr>
          <w:p>
            <w:pPr>
              <w:spacing w:after="0"/>
              <w:rPr>
                <w:sz w:val="18"/>
                <w:szCs w:val="18"/>
                <w:color w:val="auto"/>
              </w:rPr>
            </w:pPr>
          </w:p>
        </w:tc>
        <w:tc>
          <w:tcPr>
            <w:tcW w:w="3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w w:val="86"/>
              </w:rPr>
              <w:t>350</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250,296</w:t>
            </w:r>
          </w:p>
        </w:tc>
      </w:tr>
      <w:tr>
        <w:trPr>
          <w:trHeight w:val="216"/>
        </w:trPr>
        <w:tc>
          <w:tcPr>
            <w:tcW w:w="20" w:type="dxa"/>
            <w:vAlign w:val="bottom"/>
          </w:tcPr>
          <w:p>
            <w:pPr>
              <w:spacing w:after="0"/>
              <w:rPr>
                <w:sz w:val="18"/>
                <w:szCs w:val="18"/>
                <w:color w:val="auto"/>
              </w:rPr>
            </w:pPr>
          </w:p>
        </w:tc>
        <w:tc>
          <w:tcPr>
            <w:tcW w:w="5800" w:type="dxa"/>
            <w:vAlign w:val="bottom"/>
          </w:tcPr>
          <w:p>
            <w:pPr>
              <w:ind w:left="32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410,633</w:t>
            </w: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410,633</w:t>
            </w:r>
          </w:p>
        </w:tc>
      </w:tr>
      <w:tr>
        <w:trPr>
          <w:trHeight w:val="216"/>
        </w:trPr>
        <w:tc>
          <w:tcPr>
            <w:tcW w:w="20" w:type="dxa"/>
            <w:vAlign w:val="bottom"/>
          </w:tcPr>
          <w:p>
            <w:pPr>
              <w:spacing w:after="0"/>
              <w:rPr>
                <w:sz w:val="18"/>
                <w:szCs w:val="18"/>
                <w:color w:val="auto"/>
              </w:rPr>
            </w:pPr>
          </w:p>
        </w:tc>
        <w:tc>
          <w:tcPr>
            <w:tcW w:w="5800" w:type="dxa"/>
            <w:vAlign w:val="bottom"/>
            <w:shd w:val="clear" w:color="auto" w:fill="F0FFFF"/>
          </w:tcPr>
          <w:p>
            <w:pPr>
              <w:ind w:left="3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2,699</w:t>
            </w:r>
          </w:p>
        </w:tc>
        <w:tc>
          <w:tcPr>
            <w:tcW w:w="860" w:type="dxa"/>
            <w:vAlign w:val="bottom"/>
            <w:shd w:val="clear" w:color="auto" w:fill="F0FFFF"/>
          </w:tcPr>
          <w:p>
            <w:pPr>
              <w:spacing w:after="0"/>
              <w:rPr>
                <w:sz w:val="18"/>
                <w:szCs w:val="18"/>
                <w:color w:val="auto"/>
              </w:rPr>
            </w:pPr>
          </w:p>
        </w:tc>
        <w:tc>
          <w:tcPr>
            <w:tcW w:w="3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2,699</w:t>
            </w: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Deferred compensation plan assets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3,496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3,496</w:t>
            </w:r>
          </w:p>
        </w:tc>
      </w:tr>
      <w:tr>
        <w:trPr>
          <w:trHeight w:val="216"/>
        </w:trPr>
        <w:tc>
          <w:tcPr>
            <w:tcW w:w="20" w:type="dxa"/>
            <w:vAlign w:val="bottom"/>
          </w:tcPr>
          <w:p>
            <w:pPr>
              <w:spacing w:after="0"/>
              <w:rPr>
                <w:sz w:val="18"/>
                <w:szCs w:val="18"/>
                <w:color w:val="auto"/>
              </w:rPr>
            </w:pPr>
          </w:p>
        </w:tc>
        <w:tc>
          <w:tcPr>
            <w:tcW w:w="58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Derivative financial instruments</w:t>
            </w:r>
          </w:p>
        </w:tc>
        <w:tc>
          <w:tcPr>
            <w:tcW w:w="2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23,833</w:t>
            </w:r>
          </w:p>
        </w:tc>
        <w:tc>
          <w:tcPr>
            <w:tcW w:w="20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3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23,833</w:t>
            </w:r>
          </w:p>
        </w:tc>
      </w:tr>
      <w:tr>
        <w:trPr>
          <w:trHeight w:val="27"/>
        </w:trPr>
        <w:tc>
          <w:tcPr>
            <w:tcW w:w="20" w:type="dxa"/>
            <w:vAlign w:val="bottom"/>
          </w:tcPr>
          <w:p>
            <w:pPr>
              <w:spacing w:after="0"/>
              <w:rPr>
                <w:sz w:val="2"/>
                <w:szCs w:val="2"/>
                <w:color w:val="auto"/>
              </w:rPr>
            </w:pPr>
          </w:p>
        </w:tc>
        <w:tc>
          <w:tcPr>
            <w:tcW w:w="5800" w:type="dxa"/>
            <w:vAlign w:val="bottom"/>
            <w:shd w:val="clear" w:color="auto" w:fill="F0FFFF"/>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3,496</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1,855,700</w:t>
            </w:r>
          </w:p>
        </w:tc>
        <w:tc>
          <w:tcPr>
            <w:tcW w:w="200" w:type="dxa"/>
            <w:vAlign w:val="bottom"/>
          </w:tcPr>
          <w:p>
            <w:pPr>
              <w:spacing w:after="0"/>
              <w:rPr>
                <w:sz w:val="18"/>
                <w:szCs w:val="18"/>
                <w:color w:val="auto"/>
              </w:rPr>
            </w:pP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350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1,859,546</w:t>
            </w:r>
          </w:p>
        </w:tc>
      </w:tr>
      <w:tr>
        <w:trPr>
          <w:trHeight w:val="21"/>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Liabilities:</w:t>
            </w:r>
          </w:p>
        </w:tc>
        <w:tc>
          <w:tcPr>
            <w:tcW w:w="2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Deferred compensation plan liability</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3,496</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3,496</w:t>
            </w:r>
          </w:p>
        </w:tc>
      </w:tr>
      <w:tr>
        <w:trPr>
          <w:trHeight w:val="216"/>
        </w:trPr>
        <w:tc>
          <w:tcPr>
            <w:tcW w:w="20" w:type="dxa"/>
            <w:vAlign w:val="bottom"/>
          </w:tcPr>
          <w:p>
            <w:pPr>
              <w:spacing w:after="0"/>
              <w:rPr>
                <w:sz w:val="18"/>
                <w:szCs w:val="18"/>
                <w:color w:val="auto"/>
              </w:rPr>
            </w:pPr>
          </w:p>
        </w:tc>
        <w:tc>
          <w:tcPr>
            <w:tcW w:w="58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Brokered certificates of deposit</w:t>
            </w:r>
          </w:p>
        </w:tc>
        <w:tc>
          <w:tcPr>
            <w:tcW w:w="2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173,657</w:t>
            </w:r>
          </w:p>
        </w:tc>
        <w:tc>
          <w:tcPr>
            <w:tcW w:w="860" w:type="dxa"/>
            <w:vAlign w:val="bottom"/>
            <w:shd w:val="clear" w:color="auto" w:fill="F0FFFF"/>
          </w:tcPr>
          <w:p>
            <w:pPr>
              <w:spacing w:after="0"/>
              <w:rPr>
                <w:sz w:val="18"/>
                <w:szCs w:val="18"/>
                <w:color w:val="auto"/>
              </w:rPr>
            </w:pPr>
          </w:p>
        </w:tc>
        <w:tc>
          <w:tcPr>
            <w:tcW w:w="3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173,657</w:t>
            </w: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Derivative financial instruments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46,233</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46,233</w:t>
            </w:r>
          </w:p>
        </w:tc>
      </w:tr>
      <w:tr>
        <w:trPr>
          <w:trHeight w:val="27"/>
        </w:trPr>
        <w:tc>
          <w:tcPr>
            <w:tcW w:w="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800" w:type="dxa"/>
            <w:vAlign w:val="bottom"/>
            <w:shd w:val="clear" w:color="auto" w:fill="F0FFFF"/>
          </w:tcPr>
          <w:p>
            <w:pPr>
              <w:ind w:left="480"/>
              <w:spacing w:after="0"/>
              <w:rPr>
                <w:sz w:val="20"/>
                <w:szCs w:val="20"/>
                <w:color w:val="auto"/>
              </w:rPr>
            </w:pPr>
            <w:r>
              <w:rPr>
                <w:rFonts w:ascii="Arial" w:cs="Arial" w:eastAsia="Arial" w:hAnsi="Arial"/>
                <w:sz w:val="18"/>
                <w:szCs w:val="18"/>
                <w:color w:val="auto"/>
              </w:rPr>
              <w:t>Total liabilities</w:t>
            </w:r>
          </w:p>
        </w:tc>
        <w:tc>
          <w:tcPr>
            <w:tcW w:w="4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3,496</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219,890</w:t>
            </w:r>
          </w:p>
        </w:tc>
        <w:tc>
          <w:tcPr>
            <w:tcW w:w="860" w:type="dxa"/>
            <w:vAlign w:val="bottom"/>
            <w:shd w:val="clear" w:color="auto" w:fill="F0FFFF"/>
          </w:tcPr>
          <w:p>
            <w:pPr>
              <w:jc w:val="right"/>
              <w:ind w:right="67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223,386</w:t>
            </w:r>
          </w:p>
        </w:tc>
      </w:tr>
      <w:tr>
        <w:trPr>
          <w:trHeight w:val="20"/>
        </w:trPr>
        <w:tc>
          <w:tcPr>
            <w:tcW w:w="20" w:type="dxa"/>
            <w:vAlign w:val="bottom"/>
          </w:tcPr>
          <w:p>
            <w:pPr>
              <w:spacing w:after="0" w:line="20" w:lineRule="exact"/>
              <w:rPr>
                <w:sz w:val="1"/>
                <w:szCs w:val="1"/>
                <w:color w:val="auto"/>
              </w:rPr>
            </w:pPr>
          </w:p>
        </w:tc>
        <w:tc>
          <w:tcPr>
            <w:tcW w:w="5800" w:type="dxa"/>
            <w:vAlign w:val="bottom"/>
            <w:tcBorders>
              <w:top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June 30, 2013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6"/>
        </w:trPr>
        <w:tc>
          <w:tcPr>
            <w:tcW w:w="20" w:type="dxa"/>
            <w:vAlign w:val="bottom"/>
          </w:tcPr>
          <w:p>
            <w:pPr>
              <w:spacing w:after="0"/>
              <w:rPr>
                <w:sz w:val="18"/>
                <w:szCs w:val="18"/>
                <w:color w:val="auto"/>
              </w:rPr>
            </w:pPr>
          </w:p>
        </w:tc>
        <w:tc>
          <w:tcPr>
            <w:tcW w:w="580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60" w:type="dxa"/>
            <w:vAlign w:val="bottom"/>
            <w:tcBorders>
              <w:top w:val="single" w:sz="8" w:color="auto"/>
            </w:tcBorders>
            <w:shd w:val="clear" w:color="auto" w:fill="F0FFFF"/>
          </w:tcPr>
          <w:p>
            <w:pPr>
              <w:spacing w:after="0"/>
              <w:rPr>
                <w:sz w:val="18"/>
                <w:szCs w:val="18"/>
                <w:color w:val="auto"/>
              </w:rPr>
            </w:pPr>
          </w:p>
        </w:tc>
        <w:tc>
          <w:tcPr>
            <w:tcW w:w="28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Securities available for sale: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F0FFFF"/>
          </w:tcPr>
          <w:p>
            <w:pPr>
              <w:ind w:left="320"/>
              <w:spacing w:after="0"/>
              <w:rPr>
                <w:sz w:val="20"/>
                <w:szCs w:val="20"/>
                <w:color w:val="auto"/>
              </w:rPr>
            </w:pPr>
            <w:r>
              <w:rPr>
                <w:rFonts w:ascii="Arial" w:cs="Arial" w:eastAsia="Arial" w:hAnsi="Arial"/>
                <w:sz w:val="18"/>
                <w:szCs w:val="18"/>
                <w:color w:val="auto"/>
              </w:rPr>
              <w:t>State and political subdivisions</w:t>
            </w:r>
          </w:p>
        </w:tc>
        <w:tc>
          <w:tcPr>
            <w:tcW w:w="4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23,440</w:t>
            </w:r>
          </w:p>
        </w:tc>
        <w:tc>
          <w:tcPr>
            <w:tcW w:w="860" w:type="dxa"/>
            <w:vAlign w:val="bottom"/>
            <w:shd w:val="clear" w:color="auto" w:fill="F0FFFF"/>
          </w:tcPr>
          <w:p>
            <w:pPr>
              <w:jc w:val="right"/>
              <w:ind w:right="67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23,440</w:t>
            </w:r>
          </w:p>
        </w:tc>
      </w:tr>
      <w:tr>
        <w:trPr>
          <w:trHeight w:val="216"/>
        </w:trPr>
        <w:tc>
          <w:tcPr>
            <w:tcW w:w="20" w:type="dxa"/>
            <w:vAlign w:val="bottom"/>
          </w:tcPr>
          <w:p>
            <w:pPr>
              <w:spacing w:after="0"/>
              <w:rPr>
                <w:sz w:val="18"/>
                <w:szCs w:val="18"/>
                <w:color w:val="auto"/>
              </w:rPr>
            </w:pPr>
          </w:p>
        </w:tc>
        <w:tc>
          <w:tcPr>
            <w:tcW w:w="5800" w:type="dxa"/>
            <w:vAlign w:val="bottom"/>
          </w:tcPr>
          <w:p>
            <w:pPr>
              <w:ind w:left="320"/>
              <w:spacing w:after="0"/>
              <w:rPr>
                <w:sz w:val="20"/>
                <w:szCs w:val="20"/>
                <w:color w:val="auto"/>
              </w:rPr>
            </w:pPr>
            <w:r>
              <w:rPr>
                <w:rFonts w:ascii="Arial" w:cs="Arial" w:eastAsia="Arial" w:hAnsi="Arial"/>
                <w:sz w:val="18"/>
                <w:szCs w:val="18"/>
                <w:color w:val="auto"/>
              </w:rPr>
              <w:t>Mortgage-backed securities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1,412,586</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1,412,586</w:t>
            </w:r>
          </w:p>
        </w:tc>
      </w:tr>
      <w:tr>
        <w:trPr>
          <w:trHeight w:val="216"/>
        </w:trPr>
        <w:tc>
          <w:tcPr>
            <w:tcW w:w="20" w:type="dxa"/>
            <w:vAlign w:val="bottom"/>
          </w:tcPr>
          <w:p>
            <w:pPr>
              <w:spacing w:after="0"/>
              <w:rPr>
                <w:sz w:val="18"/>
                <w:szCs w:val="18"/>
                <w:color w:val="auto"/>
              </w:rPr>
            </w:pPr>
          </w:p>
        </w:tc>
        <w:tc>
          <w:tcPr>
            <w:tcW w:w="5800" w:type="dxa"/>
            <w:vAlign w:val="bottom"/>
            <w:shd w:val="clear" w:color="auto" w:fill="F0FFFF"/>
          </w:tcPr>
          <w:p>
            <w:pPr>
              <w:ind w:left="320"/>
              <w:spacing w:after="0"/>
              <w:rPr>
                <w:sz w:val="20"/>
                <w:szCs w:val="20"/>
                <w:color w:val="auto"/>
              </w:rPr>
            </w:pPr>
            <w:r>
              <w:rPr>
                <w:rFonts w:ascii="Arial" w:cs="Arial" w:eastAsia="Arial" w:hAnsi="Arial"/>
                <w:sz w:val="18"/>
                <w:szCs w:val="18"/>
                <w:color w:val="auto"/>
              </w:rPr>
              <w:t>Corporate bonds</w:t>
            </w:r>
          </w:p>
        </w:tc>
        <w:tc>
          <w:tcPr>
            <w:tcW w:w="2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253,518</w:t>
            </w:r>
          </w:p>
        </w:tc>
        <w:tc>
          <w:tcPr>
            <w:tcW w:w="860" w:type="dxa"/>
            <w:vAlign w:val="bottom"/>
            <w:shd w:val="clear" w:color="auto" w:fill="F0FFFF"/>
          </w:tcPr>
          <w:p>
            <w:pPr>
              <w:spacing w:after="0"/>
              <w:rPr>
                <w:sz w:val="18"/>
                <w:szCs w:val="18"/>
                <w:color w:val="auto"/>
              </w:rPr>
            </w:pPr>
          </w:p>
        </w:tc>
        <w:tc>
          <w:tcPr>
            <w:tcW w:w="3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w w:val="86"/>
              </w:rPr>
              <w:t>350</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253,868</w:t>
            </w:r>
          </w:p>
        </w:tc>
      </w:tr>
      <w:tr>
        <w:trPr>
          <w:trHeight w:val="216"/>
        </w:trPr>
        <w:tc>
          <w:tcPr>
            <w:tcW w:w="20" w:type="dxa"/>
            <w:vAlign w:val="bottom"/>
          </w:tcPr>
          <w:p>
            <w:pPr>
              <w:spacing w:after="0"/>
              <w:rPr>
                <w:sz w:val="18"/>
                <w:szCs w:val="18"/>
                <w:color w:val="auto"/>
              </w:rPr>
            </w:pPr>
          </w:p>
        </w:tc>
        <w:tc>
          <w:tcPr>
            <w:tcW w:w="5800" w:type="dxa"/>
            <w:vAlign w:val="bottom"/>
          </w:tcPr>
          <w:p>
            <w:pPr>
              <w:ind w:left="32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244,844</w:t>
            </w: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244,844</w:t>
            </w:r>
          </w:p>
        </w:tc>
      </w:tr>
      <w:tr>
        <w:trPr>
          <w:trHeight w:val="216"/>
        </w:trPr>
        <w:tc>
          <w:tcPr>
            <w:tcW w:w="20" w:type="dxa"/>
            <w:vAlign w:val="bottom"/>
          </w:tcPr>
          <w:p>
            <w:pPr>
              <w:spacing w:after="0"/>
              <w:rPr>
                <w:sz w:val="18"/>
                <w:szCs w:val="18"/>
                <w:color w:val="auto"/>
              </w:rPr>
            </w:pPr>
          </w:p>
        </w:tc>
        <w:tc>
          <w:tcPr>
            <w:tcW w:w="5800" w:type="dxa"/>
            <w:vAlign w:val="bottom"/>
            <w:shd w:val="clear" w:color="auto" w:fill="F0FFFF"/>
          </w:tcPr>
          <w:p>
            <w:pPr>
              <w:ind w:left="32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2,526</w:t>
            </w:r>
          </w:p>
        </w:tc>
        <w:tc>
          <w:tcPr>
            <w:tcW w:w="860" w:type="dxa"/>
            <w:vAlign w:val="bottom"/>
            <w:shd w:val="clear" w:color="auto" w:fill="F0FFFF"/>
          </w:tcPr>
          <w:p>
            <w:pPr>
              <w:spacing w:after="0"/>
              <w:rPr>
                <w:sz w:val="18"/>
                <w:szCs w:val="18"/>
                <w:color w:val="auto"/>
              </w:rPr>
            </w:pPr>
          </w:p>
        </w:tc>
        <w:tc>
          <w:tcPr>
            <w:tcW w:w="3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2,526</w:t>
            </w: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Deferred compensation plan assets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3,074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3,074</w:t>
            </w:r>
          </w:p>
        </w:tc>
      </w:tr>
      <w:tr>
        <w:trPr>
          <w:trHeight w:val="216"/>
        </w:trPr>
        <w:tc>
          <w:tcPr>
            <w:tcW w:w="20" w:type="dxa"/>
            <w:vAlign w:val="bottom"/>
          </w:tcPr>
          <w:p>
            <w:pPr>
              <w:spacing w:after="0"/>
              <w:rPr>
                <w:sz w:val="18"/>
                <w:szCs w:val="18"/>
                <w:color w:val="auto"/>
              </w:rPr>
            </w:pPr>
          </w:p>
        </w:tc>
        <w:tc>
          <w:tcPr>
            <w:tcW w:w="58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Derivative financial instruments</w:t>
            </w:r>
          </w:p>
        </w:tc>
        <w:tc>
          <w:tcPr>
            <w:tcW w:w="2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9,017</w:t>
            </w:r>
          </w:p>
        </w:tc>
        <w:tc>
          <w:tcPr>
            <w:tcW w:w="20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3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9,017</w:t>
            </w:r>
          </w:p>
        </w:tc>
      </w:tr>
      <w:tr>
        <w:trPr>
          <w:trHeight w:val="27"/>
        </w:trPr>
        <w:tc>
          <w:tcPr>
            <w:tcW w:w="20" w:type="dxa"/>
            <w:vAlign w:val="bottom"/>
          </w:tcPr>
          <w:p>
            <w:pPr>
              <w:spacing w:after="0"/>
              <w:rPr>
                <w:sz w:val="2"/>
                <w:szCs w:val="2"/>
                <w:color w:val="auto"/>
              </w:rPr>
            </w:pPr>
          </w:p>
        </w:tc>
        <w:tc>
          <w:tcPr>
            <w:tcW w:w="5800" w:type="dxa"/>
            <w:vAlign w:val="bottom"/>
            <w:shd w:val="clear" w:color="auto" w:fill="F0FFFF"/>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3,074</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1,945,931</w:t>
            </w:r>
          </w:p>
        </w:tc>
        <w:tc>
          <w:tcPr>
            <w:tcW w:w="200" w:type="dxa"/>
            <w:vAlign w:val="bottom"/>
          </w:tcPr>
          <w:p>
            <w:pPr>
              <w:spacing w:after="0"/>
              <w:rPr>
                <w:sz w:val="18"/>
                <w:szCs w:val="18"/>
                <w:color w:val="auto"/>
              </w:rPr>
            </w:pP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350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1,949,355</w:t>
            </w:r>
          </w:p>
        </w:tc>
      </w:tr>
      <w:tr>
        <w:trPr>
          <w:trHeight w:val="21"/>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Liabilities:</w:t>
            </w:r>
          </w:p>
        </w:tc>
        <w:tc>
          <w:tcPr>
            <w:tcW w:w="2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Deferred compensation plan liability</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3,074</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3,074</w:t>
            </w:r>
          </w:p>
        </w:tc>
      </w:tr>
      <w:tr>
        <w:trPr>
          <w:trHeight w:val="216"/>
        </w:trPr>
        <w:tc>
          <w:tcPr>
            <w:tcW w:w="20" w:type="dxa"/>
            <w:vAlign w:val="bottom"/>
          </w:tcPr>
          <w:p>
            <w:pPr>
              <w:spacing w:after="0"/>
              <w:rPr>
                <w:sz w:val="18"/>
                <w:szCs w:val="18"/>
                <w:color w:val="auto"/>
              </w:rPr>
            </w:pPr>
          </w:p>
        </w:tc>
        <w:tc>
          <w:tcPr>
            <w:tcW w:w="58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Brokered certificates of deposit</w:t>
            </w:r>
          </w:p>
        </w:tc>
        <w:tc>
          <w:tcPr>
            <w:tcW w:w="2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261,288</w:t>
            </w:r>
          </w:p>
        </w:tc>
        <w:tc>
          <w:tcPr>
            <w:tcW w:w="860" w:type="dxa"/>
            <w:vAlign w:val="bottom"/>
            <w:shd w:val="clear" w:color="auto" w:fill="F0FFFF"/>
          </w:tcPr>
          <w:p>
            <w:pPr>
              <w:spacing w:after="0"/>
              <w:rPr>
                <w:sz w:val="18"/>
                <w:szCs w:val="18"/>
                <w:color w:val="auto"/>
              </w:rPr>
            </w:pPr>
          </w:p>
        </w:tc>
        <w:tc>
          <w:tcPr>
            <w:tcW w:w="3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261,288</w:t>
            </w:r>
          </w:p>
        </w:tc>
      </w:tr>
      <w:tr>
        <w:trPr>
          <w:trHeight w:val="216"/>
        </w:trPr>
        <w:tc>
          <w:tcPr>
            <w:tcW w:w="20" w:type="dxa"/>
            <w:vAlign w:val="bottom"/>
          </w:tcPr>
          <w:p>
            <w:pPr>
              <w:spacing w:after="0"/>
              <w:rPr>
                <w:sz w:val="18"/>
                <w:szCs w:val="18"/>
                <w:color w:val="auto"/>
              </w:rPr>
            </w:pPr>
          </w:p>
        </w:tc>
        <w:tc>
          <w:tcPr>
            <w:tcW w:w="5800" w:type="dxa"/>
            <w:vAlign w:val="bottom"/>
          </w:tcPr>
          <w:p>
            <w:pPr>
              <w:ind w:left="160"/>
              <w:spacing w:after="0"/>
              <w:rPr>
                <w:sz w:val="20"/>
                <w:szCs w:val="20"/>
                <w:color w:val="auto"/>
              </w:rPr>
            </w:pPr>
            <w:r>
              <w:rPr>
                <w:rFonts w:ascii="Arial" w:cs="Arial" w:eastAsia="Arial" w:hAnsi="Arial"/>
                <w:sz w:val="18"/>
                <w:szCs w:val="18"/>
                <w:color w:val="auto"/>
              </w:rPr>
              <w:t>Derivative financial instruments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29,330</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29,330</w:t>
            </w:r>
          </w:p>
        </w:tc>
      </w:tr>
      <w:tr>
        <w:trPr>
          <w:trHeight w:val="27"/>
        </w:trPr>
        <w:tc>
          <w:tcPr>
            <w:tcW w:w="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800" w:type="dxa"/>
            <w:vAlign w:val="bottom"/>
            <w:shd w:val="clear" w:color="auto" w:fill="F0FFFF"/>
          </w:tcPr>
          <w:p>
            <w:pPr>
              <w:ind w:left="320"/>
              <w:spacing w:after="0"/>
              <w:rPr>
                <w:sz w:val="20"/>
                <w:szCs w:val="20"/>
                <w:color w:val="auto"/>
              </w:rPr>
            </w:pPr>
            <w:r>
              <w:rPr>
                <w:rFonts w:ascii="Arial" w:cs="Arial" w:eastAsia="Arial" w:hAnsi="Arial"/>
                <w:sz w:val="18"/>
                <w:szCs w:val="18"/>
                <w:color w:val="auto"/>
              </w:rPr>
              <w:t>Total liabilities</w:t>
            </w:r>
          </w:p>
        </w:tc>
        <w:tc>
          <w:tcPr>
            <w:tcW w:w="4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3,074</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290,618</w:t>
            </w:r>
          </w:p>
        </w:tc>
        <w:tc>
          <w:tcPr>
            <w:tcW w:w="860" w:type="dxa"/>
            <w:vAlign w:val="bottom"/>
            <w:shd w:val="clear" w:color="auto" w:fill="F0FFFF"/>
          </w:tcPr>
          <w:p>
            <w:pPr>
              <w:jc w:val="right"/>
              <w:ind w:right="67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293,692</w:t>
            </w:r>
          </w:p>
        </w:tc>
      </w:tr>
      <w:tr>
        <w:trPr>
          <w:trHeight w:val="20"/>
        </w:trPr>
        <w:tc>
          <w:tcPr>
            <w:tcW w:w="20" w:type="dxa"/>
            <w:vAlign w:val="bottom"/>
          </w:tcPr>
          <w:p>
            <w:pPr>
              <w:spacing w:after="0" w:line="20" w:lineRule="exact"/>
              <w:rPr>
                <w:sz w:val="1"/>
                <w:szCs w:val="1"/>
                <w:color w:val="auto"/>
              </w:rPr>
            </w:pPr>
          </w:p>
        </w:tc>
        <w:tc>
          <w:tcPr>
            <w:tcW w:w="5800" w:type="dxa"/>
            <w:vAlign w:val="bottom"/>
            <w:tcBorders>
              <w:top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following table shows a reconciliation of the beginning and ending balances for assets measured at fair value on a recurring basis using significant unobservable inputs that are classified as Level 3 values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rPr>
              <w:t>June 30,</w:t>
            </w: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Securities Available for Sale</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F0FFFF"/>
          </w:tcPr>
          <w:p>
            <w:pPr>
              <w:spacing w:after="0"/>
              <w:rPr>
                <w:sz w:val="20"/>
                <w:szCs w:val="20"/>
                <w:color w:val="auto"/>
              </w:rPr>
            </w:pPr>
            <w:r>
              <w:rPr>
                <w:rFonts w:ascii="Arial" w:cs="Arial" w:eastAsia="Arial" w:hAnsi="Arial"/>
                <w:sz w:val="18"/>
                <w:szCs w:val="18"/>
                <w:color w:val="auto"/>
              </w:rPr>
              <w:t>Balance at beginning of period</w:t>
            </w:r>
          </w:p>
        </w:tc>
        <w:tc>
          <w:tcPr>
            <w:tcW w:w="900" w:type="dxa"/>
            <w:vAlign w:val="bottom"/>
            <w:gridSpan w:val="2"/>
            <w:shd w:val="clear" w:color="auto" w:fill="F0FFFF"/>
          </w:tcPr>
          <w:p>
            <w:pPr>
              <w:jc w:val="right"/>
              <w:ind w:right="630"/>
              <w:spacing w:after="0"/>
              <w:rPr>
                <w:sz w:val="20"/>
                <w:szCs w:val="20"/>
                <w:color w:val="auto"/>
              </w:rPr>
            </w:pPr>
            <w:r>
              <w:rPr>
                <w:rFonts w:ascii="Arial" w:cs="Arial" w:eastAsia="Arial" w:hAnsi="Arial"/>
                <w:sz w:val="18"/>
                <w:szCs w:val="18"/>
                <w:color w:val="auto"/>
              </w:rPr>
              <w:t>$</w:t>
            </w:r>
          </w:p>
        </w:tc>
        <w:tc>
          <w:tcPr>
            <w:tcW w:w="3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F0FFFF"/>
          </w:tcPr>
          <w:p>
            <w:pPr>
              <w:spacing w:after="0"/>
              <w:rPr>
                <w:sz w:val="18"/>
                <w:szCs w:val="18"/>
                <w:color w:val="auto"/>
              </w:rPr>
            </w:pPr>
          </w:p>
        </w:tc>
        <w:tc>
          <w:tcPr>
            <w:tcW w:w="820" w:type="dxa"/>
            <w:vAlign w:val="bottom"/>
            <w:shd w:val="clear" w:color="auto" w:fill="F0FFFF"/>
          </w:tcPr>
          <w:p>
            <w:pPr>
              <w:jc w:val="right"/>
              <w:ind w:right="63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350</w:t>
            </w: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350</w:t>
            </w:r>
          </w:p>
        </w:tc>
        <w:tc>
          <w:tcPr>
            <w:tcW w:w="3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Amounts included in earnings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Paydowns / sales</w:t>
            </w:r>
          </w:p>
        </w:tc>
        <w:tc>
          <w:tcPr>
            <w:tcW w:w="120" w:type="dxa"/>
            <w:vAlign w:val="bottom"/>
            <w:tcBorders>
              <w:right w:val="single" w:sz="8" w:color="F0FFFF"/>
            </w:tcBorders>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5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(50)</w:t>
            </w:r>
          </w:p>
        </w:tc>
        <w:tc>
          <w:tcPr>
            <w:tcW w:w="820" w:type="dxa"/>
            <w:vAlign w:val="bottom"/>
            <w:shd w:val="clear" w:color="auto" w:fill="F0FFFF"/>
          </w:tcPr>
          <w:p>
            <w:pPr>
              <w:spacing w:after="0"/>
              <w:rPr>
                <w:sz w:val="18"/>
                <w:szCs w:val="18"/>
                <w:color w:val="auto"/>
              </w:rPr>
            </w:pPr>
          </w:p>
        </w:tc>
        <w:tc>
          <w:tcPr>
            <w:tcW w:w="5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(50)</w:t>
            </w:r>
          </w:p>
        </w:tc>
        <w:tc>
          <w:tcPr>
            <w:tcW w:w="80" w:type="dxa"/>
            <w:vAlign w:val="bottom"/>
            <w:shd w:val="clear" w:color="auto" w:fill="F0FFFF"/>
          </w:tcPr>
          <w:p>
            <w:pPr>
              <w:spacing w:after="0"/>
              <w:rPr>
                <w:sz w:val="18"/>
                <w:szCs w:val="18"/>
                <w:color w:val="auto"/>
              </w:rPr>
            </w:pPr>
          </w:p>
        </w:tc>
        <w:tc>
          <w:tcPr>
            <w:tcW w:w="300" w:type="dxa"/>
            <w:vAlign w:val="bottom"/>
            <w:shd w:val="clear" w:color="auto" w:fill="F0FFFF"/>
          </w:tcPr>
          <w:p>
            <w:pPr>
              <w:spacing w:after="0"/>
              <w:rPr>
                <w:sz w:val="18"/>
                <w:szCs w:val="18"/>
                <w:color w:val="auto"/>
              </w:rPr>
            </w:pPr>
          </w:p>
        </w:tc>
        <w:tc>
          <w:tcPr>
            <w:tcW w:w="9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shd w:val="clear" w:color="auto" w:fill="F0FFFF"/>
          </w:tcPr>
          <w:p>
            <w:pPr>
              <w:spacing w:after="0"/>
              <w:rPr>
                <w:sz w:val="2"/>
                <w:szCs w:val="2"/>
                <w:color w:val="auto"/>
              </w:rPr>
            </w:pPr>
          </w:p>
        </w:tc>
        <w:tc>
          <w:tcPr>
            <w:tcW w:w="120" w:type="dxa"/>
            <w:vAlign w:val="bottom"/>
            <w:tcBorders>
              <w:right w:val="single" w:sz="8" w:color="F0FFFF"/>
            </w:tcBorders>
            <w:shd w:val="clear" w:color="auto" w:fill="F0FF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90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300</w:t>
            </w:r>
          </w:p>
        </w:tc>
        <w:tc>
          <w:tcPr>
            <w:tcW w:w="200" w:type="dxa"/>
            <w:vAlign w:val="bottom"/>
          </w:tcPr>
          <w:p>
            <w:pPr>
              <w:spacing w:after="0"/>
              <w:rPr>
                <w:sz w:val="18"/>
                <w:szCs w:val="18"/>
                <w:color w:val="auto"/>
              </w:rPr>
            </w:pP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350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300</w:t>
            </w: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June 30, 2014, United had one security that has a Level 3 valuation. It is a trust preferred security in a community bank that has shown deteriorating financial condition during the financial crisis, and is currently deferring interest payments. Since the investment is not actively traded, there is no recent trade activity upon which to assess value. The value assigned to the investment is based on a sales price estimate from a broker. The investment has a par amount of $1 million. The investment is carried at its original cost basis of $1 million with a $700,000 negative mark to fair value through other comprehensive income. United does not consider this investment to be other-than-temporarily impaired, as the community bank was recapitalized by a private equity investment that management believes will result in full payment at maturity.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37" w:name="page38"/>
    <w:bookmarkEnd w:id="37"/>
    <w:p>
      <w:pPr>
        <w:jc w:val="center"/>
        <w:ind w:right="40"/>
        <w:spacing w:after="0"/>
        <w:rPr>
          <w:sz w:val="20"/>
          <w:szCs w:val="20"/>
          <w:color w:val="auto"/>
        </w:rPr>
      </w:pPr>
      <w:r>
        <w:rPr>
          <w:rFonts w:ascii="Arial" w:cs="Arial" w:eastAsia="Arial" w:hAnsi="Arial"/>
          <w:sz w:val="22"/>
          <w:szCs w:val="22"/>
          <w:b w:val="1"/>
          <w:bCs w:val="1"/>
          <w:color w:val="auto"/>
        </w:rPr>
        <w:t>UNITED COMMUNITY BANKS, INC.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 had a second trust preferred security in another community bank that was acquired by United through an acquisition of another financial institution. The investment was recorded at its par amount of $1 million at the time of the acquisition which was estimated to be its fair value. During the financial crisis, the community bank discontinued the payment of interest. United considered the investment to be other than temporarily impaired and recorded a $950,000 impairment charge to write the asset down to its estimated value of $50,000. In the second quarter of 2014, United sold the investment for $200,000 and recorded a gain from the sale of $150,000.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Nonrecurring Basis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United may be required, from time to time, to measure certain assets at fair value on a nonrecurring basis. These include assets that are measured at the lower of cost or market that were recognized at fair value below cost at the end of the period. The table below presents United’s assets and liabilities measured at fair value on a nonrecurring basis as of June 30, 2014, December 31, 2013 and June 30, 2013, aggregated by the level in the fair value hierarchy within which those measurements fall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June 30, 2014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ind w:left="12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ind w:left="10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Loans</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ind w:left="780"/>
              <w:spacing w:after="0"/>
              <w:rPr>
                <w:sz w:val="20"/>
                <w:szCs w:val="20"/>
                <w:color w:val="auto"/>
              </w:rPr>
            </w:pPr>
            <w:r>
              <w:rPr>
                <w:rFonts w:ascii="Arial" w:cs="Arial" w:eastAsia="Arial" w:hAnsi="Arial"/>
                <w:sz w:val="18"/>
                <w:szCs w:val="18"/>
                <w:color w:val="auto"/>
                <w:w w:val="88"/>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78,104</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78,104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Foreclosed properties</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ind w:left="80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ind w:left="7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2,233</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ind w:left="780"/>
              <w:spacing w:after="0"/>
              <w:rPr>
                <w:sz w:val="20"/>
                <w:szCs w:val="20"/>
                <w:color w:val="auto"/>
              </w:rPr>
            </w:pPr>
            <w:r>
              <w:rPr>
                <w:rFonts w:ascii="Arial" w:cs="Arial" w:eastAsia="Arial" w:hAnsi="Arial"/>
                <w:sz w:val="18"/>
                <w:szCs w:val="18"/>
                <w:color w:val="auto"/>
                <w:w w:val="88"/>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80,337</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80,337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40" w:type="dxa"/>
            <w:vAlign w:val="bottom"/>
            <w:tcBorders>
              <w:bottom w:val="single" w:sz="8" w:color="auto"/>
            </w:tcBorders>
            <w:shd w:val="clear" w:color="auto" w:fill="F0FFFF"/>
          </w:tcPr>
          <w:p>
            <w:pPr>
              <w:spacing w:after="0"/>
              <w:rPr>
                <w:sz w:val="20"/>
                <w:szCs w:val="20"/>
                <w:color w:val="auto"/>
              </w:rPr>
            </w:pPr>
            <w:r>
              <w:rPr>
                <w:rFonts w:ascii="Arial" w:cs="Arial" w:eastAsia="Arial" w:hAnsi="Arial"/>
                <w:sz w:val="18"/>
                <w:szCs w:val="18"/>
                <w:b w:val="1"/>
                <w:bCs w:val="1"/>
                <w:color w:val="auto"/>
              </w:rPr>
              <w:t>December 31, 2013</w:t>
            </w:r>
          </w:p>
        </w:tc>
        <w:tc>
          <w:tcPr>
            <w:tcW w:w="120" w:type="dxa"/>
            <w:vAlign w:val="bottom"/>
            <w:tcBorders>
              <w:bottom w:val="single" w:sz="8" w:color="F0FFFF"/>
            </w:tcBorders>
            <w:shd w:val="clear" w:color="auto" w:fill="F0FFFF"/>
          </w:tcPr>
          <w:p>
            <w:pPr>
              <w:spacing w:after="0"/>
              <w:rPr>
                <w:sz w:val="18"/>
                <w:szCs w:val="18"/>
                <w:color w:val="auto"/>
              </w:rPr>
            </w:pPr>
          </w:p>
        </w:tc>
        <w:tc>
          <w:tcPr>
            <w:tcW w:w="180" w:type="dxa"/>
            <w:vAlign w:val="bottom"/>
            <w:tcBorders>
              <w:bottom w:val="single" w:sz="8" w:color="F0FFFF"/>
            </w:tcBorders>
            <w:shd w:val="clear" w:color="auto" w:fill="F0FFFF"/>
          </w:tcPr>
          <w:p>
            <w:pPr>
              <w:spacing w:after="0"/>
              <w:rPr>
                <w:sz w:val="18"/>
                <w:szCs w:val="18"/>
                <w:color w:val="auto"/>
              </w:rPr>
            </w:pPr>
          </w:p>
        </w:tc>
        <w:tc>
          <w:tcPr>
            <w:tcW w:w="980" w:type="dxa"/>
            <w:vAlign w:val="bottom"/>
            <w:tcBorders>
              <w:bottom w:val="single" w:sz="8" w:color="F0FFFF"/>
            </w:tcBorders>
            <w:shd w:val="clear" w:color="auto" w:fill="F0FFFF"/>
          </w:tcPr>
          <w:p>
            <w:pPr>
              <w:spacing w:after="0"/>
              <w:rPr>
                <w:sz w:val="18"/>
                <w:szCs w:val="18"/>
                <w:color w:val="auto"/>
              </w:rPr>
            </w:pPr>
          </w:p>
        </w:tc>
        <w:tc>
          <w:tcPr>
            <w:tcW w:w="240" w:type="dxa"/>
            <w:vAlign w:val="bottom"/>
            <w:tcBorders>
              <w:bottom w:val="single" w:sz="8" w:color="F0FFFF"/>
            </w:tcBorders>
            <w:shd w:val="clear" w:color="auto" w:fill="F0FFFF"/>
          </w:tcPr>
          <w:p>
            <w:pPr>
              <w:spacing w:after="0"/>
              <w:rPr>
                <w:sz w:val="18"/>
                <w:szCs w:val="18"/>
                <w:color w:val="auto"/>
              </w:rPr>
            </w:pPr>
          </w:p>
        </w:tc>
        <w:tc>
          <w:tcPr>
            <w:tcW w:w="180" w:type="dxa"/>
            <w:vAlign w:val="bottom"/>
            <w:tcBorders>
              <w:bottom w:val="single" w:sz="8" w:color="F0FFFF"/>
            </w:tcBorders>
            <w:shd w:val="clear" w:color="auto" w:fill="F0FFFF"/>
          </w:tcPr>
          <w:p>
            <w:pPr>
              <w:spacing w:after="0"/>
              <w:rPr>
                <w:sz w:val="18"/>
                <w:szCs w:val="18"/>
                <w:color w:val="auto"/>
              </w:rPr>
            </w:pPr>
          </w:p>
        </w:tc>
        <w:tc>
          <w:tcPr>
            <w:tcW w:w="960" w:type="dxa"/>
            <w:vAlign w:val="bottom"/>
            <w:tcBorders>
              <w:bottom w:val="single" w:sz="8" w:color="F0FFFF"/>
            </w:tcBorders>
            <w:shd w:val="clear" w:color="auto" w:fill="F0FFFF"/>
          </w:tcPr>
          <w:p>
            <w:pPr>
              <w:spacing w:after="0"/>
              <w:rPr>
                <w:sz w:val="18"/>
                <w:szCs w:val="18"/>
                <w:color w:val="auto"/>
              </w:rPr>
            </w:pPr>
          </w:p>
        </w:tc>
        <w:tc>
          <w:tcPr>
            <w:tcW w:w="200" w:type="dxa"/>
            <w:vAlign w:val="bottom"/>
            <w:tcBorders>
              <w:bottom w:val="single" w:sz="8" w:color="F0FFFF"/>
            </w:tcBorders>
            <w:shd w:val="clear" w:color="auto" w:fill="F0FFFF"/>
          </w:tcPr>
          <w:p>
            <w:pPr>
              <w:spacing w:after="0"/>
              <w:rPr>
                <w:sz w:val="18"/>
                <w:szCs w:val="18"/>
                <w:color w:val="auto"/>
              </w:rPr>
            </w:pPr>
          </w:p>
        </w:tc>
        <w:tc>
          <w:tcPr>
            <w:tcW w:w="200" w:type="dxa"/>
            <w:vAlign w:val="bottom"/>
            <w:tcBorders>
              <w:bottom w:val="single" w:sz="8" w:color="F0FFFF"/>
            </w:tcBorders>
            <w:shd w:val="clear" w:color="auto" w:fill="F0FFFF"/>
          </w:tcPr>
          <w:p>
            <w:pPr>
              <w:spacing w:after="0"/>
              <w:rPr>
                <w:sz w:val="18"/>
                <w:szCs w:val="18"/>
                <w:color w:val="auto"/>
              </w:rPr>
            </w:pPr>
          </w:p>
        </w:tc>
        <w:tc>
          <w:tcPr>
            <w:tcW w:w="940" w:type="dxa"/>
            <w:vAlign w:val="bottom"/>
            <w:tcBorders>
              <w:bottom w:val="single" w:sz="8" w:color="F0FFFF"/>
            </w:tcBorders>
            <w:shd w:val="clear" w:color="auto" w:fill="F0FFFF"/>
          </w:tcPr>
          <w:p>
            <w:pPr>
              <w:spacing w:after="0"/>
              <w:rPr>
                <w:sz w:val="18"/>
                <w:szCs w:val="18"/>
                <w:color w:val="auto"/>
              </w:rPr>
            </w:pPr>
          </w:p>
        </w:tc>
        <w:tc>
          <w:tcPr>
            <w:tcW w:w="100" w:type="dxa"/>
            <w:vAlign w:val="bottom"/>
            <w:tcBorders>
              <w:bottom w:val="single" w:sz="8" w:color="F0FFFF"/>
            </w:tcBorders>
            <w:shd w:val="clear" w:color="auto" w:fill="F0FFFF"/>
          </w:tcPr>
          <w:p>
            <w:pPr>
              <w:spacing w:after="0"/>
              <w:rPr>
                <w:sz w:val="18"/>
                <w:szCs w:val="18"/>
                <w:color w:val="auto"/>
              </w:rPr>
            </w:pPr>
          </w:p>
        </w:tc>
        <w:tc>
          <w:tcPr>
            <w:tcW w:w="120" w:type="dxa"/>
            <w:vAlign w:val="bottom"/>
            <w:tcBorders>
              <w:bottom w:val="single" w:sz="8" w:color="F0FFFF"/>
            </w:tcBorders>
            <w:shd w:val="clear" w:color="auto" w:fill="F0FFFF"/>
          </w:tcPr>
          <w:p>
            <w:pPr>
              <w:spacing w:after="0"/>
              <w:rPr>
                <w:sz w:val="18"/>
                <w:szCs w:val="18"/>
                <w:color w:val="auto"/>
              </w:rPr>
            </w:pPr>
          </w:p>
        </w:tc>
        <w:tc>
          <w:tcPr>
            <w:tcW w:w="220" w:type="dxa"/>
            <w:vAlign w:val="bottom"/>
            <w:tcBorders>
              <w:bottom w:val="single" w:sz="8" w:color="F0FFFF"/>
            </w:tcBorders>
            <w:shd w:val="clear" w:color="auto" w:fill="F0FFFF"/>
          </w:tcPr>
          <w:p>
            <w:pPr>
              <w:spacing w:after="0"/>
              <w:rPr>
                <w:sz w:val="18"/>
                <w:szCs w:val="18"/>
                <w:color w:val="auto"/>
              </w:rPr>
            </w:pPr>
          </w:p>
        </w:tc>
        <w:tc>
          <w:tcPr>
            <w:tcW w:w="920" w:type="dxa"/>
            <w:vAlign w:val="bottom"/>
            <w:tcBorders>
              <w:bottom w:val="single" w:sz="8" w:color="F0FFFF"/>
            </w:tcBorders>
            <w:shd w:val="clear" w:color="auto" w:fill="F0FFFF"/>
          </w:tcPr>
          <w:p>
            <w:pPr>
              <w:spacing w:after="0"/>
              <w:rPr>
                <w:sz w:val="18"/>
                <w:szCs w:val="18"/>
                <w:color w:val="auto"/>
              </w:rPr>
            </w:pPr>
          </w:p>
        </w:tc>
        <w:tc>
          <w:tcPr>
            <w:tcW w:w="100" w:type="dxa"/>
            <w:vAlign w:val="bottom"/>
            <w:tcBorders>
              <w:bottom w:val="single" w:sz="8" w:color="F0FFFF"/>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Loans</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F0FFFF"/>
          </w:tcPr>
          <w:p>
            <w:pPr>
              <w:ind w:left="800"/>
              <w:spacing w:after="0"/>
              <w:rPr>
                <w:sz w:val="20"/>
                <w:szCs w:val="20"/>
                <w:color w:val="auto"/>
              </w:rPr>
            </w:pPr>
            <w:r>
              <w:rPr>
                <w:rFonts w:ascii="Arial" w:cs="Arial" w:eastAsia="Arial" w:hAnsi="Arial"/>
                <w:sz w:val="18"/>
                <w:szCs w:val="18"/>
                <w:color w:val="auto"/>
                <w:w w:val="88"/>
              </w:rPr>
              <w:t>—</w:t>
            </w:r>
          </w:p>
        </w:tc>
        <w:tc>
          <w:tcPr>
            <w:tcW w:w="4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ind w:left="780"/>
              <w:spacing w:after="0"/>
              <w:rPr>
                <w:sz w:val="20"/>
                <w:szCs w:val="20"/>
                <w:color w:val="auto"/>
              </w:rPr>
            </w:pPr>
            <w:r>
              <w:rPr>
                <w:rFonts w:ascii="Arial" w:cs="Arial" w:eastAsia="Arial" w:hAnsi="Arial"/>
                <w:sz w:val="18"/>
                <w:szCs w:val="18"/>
                <w:color w:val="auto"/>
                <w:w w:val="88"/>
              </w:rPr>
              <w:t>—</w:t>
            </w:r>
          </w:p>
        </w:tc>
        <w:tc>
          <w:tcPr>
            <w:tcW w:w="4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82,798</w:t>
            </w:r>
          </w:p>
        </w:tc>
        <w:tc>
          <w:tcPr>
            <w:tcW w:w="3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82,798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Foreclosed properties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3,747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940" w:type="dxa"/>
            <w:vAlign w:val="bottom"/>
            <w:shd w:val="clear" w:color="auto" w:fill="F0FFFF"/>
          </w:tcPr>
          <w:p>
            <w:pPr>
              <w:spacing w:after="0"/>
              <w:rPr>
                <w:sz w:val="20"/>
                <w:szCs w:val="20"/>
                <w:color w:val="auto"/>
              </w:rPr>
            </w:pPr>
            <w:r>
              <w:rPr>
                <w:rFonts w:ascii="Arial" w:cs="Arial" w:eastAsia="Arial" w:hAnsi="Arial"/>
                <w:sz w:val="18"/>
                <w:szCs w:val="18"/>
                <w:color w:val="auto"/>
              </w:rPr>
              <w:t>Total</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F0FFFF"/>
          </w:tcPr>
          <w:p>
            <w:pPr>
              <w:ind w:left="800"/>
              <w:spacing w:after="0"/>
              <w:rPr>
                <w:sz w:val="20"/>
                <w:szCs w:val="20"/>
                <w:color w:val="auto"/>
              </w:rPr>
            </w:pPr>
            <w:r>
              <w:rPr>
                <w:rFonts w:ascii="Arial" w:cs="Arial" w:eastAsia="Arial" w:hAnsi="Arial"/>
                <w:sz w:val="18"/>
                <w:szCs w:val="18"/>
                <w:color w:val="auto"/>
                <w:w w:val="88"/>
              </w:rPr>
              <w:t>—</w:t>
            </w:r>
          </w:p>
        </w:tc>
        <w:tc>
          <w:tcPr>
            <w:tcW w:w="4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ind w:left="780"/>
              <w:spacing w:after="0"/>
              <w:rPr>
                <w:sz w:val="20"/>
                <w:szCs w:val="20"/>
                <w:color w:val="auto"/>
              </w:rPr>
            </w:pPr>
            <w:r>
              <w:rPr>
                <w:rFonts w:ascii="Arial" w:cs="Arial" w:eastAsia="Arial" w:hAnsi="Arial"/>
                <w:sz w:val="18"/>
                <w:szCs w:val="18"/>
                <w:color w:val="auto"/>
                <w:w w:val="88"/>
              </w:rPr>
              <w:t>—</w:t>
            </w:r>
          </w:p>
        </w:tc>
        <w:tc>
          <w:tcPr>
            <w:tcW w:w="4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86,545</w:t>
            </w:r>
          </w:p>
        </w:tc>
        <w:tc>
          <w:tcPr>
            <w:tcW w:w="3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86,545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40" w:type="dxa"/>
            <w:vAlign w:val="bottom"/>
            <w:tcBorders>
              <w:top w:val="single" w:sz="8" w:color="F0FFFF"/>
              <w:bottom w:val="single" w:sz="8" w:color="auto"/>
            </w:tcBorders>
          </w:tcPr>
          <w:p>
            <w:pPr>
              <w:spacing w:after="0"/>
              <w:rPr>
                <w:sz w:val="20"/>
                <w:szCs w:val="20"/>
                <w:color w:val="auto"/>
              </w:rPr>
            </w:pPr>
            <w:r>
              <w:rPr>
                <w:rFonts w:ascii="Arial" w:cs="Arial" w:eastAsia="Arial" w:hAnsi="Arial"/>
                <w:sz w:val="18"/>
                <w:szCs w:val="18"/>
                <w:b w:val="1"/>
                <w:bCs w:val="1"/>
                <w:color w:val="auto"/>
              </w:rPr>
              <w:t>June 30, 2013</w:t>
            </w:r>
          </w:p>
        </w:tc>
        <w:tc>
          <w:tcPr>
            <w:tcW w:w="120" w:type="dxa"/>
            <w:vAlign w:val="bottom"/>
            <w:tcBorders>
              <w:top w:val="single" w:sz="8" w:color="F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Borders>
              <w:top w:val="single" w:sz="8" w:color="F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60"/>
              <w:spacing w:after="0"/>
              <w:rPr>
                <w:sz w:val="20"/>
                <w:szCs w:val="20"/>
                <w:color w:val="auto"/>
              </w:rPr>
            </w:pPr>
            <w:r>
              <w:rPr>
                <w:rFonts w:ascii="Arial" w:cs="Arial" w:eastAsia="Arial" w:hAnsi="Arial"/>
                <w:sz w:val="18"/>
                <w:szCs w:val="18"/>
                <w:color w:val="auto"/>
              </w:rPr>
              <w:t>Loans</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ind w:left="780"/>
              <w:spacing w:after="0"/>
              <w:rPr>
                <w:sz w:val="20"/>
                <w:szCs w:val="20"/>
                <w:color w:val="auto"/>
              </w:rPr>
            </w:pPr>
            <w:r>
              <w:rPr>
                <w:rFonts w:ascii="Arial" w:cs="Arial" w:eastAsia="Arial" w:hAnsi="Arial"/>
                <w:sz w:val="18"/>
                <w:szCs w:val="18"/>
                <w:color w:val="auto"/>
                <w:w w:val="88"/>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74,685</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74,685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Foreclosed properties</w:t>
            </w:r>
          </w:p>
        </w:tc>
        <w:tc>
          <w:tcPr>
            <w:tcW w:w="1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ind w:left="80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ind w:left="7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3,802</w:t>
            </w:r>
          </w:p>
        </w:tc>
        <w:tc>
          <w:tcPr>
            <w:tcW w:w="1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3,802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ind w:left="780"/>
              <w:spacing w:after="0"/>
              <w:rPr>
                <w:sz w:val="20"/>
                <w:szCs w:val="20"/>
                <w:color w:val="auto"/>
              </w:rPr>
            </w:pPr>
            <w:r>
              <w:rPr>
                <w:rFonts w:ascii="Arial" w:cs="Arial" w:eastAsia="Arial" w:hAnsi="Arial"/>
                <w:sz w:val="18"/>
                <w:szCs w:val="18"/>
                <w:color w:val="auto"/>
                <w:w w:val="88"/>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78,487</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78,487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Loans that are reported above as being measured at fair value on a non-recurring basis are generally impaired loans that have either been partially charged off or have specific reserves assigned to them. Nonaccrual impaired loans that are collateral dependent are generally written down to 80% of appraised value which considers the estimated costs to sell. Specific reserves are established for impaired loans based on appraised value of collateral or discounted cash flows. Foreclosed properties that are included above as measured at fair value on a nonrecurring basis are those properties that resulted from a loan that had been charged down or have been written down subsequent to foreclosure. Foreclosed properties are generally recorded at the lower of 80% of appraised value or 90% of the asking price which considers the estimated cost to sell.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Not Measured at Fair Value</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the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short maturity of United’s assets and liabilities results in having a significant number of financial instruments whose fair value equals or closely approximates carrying value. Such financial instruments are reported in the following balance sheet captions: cash and cash equivalents, mortgage loans held for sale and short-term borrowings. The fair value of securities available-for-sale equals the balance sheet value. Due to the short-term settlement of accrued interest receivable and payable, the carrying amount closely approximates fair value.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Because no ready market exists for a significant portion of United’s financial instruments, fair value estimates are based on many judgments. These estimates are subjective in nature and involve uncertainties and matters of significant judgment and therefore cannot be determined with precision. Changes in assumptions could significantly affect the estimates.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brokerage network, deferred income taxes, premises and equipment and goodwill. In addition, the tax ramifications related to the realization of the unrealized gains and losses can have a significant effect on fair value estimates and have not been considered in the estimates.</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Off-balance sheet financial instruments (commitments to extend credit and standby letters of credit) are generally short-term and at variable rates. Therefore, both the carrying amount and the estimated fair value associated with these instruments are immaterial.</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carrying amount and fair values for other financial instruments that are not measured at fair value on a recurring basis in United’s balance sheet at June 30, 2014, December 31, 2013, and June 30, 2013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Carrying</w:t>
            </w:r>
          </w:p>
        </w:tc>
        <w:tc>
          <w:tcPr>
            <w:tcW w:w="2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2760" w:type="dxa"/>
            <w:vAlign w:val="bottom"/>
            <w:tcBorders>
              <w:top w:val="single" w:sz="8" w:color="auto"/>
              <w:bottom w:val="single" w:sz="8" w:color="auto"/>
            </w:tcBorders>
            <w:gridSpan w:val="6"/>
          </w:tcPr>
          <w:p>
            <w:pPr>
              <w:ind w:left="480"/>
              <w:spacing w:after="0"/>
              <w:rPr>
                <w:sz w:val="20"/>
                <w:szCs w:val="20"/>
                <w:color w:val="auto"/>
              </w:rPr>
            </w:pPr>
            <w:r>
              <w:rPr>
                <w:rFonts w:ascii="Arial" w:cs="Arial" w:eastAsia="Arial" w:hAnsi="Arial"/>
                <w:sz w:val="18"/>
                <w:szCs w:val="18"/>
                <w:b w:val="1"/>
                <w:bCs w:val="1"/>
                <w:color w:val="auto"/>
              </w:rPr>
              <w:t>Fair Value Level</w:t>
            </w:r>
          </w:p>
        </w:tc>
        <w:tc>
          <w:tcPr>
            <w:tcW w:w="92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23"/>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June 30, 2014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19"/>
                <w:szCs w:val="19"/>
                <w:color w:val="auto"/>
              </w:rPr>
            </w:pPr>
          </w:p>
        </w:tc>
        <w:tc>
          <w:tcPr>
            <w:tcW w:w="1360" w:type="dxa"/>
            <w:vAlign w:val="bottom"/>
            <w:gridSpan w:val="3"/>
          </w:tcPr>
          <w:p>
            <w:pPr>
              <w:ind w:left="100"/>
              <w:spacing w:after="0"/>
              <w:rPr>
                <w:sz w:val="20"/>
                <w:szCs w:val="20"/>
                <w:color w:val="auto"/>
              </w:rPr>
            </w:pPr>
            <w:r>
              <w:rPr>
                <w:rFonts w:ascii="Arial" w:cs="Arial" w:eastAsia="Arial" w:hAnsi="Arial"/>
                <w:sz w:val="18"/>
                <w:szCs w:val="18"/>
                <w:b w:val="1"/>
                <w:bCs w:val="1"/>
                <w:color w:val="auto"/>
              </w:rPr>
              <w:t>Level 1</w:t>
            </w: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19"/>
                <w:szCs w:val="19"/>
                <w:color w:val="auto"/>
              </w:rPr>
            </w:pPr>
          </w:p>
        </w:tc>
        <w:tc>
          <w:tcPr>
            <w:tcW w:w="1400" w:type="dxa"/>
            <w:vAlign w:val="bottom"/>
            <w:gridSpan w:val="3"/>
          </w:tcPr>
          <w:p>
            <w:pPr>
              <w:ind w:left="100"/>
              <w:spacing w:after="0"/>
              <w:rPr>
                <w:sz w:val="20"/>
                <w:szCs w:val="20"/>
                <w:color w:val="auto"/>
              </w:rPr>
            </w:pPr>
            <w:r>
              <w:rPr>
                <w:rFonts w:ascii="Arial" w:cs="Arial" w:eastAsia="Arial" w:hAnsi="Arial"/>
                <w:sz w:val="18"/>
                <w:szCs w:val="18"/>
                <w:b w:val="1"/>
                <w:bCs w:val="1"/>
                <w:color w:val="auto"/>
              </w:rPr>
              <w:t>Level 3</w:t>
            </w:r>
          </w:p>
        </w:tc>
        <w:tc>
          <w:tcPr>
            <w:tcW w:w="920" w:type="dxa"/>
            <w:vAlign w:val="bottom"/>
          </w:tcPr>
          <w:p>
            <w:pPr>
              <w:ind w:left="16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6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Securities held to maturity</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448,752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3"/>
          </w:tcPr>
          <w:p>
            <w:pPr>
              <w:ind w:left="780"/>
              <w:spacing w:after="0"/>
              <w:rPr>
                <w:sz w:val="20"/>
                <w:szCs w:val="20"/>
                <w:color w:val="auto"/>
              </w:rPr>
            </w:pPr>
            <w:r>
              <w:rPr>
                <w:rFonts w:ascii="Arial" w:cs="Arial" w:eastAsia="Arial" w:hAnsi="Arial"/>
                <w:sz w:val="18"/>
                <w:szCs w:val="18"/>
                <w:color w:val="auto"/>
              </w:rPr>
              <w:t>—   $</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458,864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gridSpan w:val="3"/>
          </w:tcPr>
          <w:p>
            <w:pPr>
              <w:ind w:left="780"/>
              <w:spacing w:after="0"/>
              <w:rPr>
                <w:sz w:val="20"/>
                <w:szCs w:val="20"/>
                <w:color w:val="auto"/>
              </w:rPr>
            </w:pPr>
            <w:r>
              <w:rPr>
                <w:rFonts w:ascii="Arial" w:cs="Arial" w:eastAsia="Arial" w:hAnsi="Arial"/>
                <w:sz w:val="18"/>
                <w:szCs w:val="18"/>
                <w:color w:val="auto"/>
              </w:rPr>
              <w:t>—   $</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458,864</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Loans, net</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4,337,037</w:t>
            </w: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360" w:type="dxa"/>
            <w:vAlign w:val="bottom"/>
            <w:gridSpan w:val="3"/>
            <w:shd w:val="clear" w:color="auto" w:fill="F0FFFF"/>
          </w:tcPr>
          <w:p>
            <w:pPr>
              <w:ind w:left="7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4,275,708</w:t>
            </w:r>
          </w:p>
        </w:tc>
        <w:tc>
          <w:tcPr>
            <w:tcW w:w="2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4,275,708</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Mortgage loans held for sale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14,918</w:t>
            </w:r>
          </w:p>
        </w:tc>
        <w:tc>
          <w:tcPr>
            <w:tcW w:w="200" w:type="dxa"/>
            <w:vAlign w:val="bottom"/>
          </w:tcPr>
          <w:p>
            <w:pPr>
              <w:spacing w:after="0"/>
              <w:rPr>
                <w:sz w:val="18"/>
                <w:szCs w:val="18"/>
                <w:color w:val="auto"/>
              </w:rPr>
            </w:pPr>
          </w:p>
        </w:tc>
        <w:tc>
          <w:tcPr>
            <w:tcW w:w="136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15,157</w:t>
            </w:r>
          </w:p>
        </w:tc>
        <w:tc>
          <w:tcPr>
            <w:tcW w:w="180" w:type="dxa"/>
            <w:vAlign w:val="bottom"/>
          </w:tcPr>
          <w:p>
            <w:pPr>
              <w:spacing w:after="0"/>
              <w:rPr>
                <w:sz w:val="18"/>
                <w:szCs w:val="18"/>
                <w:color w:val="auto"/>
              </w:rPr>
            </w:pPr>
          </w:p>
        </w:tc>
        <w:tc>
          <w:tcPr>
            <w:tcW w:w="14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15,157</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F0FF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Deposits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6,163,545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6,152,839</w:t>
            </w:r>
          </w:p>
        </w:tc>
        <w:tc>
          <w:tcPr>
            <w:tcW w:w="180" w:type="dxa"/>
            <w:vAlign w:val="bottom"/>
          </w:tcPr>
          <w:p>
            <w:pPr>
              <w:spacing w:after="0"/>
              <w:rPr>
                <w:sz w:val="18"/>
                <w:szCs w:val="18"/>
                <w:color w:val="auto"/>
              </w:rPr>
            </w:pPr>
          </w:p>
        </w:tc>
        <w:tc>
          <w:tcPr>
            <w:tcW w:w="14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6,152,839</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Federal Home Loan Bank advances</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175,125</w:t>
            </w:r>
          </w:p>
        </w:tc>
        <w:tc>
          <w:tcPr>
            <w:tcW w:w="200" w:type="dxa"/>
            <w:vAlign w:val="bottom"/>
            <w:shd w:val="clear" w:color="auto" w:fill="F0FFFF"/>
          </w:tcPr>
          <w:p>
            <w:pPr>
              <w:spacing w:after="0"/>
              <w:rPr>
                <w:sz w:val="18"/>
                <w:szCs w:val="18"/>
                <w:color w:val="auto"/>
              </w:rPr>
            </w:pPr>
          </w:p>
        </w:tc>
        <w:tc>
          <w:tcPr>
            <w:tcW w:w="1360" w:type="dxa"/>
            <w:vAlign w:val="bottom"/>
            <w:gridSpan w:val="3"/>
            <w:shd w:val="clear" w:color="auto" w:fill="F0FFFF"/>
          </w:tcPr>
          <w:p>
            <w:pPr>
              <w:ind w:left="7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175,125</w:t>
            </w:r>
          </w:p>
        </w:tc>
        <w:tc>
          <w:tcPr>
            <w:tcW w:w="180" w:type="dxa"/>
            <w:vAlign w:val="bottom"/>
            <w:shd w:val="clear" w:color="auto" w:fill="F0FFFF"/>
          </w:tcPr>
          <w:p>
            <w:pPr>
              <w:spacing w:after="0"/>
              <w:rPr>
                <w:sz w:val="18"/>
                <w:szCs w:val="18"/>
                <w:color w:val="auto"/>
              </w:rPr>
            </w:pPr>
          </w:p>
        </w:tc>
        <w:tc>
          <w:tcPr>
            <w:tcW w:w="1400" w:type="dxa"/>
            <w:vAlign w:val="bottom"/>
            <w:gridSpan w:val="3"/>
            <w:shd w:val="clear" w:color="auto" w:fill="F0FFFF"/>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175,125</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129,865</w:t>
            </w:r>
          </w:p>
        </w:tc>
        <w:tc>
          <w:tcPr>
            <w:tcW w:w="200" w:type="dxa"/>
            <w:vAlign w:val="bottom"/>
          </w:tcPr>
          <w:p>
            <w:pPr>
              <w:spacing w:after="0"/>
              <w:rPr>
                <w:sz w:val="18"/>
                <w:szCs w:val="18"/>
                <w:color w:val="auto"/>
              </w:rPr>
            </w:pPr>
          </w:p>
        </w:tc>
        <w:tc>
          <w:tcPr>
            <w:tcW w:w="136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132,145</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132,145</w:t>
            </w:r>
          </w:p>
        </w:tc>
        <w:tc>
          <w:tcPr>
            <w:tcW w:w="1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60" w:type="dxa"/>
            <w:vAlign w:val="bottom"/>
            <w:tcBorders>
              <w:bottom w:val="single" w:sz="8" w:color="auto"/>
            </w:tcBorders>
            <w:shd w:val="clear" w:color="auto" w:fill="F0FFFF"/>
          </w:tcPr>
          <w:p>
            <w:pPr>
              <w:spacing w:after="0"/>
              <w:rPr>
                <w:sz w:val="20"/>
                <w:szCs w:val="20"/>
                <w:color w:val="auto"/>
              </w:rPr>
            </w:pPr>
            <w:r>
              <w:rPr>
                <w:rFonts w:ascii="Arial" w:cs="Arial" w:eastAsia="Arial" w:hAnsi="Arial"/>
                <w:sz w:val="18"/>
                <w:szCs w:val="18"/>
                <w:b w:val="1"/>
                <w:bCs w:val="1"/>
                <w:color w:val="auto"/>
              </w:rPr>
              <w:t>December 31, 2013</w:t>
            </w:r>
          </w:p>
        </w:tc>
        <w:tc>
          <w:tcPr>
            <w:tcW w:w="100" w:type="dxa"/>
            <w:vAlign w:val="bottom"/>
            <w:tcBorders>
              <w:bottom w:val="single" w:sz="8" w:color="F0FFFF"/>
            </w:tcBorders>
            <w:shd w:val="clear" w:color="auto" w:fill="F0FFFF"/>
          </w:tcPr>
          <w:p>
            <w:pPr>
              <w:spacing w:after="0"/>
              <w:rPr>
                <w:sz w:val="19"/>
                <w:szCs w:val="19"/>
                <w:color w:val="auto"/>
              </w:rPr>
            </w:pPr>
          </w:p>
        </w:tc>
        <w:tc>
          <w:tcPr>
            <w:tcW w:w="140" w:type="dxa"/>
            <w:vAlign w:val="bottom"/>
            <w:tcBorders>
              <w:bottom w:val="single" w:sz="8" w:color="F0FFFF"/>
            </w:tcBorders>
            <w:shd w:val="clear" w:color="auto" w:fill="F0FFFF"/>
          </w:tcPr>
          <w:p>
            <w:pPr>
              <w:spacing w:after="0"/>
              <w:rPr>
                <w:sz w:val="19"/>
                <w:szCs w:val="19"/>
                <w:color w:val="auto"/>
              </w:rPr>
            </w:pPr>
          </w:p>
        </w:tc>
        <w:tc>
          <w:tcPr>
            <w:tcW w:w="98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F0FFFF"/>
            </w:tcBorders>
            <w:shd w:val="clear" w:color="auto" w:fill="F0FFFF"/>
          </w:tcPr>
          <w:p>
            <w:pPr>
              <w:spacing w:after="0"/>
              <w:rPr>
                <w:sz w:val="19"/>
                <w:szCs w:val="19"/>
                <w:color w:val="auto"/>
              </w:rPr>
            </w:pPr>
          </w:p>
        </w:tc>
        <w:tc>
          <w:tcPr>
            <w:tcW w:w="96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F0FFFF"/>
            </w:tcBorders>
            <w:shd w:val="clear" w:color="auto" w:fill="F0FFFF"/>
          </w:tcPr>
          <w:p>
            <w:pPr>
              <w:spacing w:after="0"/>
              <w:rPr>
                <w:sz w:val="19"/>
                <w:szCs w:val="19"/>
                <w:color w:val="auto"/>
              </w:rPr>
            </w:pPr>
          </w:p>
        </w:tc>
        <w:tc>
          <w:tcPr>
            <w:tcW w:w="96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F0FFFF"/>
            </w:tcBorders>
            <w:shd w:val="clear" w:color="auto" w:fill="F0FFFF"/>
          </w:tcPr>
          <w:p>
            <w:pPr>
              <w:spacing w:after="0"/>
              <w:rPr>
                <w:sz w:val="19"/>
                <w:szCs w:val="19"/>
                <w:color w:val="auto"/>
              </w:rPr>
            </w:pPr>
          </w:p>
        </w:tc>
        <w:tc>
          <w:tcPr>
            <w:tcW w:w="180" w:type="dxa"/>
            <w:vAlign w:val="bottom"/>
            <w:tcBorders>
              <w:bottom w:val="single" w:sz="8" w:color="F0FFFF"/>
            </w:tcBorders>
            <w:shd w:val="clear" w:color="auto" w:fill="F0FFFF"/>
          </w:tcPr>
          <w:p>
            <w:pPr>
              <w:spacing w:after="0"/>
              <w:rPr>
                <w:sz w:val="19"/>
                <w:szCs w:val="19"/>
                <w:color w:val="auto"/>
              </w:rPr>
            </w:pPr>
          </w:p>
        </w:tc>
        <w:tc>
          <w:tcPr>
            <w:tcW w:w="96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F0FFFF"/>
            </w:tcBorders>
            <w:shd w:val="clear" w:color="auto" w:fill="F0FFFF"/>
          </w:tcPr>
          <w:p>
            <w:pPr>
              <w:spacing w:after="0"/>
              <w:rPr>
                <w:sz w:val="19"/>
                <w:szCs w:val="19"/>
                <w:color w:val="auto"/>
              </w:rPr>
            </w:pPr>
          </w:p>
        </w:tc>
        <w:tc>
          <w:tcPr>
            <w:tcW w:w="92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Securities held to maturity</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479,742</w:t>
            </w:r>
          </w:p>
        </w:tc>
        <w:tc>
          <w:tcPr>
            <w:tcW w:w="200" w:type="dxa"/>
            <w:vAlign w:val="bottom"/>
            <w:shd w:val="clear" w:color="auto" w:fill="F0FFFF"/>
          </w:tcPr>
          <w:p>
            <w:pPr>
              <w:spacing w:after="0"/>
              <w:rPr>
                <w:sz w:val="18"/>
                <w:szCs w:val="18"/>
                <w:color w:val="auto"/>
              </w:rPr>
            </w:pPr>
          </w:p>
        </w:tc>
        <w:tc>
          <w:tcPr>
            <w:tcW w:w="1360" w:type="dxa"/>
            <w:vAlign w:val="bottom"/>
            <w:gridSpan w:val="3"/>
            <w:shd w:val="clear" w:color="auto" w:fill="F0FFFF"/>
          </w:tcPr>
          <w:p>
            <w:pPr>
              <w:ind w:left="7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485,585</w:t>
            </w:r>
          </w:p>
        </w:tc>
        <w:tc>
          <w:tcPr>
            <w:tcW w:w="180" w:type="dxa"/>
            <w:vAlign w:val="bottom"/>
            <w:shd w:val="clear" w:color="auto" w:fill="F0FFFF"/>
          </w:tcPr>
          <w:p>
            <w:pPr>
              <w:spacing w:after="0"/>
              <w:rPr>
                <w:sz w:val="18"/>
                <w:szCs w:val="18"/>
                <w:color w:val="auto"/>
              </w:rPr>
            </w:pPr>
          </w:p>
        </w:tc>
        <w:tc>
          <w:tcPr>
            <w:tcW w:w="1400" w:type="dxa"/>
            <w:vAlign w:val="bottom"/>
            <w:gridSpan w:val="3"/>
            <w:shd w:val="clear" w:color="auto" w:fill="F0FFFF"/>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485,585</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Loans, net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4,252,504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4,165,591</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4,165,591</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Mortgage loans held for sale</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10,319</w:t>
            </w:r>
          </w:p>
        </w:tc>
        <w:tc>
          <w:tcPr>
            <w:tcW w:w="200" w:type="dxa"/>
            <w:vAlign w:val="bottom"/>
            <w:shd w:val="clear" w:color="auto" w:fill="F0FFFF"/>
          </w:tcPr>
          <w:p>
            <w:pPr>
              <w:spacing w:after="0"/>
              <w:rPr>
                <w:sz w:val="18"/>
                <w:szCs w:val="18"/>
                <w:color w:val="auto"/>
              </w:rPr>
            </w:pPr>
          </w:p>
        </w:tc>
        <w:tc>
          <w:tcPr>
            <w:tcW w:w="1360" w:type="dxa"/>
            <w:vAlign w:val="bottom"/>
            <w:gridSpan w:val="3"/>
            <w:shd w:val="clear" w:color="auto" w:fill="F0FFFF"/>
          </w:tcPr>
          <w:p>
            <w:pPr>
              <w:ind w:left="7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10,529</w:t>
            </w:r>
          </w:p>
        </w:tc>
        <w:tc>
          <w:tcPr>
            <w:tcW w:w="180" w:type="dxa"/>
            <w:vAlign w:val="bottom"/>
            <w:shd w:val="clear" w:color="auto" w:fill="F0FFFF"/>
          </w:tcPr>
          <w:p>
            <w:pPr>
              <w:spacing w:after="0"/>
              <w:rPr>
                <w:sz w:val="18"/>
                <w:szCs w:val="18"/>
                <w:color w:val="auto"/>
              </w:rPr>
            </w:pPr>
          </w:p>
        </w:tc>
        <w:tc>
          <w:tcPr>
            <w:tcW w:w="1400" w:type="dxa"/>
            <w:vAlign w:val="bottom"/>
            <w:gridSpan w:val="3"/>
            <w:shd w:val="clear" w:color="auto" w:fill="F0FFFF"/>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10,529</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Deposits</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6,201,505</w:t>
            </w: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360" w:type="dxa"/>
            <w:vAlign w:val="bottom"/>
            <w:gridSpan w:val="3"/>
            <w:shd w:val="clear" w:color="auto" w:fill="F0FFFF"/>
          </w:tcPr>
          <w:p>
            <w:pPr>
              <w:ind w:left="7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6,204,815</w:t>
            </w:r>
          </w:p>
        </w:tc>
        <w:tc>
          <w:tcPr>
            <w:tcW w:w="180" w:type="dxa"/>
            <w:vAlign w:val="bottom"/>
            <w:shd w:val="clear" w:color="auto" w:fill="F0FFFF"/>
          </w:tcPr>
          <w:p>
            <w:pPr>
              <w:spacing w:after="0"/>
              <w:rPr>
                <w:sz w:val="18"/>
                <w:szCs w:val="18"/>
                <w:color w:val="auto"/>
              </w:rPr>
            </w:pPr>
          </w:p>
        </w:tc>
        <w:tc>
          <w:tcPr>
            <w:tcW w:w="1400" w:type="dxa"/>
            <w:vAlign w:val="bottom"/>
            <w:gridSpan w:val="3"/>
            <w:shd w:val="clear" w:color="auto" w:fill="F0FFFF"/>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6,204,815</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Federal Home Loan Bank advances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120,125</w:t>
            </w:r>
          </w:p>
        </w:tc>
        <w:tc>
          <w:tcPr>
            <w:tcW w:w="200" w:type="dxa"/>
            <w:vAlign w:val="bottom"/>
          </w:tcPr>
          <w:p>
            <w:pPr>
              <w:spacing w:after="0"/>
              <w:rPr>
                <w:sz w:val="18"/>
                <w:szCs w:val="18"/>
                <w:color w:val="auto"/>
              </w:rPr>
            </w:pPr>
          </w:p>
        </w:tc>
        <w:tc>
          <w:tcPr>
            <w:tcW w:w="136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120,125</w:t>
            </w:r>
          </w:p>
        </w:tc>
        <w:tc>
          <w:tcPr>
            <w:tcW w:w="180" w:type="dxa"/>
            <w:vAlign w:val="bottom"/>
          </w:tcPr>
          <w:p>
            <w:pPr>
              <w:spacing w:after="0"/>
              <w:rPr>
                <w:sz w:val="18"/>
                <w:szCs w:val="18"/>
                <w:color w:val="auto"/>
              </w:rPr>
            </w:pPr>
          </w:p>
        </w:tc>
        <w:tc>
          <w:tcPr>
            <w:tcW w:w="14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120,125</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129,865</w:t>
            </w:r>
          </w:p>
        </w:tc>
        <w:tc>
          <w:tcPr>
            <w:tcW w:w="200" w:type="dxa"/>
            <w:vAlign w:val="bottom"/>
            <w:shd w:val="clear" w:color="auto" w:fill="F0FFFF"/>
          </w:tcPr>
          <w:p>
            <w:pPr>
              <w:spacing w:after="0"/>
              <w:rPr>
                <w:sz w:val="18"/>
                <w:szCs w:val="18"/>
                <w:color w:val="auto"/>
              </w:rPr>
            </w:pPr>
          </w:p>
        </w:tc>
        <w:tc>
          <w:tcPr>
            <w:tcW w:w="1360" w:type="dxa"/>
            <w:vAlign w:val="bottom"/>
            <w:gridSpan w:val="3"/>
            <w:shd w:val="clear" w:color="auto" w:fill="F0FFFF"/>
          </w:tcPr>
          <w:p>
            <w:pPr>
              <w:ind w:left="7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130,262</w:t>
            </w:r>
          </w:p>
        </w:tc>
        <w:tc>
          <w:tcPr>
            <w:tcW w:w="2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130,262</w:t>
            </w:r>
          </w:p>
        </w:tc>
        <w:tc>
          <w:tcPr>
            <w:tcW w:w="11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June 30, 2013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F0FF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Securities held to maturity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214,947</w:t>
            </w:r>
          </w:p>
        </w:tc>
        <w:tc>
          <w:tcPr>
            <w:tcW w:w="200" w:type="dxa"/>
            <w:vAlign w:val="bottom"/>
          </w:tcPr>
          <w:p>
            <w:pPr>
              <w:spacing w:after="0"/>
              <w:rPr>
                <w:sz w:val="18"/>
                <w:szCs w:val="18"/>
                <w:color w:val="auto"/>
              </w:rPr>
            </w:pPr>
          </w:p>
        </w:tc>
        <w:tc>
          <w:tcPr>
            <w:tcW w:w="136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226,695</w:t>
            </w:r>
          </w:p>
        </w:tc>
        <w:tc>
          <w:tcPr>
            <w:tcW w:w="180" w:type="dxa"/>
            <w:vAlign w:val="bottom"/>
          </w:tcPr>
          <w:p>
            <w:pPr>
              <w:spacing w:after="0"/>
              <w:rPr>
                <w:sz w:val="18"/>
                <w:szCs w:val="18"/>
                <w:color w:val="auto"/>
              </w:rPr>
            </w:pPr>
          </w:p>
        </w:tc>
        <w:tc>
          <w:tcPr>
            <w:tcW w:w="14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226,695</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Loans, net</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4,107,523</w:t>
            </w: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360" w:type="dxa"/>
            <w:vAlign w:val="bottom"/>
            <w:gridSpan w:val="3"/>
            <w:shd w:val="clear" w:color="auto" w:fill="F0FFFF"/>
          </w:tcPr>
          <w:p>
            <w:pPr>
              <w:ind w:left="7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4,048,174</w:t>
            </w:r>
          </w:p>
        </w:tc>
        <w:tc>
          <w:tcPr>
            <w:tcW w:w="2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4,048,174</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Mortgage loans held for sale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19,150</w:t>
            </w:r>
          </w:p>
        </w:tc>
        <w:tc>
          <w:tcPr>
            <w:tcW w:w="200" w:type="dxa"/>
            <w:vAlign w:val="bottom"/>
          </w:tcPr>
          <w:p>
            <w:pPr>
              <w:spacing w:after="0"/>
              <w:rPr>
                <w:sz w:val="18"/>
                <w:szCs w:val="18"/>
                <w:color w:val="auto"/>
              </w:rPr>
            </w:pPr>
          </w:p>
        </w:tc>
        <w:tc>
          <w:tcPr>
            <w:tcW w:w="136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19,511</w:t>
            </w:r>
          </w:p>
        </w:tc>
        <w:tc>
          <w:tcPr>
            <w:tcW w:w="180" w:type="dxa"/>
            <w:vAlign w:val="bottom"/>
          </w:tcPr>
          <w:p>
            <w:pPr>
              <w:spacing w:after="0"/>
              <w:rPr>
                <w:sz w:val="18"/>
                <w:szCs w:val="18"/>
                <w:color w:val="auto"/>
              </w:rPr>
            </w:pPr>
          </w:p>
        </w:tc>
        <w:tc>
          <w:tcPr>
            <w:tcW w:w="14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19,511</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F0FF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Deposits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6,011,829</w:t>
            </w:r>
          </w:p>
        </w:tc>
        <w:tc>
          <w:tcPr>
            <w:tcW w:w="200" w:type="dxa"/>
            <w:vAlign w:val="bottom"/>
          </w:tcPr>
          <w:p>
            <w:pPr>
              <w:spacing w:after="0"/>
              <w:rPr>
                <w:sz w:val="18"/>
                <w:szCs w:val="18"/>
                <w:color w:val="auto"/>
              </w:rPr>
            </w:pPr>
          </w:p>
        </w:tc>
        <w:tc>
          <w:tcPr>
            <w:tcW w:w="136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5,986,591</w:t>
            </w:r>
          </w:p>
        </w:tc>
        <w:tc>
          <w:tcPr>
            <w:tcW w:w="180" w:type="dxa"/>
            <w:vAlign w:val="bottom"/>
          </w:tcPr>
          <w:p>
            <w:pPr>
              <w:spacing w:after="0"/>
              <w:rPr>
                <w:sz w:val="18"/>
                <w:szCs w:val="18"/>
                <w:color w:val="auto"/>
              </w:rPr>
            </w:pPr>
          </w:p>
        </w:tc>
        <w:tc>
          <w:tcPr>
            <w:tcW w:w="14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5,986,591</w:t>
            </w:r>
          </w:p>
        </w:tc>
        <w:tc>
          <w:tcPr>
            <w:tcW w:w="1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Federal Home Loan Bank advances</w:t>
            </w:r>
          </w:p>
        </w:tc>
        <w:tc>
          <w:tcPr>
            <w:tcW w:w="1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70,125</w:t>
            </w:r>
          </w:p>
        </w:tc>
        <w:tc>
          <w:tcPr>
            <w:tcW w:w="200" w:type="dxa"/>
            <w:vAlign w:val="bottom"/>
            <w:shd w:val="clear" w:color="auto" w:fill="F0FFFF"/>
          </w:tcPr>
          <w:p>
            <w:pPr>
              <w:spacing w:after="0"/>
              <w:rPr>
                <w:sz w:val="18"/>
                <w:szCs w:val="18"/>
                <w:color w:val="auto"/>
              </w:rPr>
            </w:pPr>
          </w:p>
        </w:tc>
        <w:tc>
          <w:tcPr>
            <w:tcW w:w="1360" w:type="dxa"/>
            <w:vAlign w:val="bottom"/>
            <w:gridSpan w:val="3"/>
            <w:shd w:val="clear" w:color="auto" w:fill="F0FFFF"/>
          </w:tcPr>
          <w:p>
            <w:pPr>
              <w:ind w:left="7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70,125</w:t>
            </w:r>
          </w:p>
        </w:tc>
        <w:tc>
          <w:tcPr>
            <w:tcW w:w="180" w:type="dxa"/>
            <w:vAlign w:val="bottom"/>
            <w:shd w:val="clear" w:color="auto" w:fill="F0FFFF"/>
          </w:tcPr>
          <w:p>
            <w:pPr>
              <w:spacing w:after="0"/>
              <w:rPr>
                <w:sz w:val="18"/>
                <w:szCs w:val="18"/>
                <w:color w:val="auto"/>
              </w:rPr>
            </w:pPr>
          </w:p>
        </w:tc>
        <w:tc>
          <w:tcPr>
            <w:tcW w:w="1400" w:type="dxa"/>
            <w:vAlign w:val="bottom"/>
            <w:gridSpan w:val="3"/>
            <w:shd w:val="clear" w:color="auto" w:fill="F0FFFF"/>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70,125</w:t>
            </w:r>
          </w:p>
        </w:tc>
        <w:tc>
          <w:tcPr>
            <w:tcW w:w="11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124,845</w:t>
            </w:r>
          </w:p>
        </w:tc>
        <w:tc>
          <w:tcPr>
            <w:tcW w:w="200" w:type="dxa"/>
            <w:vAlign w:val="bottom"/>
          </w:tcPr>
          <w:p>
            <w:pPr>
              <w:spacing w:after="0"/>
              <w:rPr>
                <w:sz w:val="20"/>
                <w:szCs w:val="20"/>
                <w:color w:val="auto"/>
              </w:rPr>
            </w:pPr>
          </w:p>
        </w:tc>
        <w:tc>
          <w:tcPr>
            <w:tcW w:w="136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123,650</w:t>
            </w:r>
          </w:p>
        </w:tc>
        <w:tc>
          <w:tcPr>
            <w:tcW w:w="2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123,650</w:t>
            </w:r>
          </w:p>
        </w:tc>
        <w:tc>
          <w:tcPr>
            <w:tcW w:w="1140" w:type="dxa"/>
            <w:vAlign w:val="bottom"/>
          </w:tcPr>
          <w:p>
            <w:pPr>
              <w:spacing w:after="0"/>
              <w:rPr>
                <w:sz w:val="20"/>
                <w:szCs w:val="20"/>
                <w:color w:val="auto"/>
              </w:rPr>
            </w:pPr>
          </w:p>
        </w:tc>
      </w:tr>
      <w:tr>
        <w:trPr>
          <w:trHeight w:val="661"/>
        </w:trPr>
        <w:tc>
          <w:tcPr>
            <w:tcW w:w="20" w:type="dxa"/>
            <w:vAlign w:val="bottom"/>
          </w:tcPr>
          <w:p>
            <w:pPr>
              <w:spacing w:after="0"/>
              <w:rPr>
                <w:sz w:val="24"/>
                <w:szCs w:val="24"/>
                <w:color w:val="auto"/>
              </w:rPr>
            </w:pPr>
          </w:p>
        </w:tc>
        <w:tc>
          <w:tcPr>
            <w:tcW w:w="346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960" w:type="dxa"/>
            <w:vAlign w:val="bottom"/>
            <w:tcBorders>
              <w:bottom w:val="single" w:sz="8" w:color="DCDCDC"/>
            </w:tcBorders>
          </w:tcPr>
          <w:p>
            <w:pPr>
              <w:ind w:left="500"/>
              <w:spacing w:after="0"/>
              <w:rPr>
                <w:sz w:val="20"/>
                <w:szCs w:val="20"/>
                <w:color w:val="auto"/>
              </w:rPr>
            </w:pPr>
            <w:r>
              <w:rPr>
                <w:rFonts w:ascii="Arial" w:cs="Arial" w:eastAsia="Arial" w:hAnsi="Arial"/>
                <w:sz w:val="18"/>
                <w:szCs w:val="18"/>
                <w:color w:val="auto"/>
              </w:rPr>
              <w:t>34</w:t>
            </w:r>
          </w:p>
        </w:tc>
        <w:tc>
          <w:tcPr>
            <w:tcW w:w="20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96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96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9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14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18"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2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United and the Bank are parties to financial instruments with off-balance sheet risk in the normal course of business to meet the financing needs of their customers. These financial instruments include commitments to extend credit and letters of credit. These instruments involve, to varying degrees, elements of credit risk in excess of the amount recognized in the balance sheet. The contract amounts of these instruments reflect the extent of involvement the Bank has in particular classes of financial instruments. The exposure to credit loss in the event of nonperformance by the other party to the financial instrument for commitments to extend credit and letters of credit written is represented by the contractual amount of these instruments. United uses the same credit policies in making commitments and conditional obligations as it uses for underwriting on-balance sheet instruments. In most cases, collateral or other security is required to support financial instruments with credit risk.</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following table summarizes, as of June 30, 2014, December 31, 2013 and June 30, 2013, the contractual amount of off-balance sheet instruments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2"/>
              </w:rPr>
              <w:t>June 30, 2014</w:t>
            </w:r>
          </w:p>
        </w:tc>
        <w:tc>
          <w:tcPr>
            <w:tcW w:w="1560" w:type="dxa"/>
            <w:vAlign w:val="bottom"/>
            <w:gridSpan w:val="3"/>
          </w:tcPr>
          <w:p>
            <w:pPr>
              <w:spacing w:after="0"/>
              <w:rPr>
                <w:sz w:val="20"/>
                <w:szCs w:val="20"/>
                <w:color w:val="auto"/>
              </w:rPr>
            </w:pPr>
            <w:r>
              <w:rPr>
                <w:rFonts w:ascii="Arial" w:cs="Arial" w:eastAsia="Arial" w:hAnsi="Arial"/>
                <w:sz w:val="18"/>
                <w:szCs w:val="18"/>
                <w:b w:val="1"/>
                <w:bCs w:val="1"/>
                <w:color w:val="auto"/>
                <w:w w:val="94"/>
              </w:rPr>
              <w:t>December 31, 2013</w:t>
            </w:r>
          </w:p>
        </w:tc>
        <w:tc>
          <w:tcPr>
            <w:tcW w:w="100" w:type="dxa"/>
            <w:vAlign w:val="bottom"/>
          </w:tcPr>
          <w:p>
            <w:pPr>
              <w:spacing w:after="0"/>
              <w:rPr>
                <w:sz w:val="20"/>
                <w:szCs w:val="20"/>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June 30, 2013</w:t>
            </w:r>
          </w:p>
        </w:tc>
      </w:tr>
      <w:tr>
        <w:trPr>
          <w:trHeight w:val="216"/>
        </w:trPr>
        <w:tc>
          <w:tcPr>
            <w:tcW w:w="20" w:type="dxa"/>
            <w:vAlign w:val="bottom"/>
          </w:tcPr>
          <w:p>
            <w:pPr>
              <w:spacing w:after="0"/>
              <w:rPr>
                <w:sz w:val="18"/>
                <w:szCs w:val="18"/>
                <w:color w:val="auto"/>
              </w:rPr>
            </w:pPr>
          </w:p>
        </w:tc>
        <w:tc>
          <w:tcPr>
            <w:tcW w:w="6000" w:type="dxa"/>
            <w:vAlign w:val="bottom"/>
            <w:shd w:val="clear" w:color="auto" w:fill="F0FFFF"/>
          </w:tcPr>
          <w:p>
            <w:pPr>
              <w:spacing w:after="0"/>
              <w:rPr>
                <w:sz w:val="20"/>
                <w:szCs w:val="20"/>
                <w:color w:val="auto"/>
              </w:rPr>
            </w:pPr>
            <w:r>
              <w:rPr>
                <w:rFonts w:ascii="Arial" w:cs="Arial" w:eastAsia="Arial" w:hAnsi="Arial"/>
                <w:sz w:val="18"/>
                <w:szCs w:val="18"/>
                <w:color w:val="auto"/>
              </w:rPr>
              <w:t>Financial instruments whose contract amounts represent credit risk:</w:t>
            </w:r>
          </w:p>
        </w:tc>
        <w:tc>
          <w:tcPr>
            <w:tcW w:w="1140" w:type="dxa"/>
            <w:vAlign w:val="bottom"/>
            <w:shd w:val="clear" w:color="auto" w:fill="F0FFFF"/>
          </w:tcPr>
          <w:p>
            <w:pPr>
              <w:spacing w:after="0"/>
              <w:rPr>
                <w:sz w:val="18"/>
                <w:szCs w:val="18"/>
                <w:color w:val="auto"/>
              </w:rPr>
            </w:pPr>
          </w:p>
        </w:tc>
        <w:tc>
          <w:tcPr>
            <w:tcW w:w="32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48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32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rPr>
              <w:t>Commitments to extend credit</w:t>
            </w:r>
          </w:p>
        </w:tc>
        <w:tc>
          <w:tcPr>
            <w:tcW w:w="1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797,068</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747,170</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600,841</w:t>
            </w:r>
          </w:p>
        </w:tc>
      </w:tr>
      <w:tr>
        <w:trPr>
          <w:trHeight w:val="216"/>
        </w:trPr>
        <w:tc>
          <w:tcPr>
            <w:tcW w:w="20" w:type="dxa"/>
            <w:vAlign w:val="bottom"/>
          </w:tcPr>
          <w:p>
            <w:pPr>
              <w:spacing w:after="0"/>
              <w:rPr>
                <w:sz w:val="18"/>
                <w:szCs w:val="18"/>
                <w:color w:val="auto"/>
              </w:rPr>
            </w:pPr>
          </w:p>
        </w:tc>
        <w:tc>
          <w:tcPr>
            <w:tcW w:w="60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Letters of credit</w:t>
            </w:r>
          </w:p>
        </w:tc>
        <w:tc>
          <w:tcPr>
            <w:tcW w:w="114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20,682</w:t>
            </w:r>
          </w:p>
        </w:tc>
        <w:tc>
          <w:tcPr>
            <w:tcW w:w="48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19,846</w:t>
            </w:r>
          </w:p>
        </w:tc>
        <w:tc>
          <w:tcPr>
            <w:tcW w:w="100" w:type="dxa"/>
            <w:vAlign w:val="bottom"/>
            <w:shd w:val="clear" w:color="auto" w:fill="F0FFFF"/>
          </w:tcPr>
          <w:p>
            <w:pPr>
              <w:spacing w:after="0"/>
              <w:rPr>
                <w:sz w:val="18"/>
                <w:szCs w:val="18"/>
                <w:color w:val="auto"/>
              </w:rPr>
            </w:pPr>
          </w:p>
        </w:tc>
        <w:tc>
          <w:tcPr>
            <w:tcW w:w="32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15,631</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in the normal course of business, is subject to various pending and threatened lawsuits in which claims for monetary damages are asserted. Although it is not possible to predict the outcome of these lawsuits, or the range of any possible loss, management, after consultation with legal counsel, does not anticipate that the ultimate aggregate liability, if any, arising from these lawsuits will have a material adverse effect on United’s financial position or results of operations.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40" w:name="page41"/>
    <w:bookmarkEnd w:id="40"/>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Form 10-Q contains forward-looking statements within the meaning of Section 27A of the Securities Act of 1933, as amended, and Section 21E of the Securities Exchange Act of 1934, as amended, (the “Exchange Act”), about United and its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or events, and statements about the future performance, operations, products and services of United and its subsidiaries. We caution our shareholders and other readers not to place undue reliance on such statements.</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and operations are and will be subject to a variety of risks, uncertainties and other factors. Consequently, actual results and experiences may differ materially from those contained in any forward-looking statements. Such risks, uncertainties and other factors that could cause actual results and experiences to differ from those projected include, but are not limited to, the risk factors set forth in our Annual Report on Form 10-K for the year ended December 31, 2013 as well as the following factors:</w:t>
      </w:r>
    </w:p>
    <w:p>
      <w:pPr>
        <w:spacing w:after="0" w:line="214"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condition of the general business and economic environment;</w:t>
      </w:r>
    </w:p>
    <w:p>
      <w:pPr>
        <w:spacing w:after="0" w:line="23"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results of our most recent internal credit stress test may not accurately predict the impact on our financial condition if the economy were to deteriorate;</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profitability;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fully realize our deferred tax asset balances, including net operating loss carryforwards;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that we may be required to increase the valuation allowance on our deferred tax asset in future periods;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condition of the banking system and financial markets;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capital as may be necessary;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liquidity or access other sources of funding;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cost and availability of funding;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the local economies in which we operate;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lack of geographic diversification;</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concentrations of residential and commercial construction and development loans and commercial real estate loans are subject to unique risks that could adversely affect our earnings;</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prevailing interest rates may negatively affect our net income and the value of our assets;</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accounting and reporting policies;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our allowance for loan losses is not sufficient to cover actual loan losses;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losses due to fraudulent and negligent conduct of our loan customers, third party service providers or employees;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provide key components of our business infrastructure;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from financial institutions and other financial service providers;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with respect to future expansion and acquisitions;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the conditions in the stock market, the public debt market and other capital markets deteriorate;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Dodd-Frank Wall Street Reform and Consumer Protection Act of 2010 and related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laws and regulations or failures to comply with such laws and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regulatory capital requirements;</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costs and effects of litigation, examinations, investigations, or similar matters, or adverse facts and developments related thereto, including possible dilution;</w:t>
      </w:r>
    </w:p>
    <w:p>
      <w:pPr>
        <w:ind w:left="340" w:hanging="332"/>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or judicial proceedings, board resolutions, informal memorandums of understanding or formal enforcement actions imposed by regulators that may occur; and</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laws, regulations and interpretations or challenges to our income tax provision.</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 information with respect to factors that may cause actual results to differ materially from those contemplated by such forward-looking statements may also be included in other reports that United files with the Securities and Exchange Commission (the “SEC”). United cautions that the foregoing list of factors is not exclusive and not to place undue reliance on forward-looking statements. United does not intend to update any forward-looking statement, whether written or oral, relating to the matters discussed in this Form 10-Q.</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is intended to provide insight into the results of operations and financial condition of United Community Banks, Inc. (“United”) and its subsidiaries and should be read in conjunction with the consolidated financial statements and accompanying notes.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is a bank holding company registered with the Board of Governors of the Federal Reserve under the Bank Holding Company Act of 1956 that was incorporated under the laws of the state of Georgia in 1987 and commenced operations in 1988. At June 30, 2014, United had total consolidated assets of $7.35 billion, total loans of $4.41 billion, total deposits of $6.16 billion, and shareholders’ equity of $722 million.</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United’s activities are primarily conducted by its wholly-owned Georgia banking subsidiary, United Community Bank (the “Bank”). The Bank’s operations are conducted under a community bank model that operates 28 “community banks” with local bank presidents and boards in north Georgia, the Atlanta-Sandy Springs-Roswell, Georgia metropolitan statistical area, the Gainesville, Georgia metropolitan statistical area, coastal Georgia, western North Carolina, east Tennessee and the Greenville-Anderson-Mauldin, South Carolina metropolitan statistical area.</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Included in management’s discussion and analysis are certain non-GAAP (accounting principles generally accepted in the United States of America (“GAAP”)) performance measures. United’s management believes that non-GAAP performance measures are useful in analyzing United’s financial performance trends and therefore this section will refer to non-GAAP performance measures. A reconciliation of these non-GAAP performance measures to GAAP performance measures is included in the table on page 40.</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reported net income of $16.4 million for the second quarter of 2014. This compared to net income of $230 million for the second quarter of 2013. Diluted earnings per common share were $.27 for the second quarter of 2014, compared to diluted earnings per common share of $3.90 for the second quarter of 2013.</w:t>
      </w:r>
    </w:p>
    <w:p>
      <w:pPr>
        <w:spacing w:after="0" w:line="20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the six months ended June 30, 2014, United reported net income of $31.8 million. This compared to net income of $242 million for the first six months of 2013. Diluted earnings per common share were $.52 for the six months ended June 30, 2014, compared to diluted earnings per common share of $4.05 for the six months ended June 30, 2013.</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Second quarter and year-to-date 2013 earnings were significantly impacted by the reversal of the valuation allowance on United’s net deferred tax asset and the sales of classified assets including a large bulk sale transaction. The classified asset sales resulted in a pre-tax loss of $26.8 million for the second quarter of 2013 which was more than offset by a $272 million credit to income tax expense resulting from the removal of most of the valuation allowance on United’s deferred tax assets.</w:t>
      </w:r>
    </w:p>
    <w:p>
      <w:pPr>
        <w:spacing w:after="0" w:line="21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Taxable equivalent net interest revenue was $55.0 million for the second quarter of 2014, compared to $54.9 million for the same period of 2013. Net interest margin decreased from 3.33% for the three months ended June 30, 2013 to 3.21% for the same period in 2014. For the six months ended June 30, 2014, taxable equivalent net interest revenue was $109 million compared to $110 million for the same period of 2013. Net interest margin decreased from 3.35% for the six months ended June 30, 2013 to 3.21% for the same period in 2014. The margin decreases for the second quarter and year-to-date were driven by pricing pressures on new and renewed loans and resulting lower yields on loans.</w:t>
      </w:r>
    </w:p>
    <w:p>
      <w:pPr>
        <w:spacing w:after="0" w:line="20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United’s provision for loan losses was $2.20 million for the three months ended June 30, 2014, compared to $48.5 million for the same period in 2013. Net charge-offs for the second quarter of 2014 were $4.18 million, compared to $72.4 million for the second quarter of 2013. For the six months ended June 30, 2014, United’s provision for loan losses was $4.70 million, compared to $59.5 million for the same period of 2013. The sales of approximately $151 million in classified loans in the second quarter of 2013 resulted in a high level of charge-offs and provision for loan losses in the prior year. Following this accelerated disposition of classified assets in the second quarter of 2013, as well as generally improving credit conditions, United has experienced a lower level of net charge-offs and provision for loan losses beginning with the third quarter of 2013 through the second quarter of 2014.</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2014, United’s allowance for loan losses was $73.2 million, or 1.66% of loans, compared to $81.8 million, or 1.95% of loans, at June 30, 2013. Nonperforming assets of $23.7 million decreased to .32% of total assets at June 30, 2014 from .44% as of June 30, 2013, due to ongoing improving credit conditions. During the second quarter of 2014, $9.53 million in loans were placed on nonaccrual compared with $13.2 million in the second quarter of 2013.</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Fee revenue of $14.1 million decreased $1.80 million, or 11%, from the second quarter of 2013. The decrease was due primarily to a $1.13 million, or 37%, decrease in mortgage loan and related fees, a $1.33 million decrease in other fee revenue resulting from a non-recurring gain on a bank-owned life insurance policy in the second quarter of 2013 and a $74,000 decrease in customer derivative fees. Mortgage refinancing activity continued to decline with rising long-term interest rates. These revenue decreases were offset by a $182,000, or 17%, increase in brokerage fees and a $555,000, or 7%, increase in service charges and fees. For the first six months of 2014, fee revenue of $26.3 million was down $2.54 million, or 9%, from the same period in 2013, primarily due to the same factors resulting in the quarterly decrease.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42" w:name="page43"/>
    <w:bookmarkEnd w:id="42"/>
    <w:p>
      <w:pPr>
        <w:jc w:val="both"/>
        <w:spacing w:after="0" w:line="276" w:lineRule="auto"/>
        <w:rPr>
          <w:sz w:val="20"/>
          <w:szCs w:val="20"/>
          <w:color w:val="auto"/>
        </w:rPr>
      </w:pPr>
      <w:r>
        <w:rPr>
          <w:rFonts w:ascii="Arial" w:cs="Arial" w:eastAsia="Arial" w:hAnsi="Arial"/>
          <w:sz w:val="17"/>
          <w:szCs w:val="17"/>
          <w:color w:val="auto"/>
        </w:rPr>
        <w:t>For the second quarter of 2014, operating expenses of $40.5 million were down $8.29 million from the second quarter of 2013. The decrease was primarily related to a decrease of $5.05 million in foreclosed property expense, driven by a lower amount of foreclosed properties following the classified asset sales in the second quarter of 2013. FDIC assessments and regulatory charges decreased $1.08 million from the second quarter of 2013 to the second quarter of 2014. For the six months ended June 30, 2014, operating expenses of $79.6 million were down $13.0 million from the same period, mainly due to the same factors that caused the quarterly decrease. Management continues its efforts to reduce costs and improve operating efficiency.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June 26, 2014, United completed the purchase of Business Carolina, Inc., an SBA/USDA lending operation in Columbia, South Carolina. The purchase resulted in the addition of approximately $26 million in SBA/USDA loans to United’s portfolio.</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accounting and reporting policies of United are in accordance with GAAP and conform to general practices within the banking industry. The more critical accounting and reporting policies include United’s accounting for the allowance for loan losses, fair value measurements, and income taxes which involve the use of estimates and require significant judgments to be made by management. Different assumptions in the application of these policies could result in material changes in United’s consolidated financial position or consolidated results of operations. See “Asset Quality and Risk Elements” herein for additional discussion of United’s accounting methodologies related to the allowance for loan losses.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GAAP Reconciliation and Explanation</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Form 10-Q contains non-GAAP financial measures, which are performance measures determined by methods other than in accordance with GAAP. Such non-GAAP financial measures include, among others the following: taxable equivalent interest revenue, taxable equivalent net interest revenue, tangible book value per share, tangible equity to assets, tangible common equity to assets and tangible common equity to risk-weighted assets. Management uses these non-GAAP financial measures because it believes they are useful for evaluating our operations and performance over periods of time, as well as in managing and evaluating our business and in discussions about our operations and performance. Management believes these non-GAAP financial measures provide users of our financial information with a meaningful measure for assessing our financial results and credit trends, as well as comparison to financial results for prior periods. These non-GAAP financial measures should not be considered as a substitute for operating results determined in accordance with GAAP and may not be comparable to other similarly titled financial measures used by other companies. A reconciliation of these operating performance measures to GAAP performance measures is included in on the table on page 40.</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 reported net income of $16.4 million for the second quarter of 2014. This compared to net income of $230 million for the same period in 2013. For the second quarter of 2014, diluted earnings per common share were $.27 compared to $3.90 for the second quarter of 2013. For the six months ended June 30, 2014, United reported net income of $31.8 million compared to net income of $242 million for the same period in 2013. Net income and earnings per share for the three and six months ended June 30, 2013 were elevated by the recognition of United’s substantial tax benefits with the reversal of the deferred tax asset valuation allowance. The effect of the tax benefit on net income was partially offset by higher net charge-offs and a pre-tax loss resulting from the accelerated disposition of classified assets in the second quarter of 2013.</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Table 1 - Financial Highlights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691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vMerge w:val="restart"/>
          </w:tcPr>
          <w:p>
            <w:pPr>
              <w:jc w:val="right"/>
              <w:ind w:right="9"/>
              <w:spacing w:after="0"/>
              <w:rPr>
                <w:sz w:val="20"/>
                <w:szCs w:val="20"/>
                <w:color w:val="auto"/>
              </w:rPr>
            </w:pPr>
            <w:r>
              <w:rPr>
                <w:rFonts w:ascii="Arial" w:cs="Arial" w:eastAsia="Arial" w:hAnsi="Arial"/>
                <w:sz w:val="14"/>
                <w:szCs w:val="14"/>
                <w:b w:val="1"/>
                <w:bCs w:val="1"/>
                <w:color w:val="auto"/>
              </w:rPr>
              <w:t>2014</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89"/>
              </w:rPr>
              <w:t>2013</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Second</w:t>
            </w:r>
          </w:p>
        </w:tc>
        <w:tc>
          <w:tcPr>
            <w:tcW w:w="120" w:type="dxa"/>
            <w:vAlign w:val="bottom"/>
          </w:tcPr>
          <w:p>
            <w:pPr>
              <w:spacing w:after="0"/>
              <w:rPr>
                <w:sz w:val="14"/>
                <w:szCs w:val="14"/>
                <w:color w:val="auto"/>
              </w:rPr>
            </w:pPr>
          </w:p>
        </w:tc>
        <w:tc>
          <w:tcPr>
            <w:tcW w:w="16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For the Six</w:t>
            </w: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YTD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Quarter</w:t>
            </w:r>
          </w:p>
        </w:tc>
        <w:tc>
          <w:tcPr>
            <w:tcW w:w="120" w:type="dxa"/>
            <w:vAlign w:val="bottom"/>
          </w:tcPr>
          <w:p>
            <w:pPr>
              <w:spacing w:after="0"/>
              <w:rPr>
                <w:sz w:val="15"/>
                <w:szCs w:val="15"/>
                <w:color w:val="auto"/>
              </w:rPr>
            </w:pPr>
          </w:p>
        </w:tc>
        <w:tc>
          <w:tcPr>
            <w:tcW w:w="16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5"/>
              </w:rPr>
              <w:t>Months Ended</w:t>
            </w: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180" w:type="dxa"/>
            <w:vAlign w:val="bottom"/>
            <w:gridSpan w:val="2"/>
          </w:tcPr>
          <w:p>
            <w:pPr>
              <w:spacing w:after="0" w:line="129" w:lineRule="exact"/>
              <w:rPr>
                <w:sz w:val="20"/>
                <w:szCs w:val="20"/>
                <w:color w:val="auto"/>
              </w:rPr>
            </w:pPr>
            <w:r>
              <w:rPr>
                <w:rFonts w:ascii="Arial" w:cs="Arial" w:eastAsia="Arial" w:hAnsi="Arial"/>
                <w:sz w:val="14"/>
                <w:szCs w:val="14"/>
                <w:i w:val="1"/>
                <w:iCs w:val="1"/>
                <w:color w:val="auto"/>
              </w:rPr>
              <w:t>(in thousands, except per share</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w w:val="90"/>
              </w:rPr>
              <w:t>Second</w:t>
            </w:r>
          </w:p>
        </w:tc>
        <w:tc>
          <w:tcPr>
            <w:tcW w:w="80" w:type="dxa"/>
            <w:vAlign w:val="bottom"/>
          </w:tcPr>
          <w:p>
            <w:pPr>
              <w:spacing w:after="0"/>
              <w:rPr>
                <w:sz w:val="13"/>
                <w:szCs w:val="13"/>
                <w:color w:val="auto"/>
              </w:rPr>
            </w:pPr>
          </w:p>
        </w:tc>
        <w:tc>
          <w:tcPr>
            <w:tcW w:w="580" w:type="dxa"/>
            <w:vAlign w:val="bottom"/>
          </w:tcPr>
          <w:p>
            <w:pPr>
              <w:jc w:val="right"/>
              <w:ind w:right="108"/>
              <w:spacing w:after="0" w:line="129" w:lineRule="exact"/>
              <w:rPr>
                <w:sz w:val="20"/>
                <w:szCs w:val="20"/>
                <w:color w:val="auto"/>
              </w:rPr>
            </w:pPr>
            <w:r>
              <w:rPr>
                <w:rFonts w:ascii="Arial" w:cs="Arial" w:eastAsia="Arial" w:hAnsi="Arial"/>
                <w:sz w:val="14"/>
                <w:szCs w:val="14"/>
                <w:b w:val="1"/>
                <w:bCs w:val="1"/>
                <w:color w:val="auto"/>
              </w:rPr>
              <w:t>First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rPr>
              <w:t>Fourth</w:t>
            </w:r>
          </w:p>
        </w:tc>
        <w:tc>
          <w:tcPr>
            <w:tcW w:w="80" w:type="dxa"/>
            <w:vAlign w:val="bottom"/>
          </w:tcPr>
          <w:p>
            <w:pPr>
              <w:spacing w:after="0"/>
              <w:rPr>
                <w:sz w:val="13"/>
                <w:szCs w:val="13"/>
                <w:color w:val="auto"/>
              </w:rPr>
            </w:pPr>
          </w:p>
        </w:tc>
        <w:tc>
          <w:tcPr>
            <w:tcW w:w="82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rPr>
              <w:t>Third</w:t>
            </w:r>
          </w:p>
        </w:tc>
        <w:tc>
          <w:tcPr>
            <w:tcW w:w="80" w:type="dxa"/>
            <w:vAlign w:val="bottom"/>
          </w:tcPr>
          <w:p>
            <w:pPr>
              <w:spacing w:after="0"/>
              <w:rPr>
                <w:sz w:val="13"/>
                <w:szCs w:val="13"/>
                <w:color w:val="auto"/>
              </w:rPr>
            </w:pPr>
          </w:p>
        </w:tc>
        <w:tc>
          <w:tcPr>
            <w:tcW w:w="600" w:type="dxa"/>
            <w:vAlign w:val="bottom"/>
          </w:tcPr>
          <w:p>
            <w:pPr>
              <w:jc w:val="right"/>
              <w:ind w:right="48"/>
              <w:spacing w:after="0" w:line="129" w:lineRule="exact"/>
              <w:rPr>
                <w:sz w:val="20"/>
                <w:szCs w:val="20"/>
                <w:color w:val="auto"/>
              </w:rPr>
            </w:pPr>
            <w:r>
              <w:rPr>
                <w:rFonts w:ascii="Arial" w:cs="Arial" w:eastAsia="Arial" w:hAnsi="Arial"/>
                <w:sz w:val="14"/>
                <w:szCs w:val="14"/>
                <w:b w:val="1"/>
                <w:bCs w:val="1"/>
                <w:color w:val="auto"/>
                <w:w w:val="90"/>
              </w:rPr>
              <w:t>Second</w:t>
            </w:r>
          </w:p>
        </w:tc>
        <w:tc>
          <w:tcPr>
            <w:tcW w:w="1000" w:type="dxa"/>
            <w:vAlign w:val="bottom"/>
            <w:gridSpan w:val="2"/>
          </w:tcPr>
          <w:p>
            <w:pPr>
              <w:jc w:val="center"/>
              <w:ind w:left="268"/>
              <w:spacing w:after="0" w:line="129" w:lineRule="exact"/>
              <w:rPr>
                <w:sz w:val="20"/>
                <w:szCs w:val="20"/>
                <w:color w:val="auto"/>
              </w:rPr>
            </w:pPr>
            <w:r>
              <w:rPr>
                <w:rFonts w:ascii="Arial" w:cs="Arial" w:eastAsia="Arial" w:hAnsi="Arial"/>
                <w:sz w:val="14"/>
                <w:szCs w:val="14"/>
                <w:b w:val="1"/>
                <w:bCs w:val="1"/>
                <w:color w:val="auto"/>
                <w:w w:val="92"/>
              </w:rPr>
              <w:t>2014-2013</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jc w:val="center"/>
              <w:ind w:left="328"/>
              <w:spacing w:after="0" w:line="129" w:lineRule="exact"/>
              <w:rPr>
                <w:sz w:val="20"/>
                <w:szCs w:val="20"/>
                <w:color w:val="auto"/>
              </w:rPr>
            </w:pPr>
            <w:r>
              <w:rPr>
                <w:rFonts w:ascii="Arial" w:cs="Arial" w:eastAsia="Arial" w:hAnsi="Arial"/>
                <w:sz w:val="14"/>
                <w:szCs w:val="14"/>
                <w:b w:val="1"/>
                <w:bCs w:val="1"/>
                <w:color w:val="auto"/>
                <w:w w:val="92"/>
              </w:rPr>
              <w:t>June 30,</w:t>
            </w:r>
          </w:p>
        </w:tc>
        <w:tc>
          <w:tcPr>
            <w:tcW w:w="5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2014-2013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18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data; taxable equivalent)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3"/>
                <w:szCs w:val="13"/>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4"/>
              </w:rPr>
              <w:t>Quarter</w:t>
            </w:r>
          </w:p>
        </w:tc>
        <w:tc>
          <w:tcPr>
            <w:tcW w:w="80" w:type="dxa"/>
            <w:vAlign w:val="bottom"/>
          </w:tcPr>
          <w:p>
            <w:pPr>
              <w:spacing w:after="0"/>
              <w:rPr>
                <w:sz w:val="13"/>
                <w:szCs w:val="13"/>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4"/>
              </w:rPr>
              <w:t>Quarter</w:t>
            </w:r>
          </w:p>
        </w:tc>
        <w:tc>
          <w:tcPr>
            <w:tcW w:w="80" w:type="dxa"/>
            <w:vAlign w:val="bottom"/>
          </w:tcPr>
          <w:p>
            <w:pPr>
              <w:spacing w:after="0"/>
              <w:rPr>
                <w:sz w:val="13"/>
                <w:szCs w:val="13"/>
                <w:color w:val="auto"/>
              </w:rPr>
            </w:pPr>
          </w:p>
        </w:tc>
        <w:tc>
          <w:tcPr>
            <w:tcW w:w="8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Quarter</w:t>
            </w:r>
          </w:p>
        </w:tc>
        <w:tc>
          <w:tcPr>
            <w:tcW w:w="80" w:type="dxa"/>
            <w:vAlign w:val="bottom"/>
          </w:tcPr>
          <w:p>
            <w:pPr>
              <w:spacing w:after="0"/>
              <w:rPr>
                <w:sz w:val="13"/>
                <w:szCs w:val="13"/>
                <w:color w:val="auto"/>
              </w:rPr>
            </w:pPr>
          </w:p>
        </w:tc>
        <w:tc>
          <w:tcPr>
            <w:tcW w:w="600" w:type="dxa"/>
            <w:vAlign w:val="bottom"/>
          </w:tcPr>
          <w:p>
            <w:pPr>
              <w:jc w:val="right"/>
              <w:ind w:right="8"/>
              <w:spacing w:after="0" w:line="149" w:lineRule="exact"/>
              <w:rPr>
                <w:sz w:val="20"/>
                <w:szCs w:val="20"/>
                <w:color w:val="auto"/>
              </w:rPr>
            </w:pPr>
            <w:r>
              <w:rPr>
                <w:rFonts w:ascii="Arial" w:cs="Arial" w:eastAsia="Arial" w:hAnsi="Arial"/>
                <w:sz w:val="14"/>
                <w:szCs w:val="14"/>
                <w:b w:val="1"/>
                <w:bCs w:val="1"/>
                <w:color w:val="auto"/>
                <w:w w:val="98"/>
              </w:rPr>
              <w:t>Quarter</w:t>
            </w:r>
          </w:p>
        </w:tc>
        <w:tc>
          <w:tcPr>
            <w:tcW w:w="320" w:type="dxa"/>
            <w:vAlign w:val="bottom"/>
          </w:tcPr>
          <w:p>
            <w:pPr>
              <w:spacing w:after="0"/>
              <w:rPr>
                <w:sz w:val="13"/>
                <w:szCs w:val="13"/>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3"/>
                <w:szCs w:val="13"/>
                <w:color w:val="auto"/>
              </w:rPr>
            </w:pPr>
          </w:p>
        </w:tc>
        <w:tc>
          <w:tcPr>
            <w:tcW w:w="54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3"/>
                <w:szCs w:val="13"/>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Borders>
              <w:top w:val="single" w:sz="8" w:color="auto"/>
            </w:tcBorders>
            <w:shd w:val="clear" w:color="auto" w:fill="F0FFFF"/>
          </w:tcPr>
          <w:p>
            <w:pPr>
              <w:spacing w:after="0" w:line="149" w:lineRule="exact"/>
              <w:rPr>
                <w:sz w:val="20"/>
                <w:szCs w:val="20"/>
                <w:color w:val="auto"/>
              </w:rPr>
            </w:pPr>
            <w:r>
              <w:rPr>
                <w:rFonts w:ascii="Arial" w:cs="Arial" w:eastAsia="Arial" w:hAnsi="Arial"/>
                <w:sz w:val="14"/>
                <w:szCs w:val="14"/>
                <w:b w:val="1"/>
                <w:bCs w:val="1"/>
                <w:color w:val="auto"/>
              </w:rPr>
              <w:t>INCOME SUMMARY</w:t>
            </w:r>
          </w:p>
        </w:tc>
        <w:tc>
          <w:tcPr>
            <w:tcW w:w="100" w:type="dxa"/>
            <w:vAlign w:val="bottom"/>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600" w:type="dxa"/>
            <w:vAlign w:val="bottom"/>
            <w:tcBorders>
              <w:top w:val="single" w:sz="8" w:color="auto"/>
            </w:tcBorders>
            <w:shd w:val="clear" w:color="auto" w:fill="F0FFFF"/>
          </w:tcPr>
          <w:p>
            <w:pPr>
              <w:spacing w:after="0"/>
              <w:rPr>
                <w:sz w:val="12"/>
                <w:szCs w:val="12"/>
                <w:color w:val="auto"/>
              </w:rPr>
            </w:pPr>
          </w:p>
        </w:tc>
        <w:tc>
          <w:tcPr>
            <w:tcW w:w="240" w:type="dxa"/>
            <w:vAlign w:val="bottom"/>
            <w:tcBorders>
              <w:right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580" w:type="dxa"/>
            <w:vAlign w:val="bottom"/>
            <w:tcBorders>
              <w:top w:val="single" w:sz="8" w:color="auto"/>
            </w:tcBorders>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600" w:type="dxa"/>
            <w:vAlign w:val="bottom"/>
            <w:tcBorders>
              <w:top w:val="single" w:sz="8" w:color="auto"/>
            </w:tcBorders>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600" w:type="dxa"/>
            <w:vAlign w:val="bottom"/>
            <w:tcBorders>
              <w:top w:val="single" w:sz="8" w:color="auto"/>
            </w:tcBorders>
            <w:shd w:val="clear" w:color="auto" w:fill="F0FFFF"/>
          </w:tcPr>
          <w:p>
            <w:pPr>
              <w:spacing w:after="0"/>
              <w:rPr>
                <w:sz w:val="12"/>
                <w:szCs w:val="12"/>
                <w:color w:val="auto"/>
              </w:rPr>
            </w:pPr>
          </w:p>
        </w:tc>
        <w:tc>
          <w:tcPr>
            <w:tcW w:w="220" w:type="dxa"/>
            <w:vAlign w:val="bottom"/>
            <w:tcBorders>
              <w:right w:val="single" w:sz="8" w:color="F0FFFF"/>
            </w:tcBorders>
            <w:shd w:val="clear" w:color="auto" w:fill="F0FFFF"/>
          </w:tcPr>
          <w:p>
            <w:pPr>
              <w:spacing w:after="0"/>
              <w:rPr>
                <w:sz w:val="12"/>
                <w:szCs w:val="12"/>
                <w:color w:val="auto"/>
              </w:rPr>
            </w:pPr>
          </w:p>
        </w:tc>
        <w:tc>
          <w:tcPr>
            <w:tcW w:w="80" w:type="dxa"/>
            <w:vAlign w:val="bottom"/>
            <w:tcBorders>
              <w:top w:val="single" w:sz="8" w:color="auto"/>
            </w:tcBorders>
            <w:shd w:val="clear" w:color="auto" w:fill="F0FFFF"/>
          </w:tcPr>
          <w:p>
            <w:pPr>
              <w:spacing w:after="0"/>
              <w:rPr>
                <w:sz w:val="12"/>
                <w:szCs w:val="12"/>
                <w:color w:val="auto"/>
              </w:rPr>
            </w:pPr>
          </w:p>
        </w:tc>
        <w:tc>
          <w:tcPr>
            <w:tcW w:w="600" w:type="dxa"/>
            <w:vAlign w:val="bottom"/>
            <w:tcBorders>
              <w:top w:val="single" w:sz="8" w:color="auto"/>
            </w:tcBorders>
            <w:shd w:val="clear" w:color="auto" w:fill="F0FFFF"/>
          </w:tcPr>
          <w:p>
            <w:pPr>
              <w:spacing w:after="0"/>
              <w:rPr>
                <w:sz w:val="12"/>
                <w:szCs w:val="12"/>
                <w:color w:val="auto"/>
              </w:rPr>
            </w:pPr>
          </w:p>
        </w:tc>
        <w:tc>
          <w:tcPr>
            <w:tcW w:w="320" w:type="dxa"/>
            <w:vAlign w:val="bottom"/>
            <w:tcBorders>
              <w:left w:val="single" w:sz="8" w:color="F0FFFF"/>
            </w:tcBorders>
            <w:shd w:val="clear" w:color="auto" w:fill="F0FFFF"/>
          </w:tcPr>
          <w:p>
            <w:pPr>
              <w:spacing w:after="0"/>
              <w:rPr>
                <w:sz w:val="12"/>
                <w:szCs w:val="12"/>
                <w:color w:val="auto"/>
              </w:rPr>
            </w:pPr>
          </w:p>
        </w:tc>
        <w:tc>
          <w:tcPr>
            <w:tcW w:w="680" w:type="dxa"/>
            <w:vAlign w:val="bottom"/>
            <w:tcBorders>
              <w:top w:val="single" w:sz="8" w:color="auto"/>
            </w:tcBorders>
            <w:shd w:val="clear" w:color="auto" w:fill="F0FFFF"/>
          </w:tcPr>
          <w:p>
            <w:pPr>
              <w:spacing w:after="0"/>
              <w:rPr>
                <w:sz w:val="12"/>
                <w:szCs w:val="12"/>
                <w:color w:val="auto"/>
              </w:rPr>
            </w:pPr>
          </w:p>
        </w:tc>
        <w:tc>
          <w:tcPr>
            <w:tcW w:w="240" w:type="dxa"/>
            <w:vAlign w:val="bottom"/>
            <w:tcBorders>
              <w:right w:val="single" w:sz="8" w:color="F0FFFF"/>
            </w:tcBorders>
            <w:shd w:val="clear" w:color="auto" w:fill="F0FFFF"/>
          </w:tcPr>
          <w:p>
            <w:pPr>
              <w:spacing w:after="0"/>
              <w:rPr>
                <w:sz w:val="12"/>
                <w:szCs w:val="12"/>
                <w:color w:val="auto"/>
              </w:rPr>
            </w:pPr>
          </w:p>
        </w:tc>
        <w:tc>
          <w:tcPr>
            <w:tcW w:w="120" w:type="dxa"/>
            <w:vAlign w:val="bottom"/>
            <w:tcBorders>
              <w:top w:val="single" w:sz="8" w:color="auto"/>
            </w:tcBorders>
            <w:shd w:val="clear" w:color="auto" w:fill="F0FFFF"/>
          </w:tcPr>
          <w:p>
            <w:pPr>
              <w:spacing w:after="0"/>
              <w:rPr>
                <w:sz w:val="12"/>
                <w:szCs w:val="12"/>
                <w:color w:val="auto"/>
              </w:rPr>
            </w:pPr>
          </w:p>
        </w:tc>
        <w:tc>
          <w:tcPr>
            <w:tcW w:w="540" w:type="dxa"/>
            <w:vAlign w:val="bottom"/>
            <w:tcBorders>
              <w:top w:val="single" w:sz="8" w:color="auto"/>
            </w:tcBorders>
            <w:shd w:val="clear" w:color="auto" w:fill="F0FFFF"/>
          </w:tcPr>
          <w:p>
            <w:pPr>
              <w:spacing w:after="0"/>
              <w:rPr>
                <w:sz w:val="12"/>
                <w:szCs w:val="12"/>
                <w:color w:val="auto"/>
              </w:rPr>
            </w:pPr>
          </w:p>
        </w:tc>
        <w:tc>
          <w:tcPr>
            <w:tcW w:w="240" w:type="dxa"/>
            <w:vAlign w:val="bottom"/>
            <w:tcBorders>
              <w:right w:val="single" w:sz="8" w:color="F0FFFF"/>
            </w:tcBorders>
            <w:shd w:val="clear" w:color="auto" w:fill="F0FFFF"/>
          </w:tcPr>
          <w:p>
            <w:pPr>
              <w:spacing w:after="0"/>
              <w:rPr>
                <w:sz w:val="12"/>
                <w:szCs w:val="12"/>
                <w:color w:val="auto"/>
              </w:rPr>
            </w:pPr>
          </w:p>
        </w:tc>
        <w:tc>
          <w:tcPr>
            <w:tcW w:w="140" w:type="dxa"/>
            <w:vAlign w:val="bottom"/>
            <w:tcBorders>
              <w:top w:val="single" w:sz="8" w:color="auto"/>
            </w:tcBorders>
            <w:shd w:val="clear" w:color="auto" w:fill="F0FFFF"/>
          </w:tcPr>
          <w:p>
            <w:pPr>
              <w:spacing w:after="0"/>
              <w:rPr>
                <w:sz w:val="12"/>
                <w:szCs w:val="12"/>
                <w:color w:val="auto"/>
              </w:rPr>
            </w:pPr>
          </w:p>
        </w:tc>
        <w:tc>
          <w:tcPr>
            <w:tcW w:w="540" w:type="dxa"/>
            <w:vAlign w:val="bottom"/>
            <w:tcBorders>
              <w:top w:val="single" w:sz="8" w:color="auto"/>
            </w:tcBorders>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680" w:type="dxa"/>
            <w:vAlign w:val="bottom"/>
            <w:tcBorders>
              <w:top w:val="single" w:sz="8" w:color="auto"/>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Interest revenue</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61,783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60,495</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61,695</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61,426</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62,088</w:t>
            </w: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122,278</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124,202</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Interest expense</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4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6,833</w:t>
            </w: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6,326</w:t>
            </w: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5,816</w:t>
            </w:r>
          </w:p>
        </w:tc>
        <w:tc>
          <w:tcPr>
            <w:tcW w:w="80" w:type="dxa"/>
            <w:vAlign w:val="bottom"/>
            <w:shd w:val="clear" w:color="auto" w:fill="F0FFFF"/>
          </w:tcPr>
          <w:p>
            <w:pPr>
              <w:spacing w:after="0"/>
              <w:rPr>
                <w:sz w:val="12"/>
                <w:szCs w:val="12"/>
                <w:color w:val="auto"/>
              </w:rPr>
            </w:pPr>
          </w:p>
        </w:tc>
        <w:tc>
          <w:tcPr>
            <w:tcW w:w="82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7,169</w:t>
            </w: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7,157</w:t>
            </w:r>
          </w:p>
        </w:tc>
        <w:tc>
          <w:tcPr>
            <w:tcW w:w="320" w:type="dxa"/>
            <w:vAlign w:val="bottom"/>
            <w:tcBorders>
              <w:left w:val="single" w:sz="8" w:color="F0FFFF"/>
            </w:tcBorders>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4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8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13,159</w:t>
            </w:r>
          </w:p>
        </w:tc>
        <w:tc>
          <w:tcPr>
            <w:tcW w:w="14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14,697</w:t>
            </w: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6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Borders>
              <w:right w:val="single" w:sz="8" w:color="F0FFFF"/>
            </w:tcBorders>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Borders>
              <w:left w:val="single" w:sz="8" w:color="F0FFFF"/>
            </w:tcBorders>
            <w:shd w:val="clear" w:color="auto" w:fill="F0FFFF"/>
          </w:tcPr>
          <w:p>
            <w:pPr>
              <w:spacing w:after="0"/>
              <w:rPr>
                <w:sz w:val="2"/>
                <w:szCs w:val="2"/>
                <w:color w:val="auto"/>
              </w:rPr>
            </w:pPr>
          </w:p>
        </w:tc>
        <w:tc>
          <w:tcPr>
            <w:tcW w:w="680" w:type="dxa"/>
            <w:vAlign w:val="bottom"/>
            <w:shd w:val="clear" w:color="auto" w:fill="F0FFFF"/>
          </w:tcPr>
          <w:p>
            <w:pPr>
              <w:spacing w:after="0"/>
              <w:rPr>
                <w:sz w:val="2"/>
                <w:szCs w:val="2"/>
                <w:color w:val="auto"/>
              </w:rPr>
            </w:pPr>
          </w:p>
        </w:tc>
        <w:tc>
          <w:tcPr>
            <w:tcW w:w="240" w:type="dxa"/>
            <w:vAlign w:val="bottom"/>
            <w:tcBorders>
              <w:right w:val="single" w:sz="8" w:color="F0FFFF"/>
            </w:tcBorders>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Borders>
              <w:right w:val="single" w:sz="8" w:color="F0FFFF"/>
            </w:tcBorders>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68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4"/>
                <w:szCs w:val="14"/>
                <w:color w:val="auto"/>
              </w:rPr>
              <w:t>Net interest revenue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54,950</w:t>
            </w: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54,169</w:t>
            </w: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55,879</w:t>
            </w: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54,257</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54,931</w:t>
            </w:r>
          </w:p>
        </w:tc>
        <w:tc>
          <w:tcPr>
            <w:tcW w:w="320" w:type="dxa"/>
            <w:vAlign w:val="bottom"/>
          </w:tcPr>
          <w:p>
            <w:pPr>
              <w:spacing w:after="0"/>
              <w:rPr>
                <w:sz w:val="18"/>
                <w:szCs w:val="18"/>
                <w:color w:val="auto"/>
              </w:rPr>
            </w:pPr>
          </w:p>
        </w:tc>
        <w:tc>
          <w:tcPr>
            <w:tcW w:w="920" w:type="dxa"/>
            <w:vAlign w:val="bottom"/>
            <w:gridSpan w:val="2"/>
          </w:tcPr>
          <w:p>
            <w:pPr>
              <w:jc w:val="right"/>
              <w:ind w:right="120"/>
              <w:spacing w:after="0" w:line="216" w:lineRule="exact"/>
              <w:rPr>
                <w:sz w:val="20"/>
                <w:szCs w:val="20"/>
                <w:color w:val="auto"/>
              </w:rPr>
            </w:pPr>
            <w:r>
              <w:rPr>
                <w:rFonts w:ascii="Arial" w:cs="Arial" w:eastAsia="Arial" w:hAnsi="Arial"/>
                <w:sz w:val="16"/>
                <w:szCs w:val="16"/>
                <w:color w:val="auto"/>
              </w:rPr>
              <w:t>—</w:t>
            </w:r>
            <w:r>
              <w:rPr>
                <w:rFonts w:ascii="Arial" w:cs="Arial" w:eastAsia="Arial" w:hAnsi="Arial"/>
                <w:sz w:val="25"/>
                <w:szCs w:val="25"/>
                <w:color w:val="auto"/>
                <w:vertAlign w:val="subscript"/>
              </w:rPr>
              <w:t>%</w:t>
            </w: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109,119</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109,505</w:t>
            </w:r>
          </w:p>
        </w:tc>
        <w:tc>
          <w:tcPr>
            <w:tcW w:w="800" w:type="dxa"/>
            <w:vAlign w:val="bottom"/>
            <w:gridSpan w:val="2"/>
          </w:tcPr>
          <w:p>
            <w:pPr>
              <w:jc w:val="right"/>
              <w:spacing w:after="0" w:line="216" w:lineRule="exact"/>
              <w:rPr>
                <w:sz w:val="20"/>
                <w:szCs w:val="20"/>
                <w:color w:val="auto"/>
              </w:rPr>
            </w:pPr>
            <w:r>
              <w:rPr>
                <w:rFonts w:ascii="Arial" w:cs="Arial" w:eastAsia="Arial" w:hAnsi="Arial"/>
                <w:sz w:val="16"/>
                <w:szCs w:val="16"/>
                <w:color w:val="auto"/>
              </w:rPr>
              <w:t>—</w:t>
            </w:r>
            <w:r>
              <w:rPr>
                <w:rFonts w:ascii="Arial" w:cs="Arial" w:eastAsia="Arial" w:hAnsi="Arial"/>
                <w:sz w:val="25"/>
                <w:szCs w:val="25"/>
                <w:color w:val="auto"/>
                <w:vertAlign w:val="subscript"/>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F0FFFF"/>
          </w:tcPr>
          <w:p>
            <w:pPr>
              <w:spacing w:after="0" w:line="149" w:lineRule="exact"/>
              <w:rPr>
                <w:sz w:val="20"/>
                <w:szCs w:val="20"/>
                <w:color w:val="auto"/>
              </w:rPr>
            </w:pPr>
            <w:r>
              <w:rPr>
                <w:rFonts w:ascii="Arial" w:cs="Arial" w:eastAsia="Arial" w:hAnsi="Arial"/>
                <w:sz w:val="14"/>
                <w:szCs w:val="14"/>
                <w:color w:val="auto"/>
              </w:rPr>
              <w:t>Provision for credit losses</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4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2,200</w:t>
            </w: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2,500</w:t>
            </w: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3,000</w:t>
            </w:r>
          </w:p>
        </w:tc>
        <w:tc>
          <w:tcPr>
            <w:tcW w:w="80" w:type="dxa"/>
            <w:vAlign w:val="bottom"/>
            <w:shd w:val="clear" w:color="auto" w:fill="F0FFFF"/>
          </w:tcPr>
          <w:p>
            <w:pPr>
              <w:spacing w:after="0"/>
              <w:rPr>
                <w:sz w:val="12"/>
                <w:szCs w:val="12"/>
                <w:color w:val="auto"/>
              </w:rPr>
            </w:pPr>
          </w:p>
        </w:tc>
        <w:tc>
          <w:tcPr>
            <w:tcW w:w="82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3,000</w:t>
            </w: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48,500</w:t>
            </w:r>
          </w:p>
        </w:tc>
        <w:tc>
          <w:tcPr>
            <w:tcW w:w="320" w:type="dxa"/>
            <w:vAlign w:val="bottom"/>
            <w:tcBorders>
              <w:left w:val="single" w:sz="8" w:color="F0FFFF"/>
            </w:tcBorders>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4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8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4,700</w:t>
            </w:r>
          </w:p>
        </w:tc>
        <w:tc>
          <w:tcPr>
            <w:tcW w:w="14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59,500</w:t>
            </w: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Fee revenue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14,143</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12,176</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13,519</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14,225</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15,943</w:t>
            </w:r>
          </w:p>
        </w:tc>
        <w:tc>
          <w:tcPr>
            <w:tcW w:w="124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(11)</w:t>
            </w:r>
          </w:p>
        </w:tc>
        <w:tc>
          <w:tcPr>
            <w:tcW w:w="12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26,319</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28,854</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F0FFFF"/>
          </w:tcPr>
          <w:p>
            <w:pPr>
              <w:ind w:left="160"/>
              <w:spacing w:after="0" w:line="149" w:lineRule="exact"/>
              <w:rPr>
                <w:sz w:val="20"/>
                <w:szCs w:val="20"/>
                <w:color w:val="auto"/>
              </w:rPr>
            </w:pPr>
            <w:r>
              <w:rPr>
                <w:rFonts w:ascii="Arial" w:cs="Arial" w:eastAsia="Arial" w:hAnsi="Arial"/>
                <w:sz w:val="14"/>
                <w:szCs w:val="14"/>
                <w:b w:val="1"/>
                <w:bCs w:val="1"/>
                <w:color w:val="auto"/>
              </w:rPr>
              <w:t>Total revenue</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4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66,893</w:t>
            </w: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63,845</w:t>
            </w: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66,398</w:t>
            </w:r>
          </w:p>
        </w:tc>
        <w:tc>
          <w:tcPr>
            <w:tcW w:w="80" w:type="dxa"/>
            <w:vAlign w:val="bottom"/>
            <w:shd w:val="clear" w:color="auto" w:fill="F0FFFF"/>
          </w:tcPr>
          <w:p>
            <w:pPr>
              <w:spacing w:after="0"/>
              <w:rPr>
                <w:sz w:val="12"/>
                <w:szCs w:val="12"/>
                <w:color w:val="auto"/>
              </w:rPr>
            </w:pPr>
          </w:p>
        </w:tc>
        <w:tc>
          <w:tcPr>
            <w:tcW w:w="82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65,482</w:t>
            </w: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22,374</w:t>
            </w:r>
          </w:p>
        </w:tc>
        <w:tc>
          <w:tcPr>
            <w:tcW w:w="320" w:type="dxa"/>
            <w:vAlign w:val="bottom"/>
            <w:tcBorders>
              <w:left w:val="single" w:sz="8" w:color="F0FFFF"/>
            </w:tcBorders>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4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8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130,738</w:t>
            </w:r>
          </w:p>
        </w:tc>
        <w:tc>
          <w:tcPr>
            <w:tcW w:w="14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78,859</w:t>
            </w: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29" w:lineRule="exact"/>
              <w:rPr>
                <w:sz w:val="20"/>
                <w:szCs w:val="20"/>
                <w:color w:val="auto"/>
              </w:rPr>
            </w:pPr>
            <w:r>
              <w:rPr>
                <w:rFonts w:ascii="Arial" w:cs="Arial" w:eastAsia="Arial" w:hAnsi="Arial"/>
                <w:sz w:val="14"/>
                <w:szCs w:val="14"/>
                <w:color w:val="auto"/>
              </w:rPr>
              <w:t>Operating expenses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40"/>
              <w:spacing w:after="0" w:line="129" w:lineRule="exact"/>
              <w:rPr>
                <w:sz w:val="20"/>
                <w:szCs w:val="20"/>
                <w:color w:val="auto"/>
              </w:rPr>
            </w:pPr>
            <w:r>
              <w:rPr>
                <w:rFonts w:ascii="Arial" w:cs="Arial" w:eastAsia="Arial" w:hAnsi="Arial"/>
                <w:sz w:val="14"/>
                <w:szCs w:val="14"/>
                <w:color w:val="auto"/>
              </w:rPr>
              <w:t>40,532</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29" w:lineRule="exact"/>
              <w:rPr>
                <w:sz w:val="20"/>
                <w:szCs w:val="20"/>
                <w:color w:val="auto"/>
              </w:rPr>
            </w:pPr>
            <w:r>
              <w:rPr>
                <w:rFonts w:ascii="Arial" w:cs="Arial" w:eastAsia="Arial" w:hAnsi="Arial"/>
                <w:sz w:val="14"/>
                <w:szCs w:val="14"/>
                <w:color w:val="auto"/>
              </w:rPr>
              <w:t>39,050</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29" w:lineRule="exact"/>
              <w:rPr>
                <w:sz w:val="20"/>
                <w:szCs w:val="20"/>
                <w:color w:val="auto"/>
              </w:rPr>
            </w:pPr>
            <w:r>
              <w:rPr>
                <w:rFonts w:ascii="Arial" w:cs="Arial" w:eastAsia="Arial" w:hAnsi="Arial"/>
                <w:sz w:val="14"/>
                <w:szCs w:val="14"/>
                <w:color w:val="auto"/>
              </w:rPr>
              <w:t>41,614</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29" w:lineRule="exact"/>
              <w:rPr>
                <w:sz w:val="20"/>
                <w:szCs w:val="20"/>
                <w:color w:val="auto"/>
              </w:rPr>
            </w:pPr>
            <w:r>
              <w:rPr>
                <w:rFonts w:ascii="Arial" w:cs="Arial" w:eastAsia="Arial" w:hAnsi="Arial"/>
                <w:sz w:val="14"/>
                <w:szCs w:val="14"/>
                <w:color w:val="auto"/>
              </w:rPr>
              <w:t>40,097</w:t>
            </w:r>
          </w:p>
        </w:tc>
        <w:tc>
          <w:tcPr>
            <w:tcW w:w="80" w:type="dxa"/>
            <w:vAlign w:val="bottom"/>
          </w:tcPr>
          <w:p>
            <w:pPr>
              <w:spacing w:after="0"/>
              <w:rPr>
                <w:sz w:val="12"/>
                <w:szCs w:val="12"/>
                <w:color w:val="auto"/>
              </w:rPr>
            </w:pPr>
          </w:p>
        </w:tc>
        <w:tc>
          <w:tcPr>
            <w:tcW w:w="600" w:type="dxa"/>
            <w:vAlign w:val="bottom"/>
          </w:tcPr>
          <w:p>
            <w:pPr>
              <w:jc w:val="right"/>
              <w:spacing w:after="0" w:line="129" w:lineRule="exact"/>
              <w:rPr>
                <w:sz w:val="20"/>
                <w:szCs w:val="20"/>
                <w:color w:val="auto"/>
              </w:rPr>
            </w:pPr>
            <w:r>
              <w:rPr>
                <w:rFonts w:ascii="Arial" w:cs="Arial" w:eastAsia="Arial" w:hAnsi="Arial"/>
                <w:sz w:val="14"/>
                <w:szCs w:val="14"/>
                <w:color w:val="auto"/>
              </w:rPr>
              <w:t>48,823</w:t>
            </w:r>
          </w:p>
        </w:tc>
        <w:tc>
          <w:tcPr>
            <w:tcW w:w="1240" w:type="dxa"/>
            <w:vAlign w:val="bottom"/>
            <w:gridSpan w:val="3"/>
          </w:tcPr>
          <w:p>
            <w:pPr>
              <w:jc w:val="right"/>
              <w:ind w:right="180"/>
              <w:spacing w:after="0" w:line="129" w:lineRule="exact"/>
              <w:rPr>
                <w:sz w:val="20"/>
                <w:szCs w:val="20"/>
                <w:color w:val="auto"/>
              </w:rPr>
            </w:pPr>
            <w:r>
              <w:rPr>
                <w:rFonts w:ascii="Arial" w:cs="Arial" w:eastAsia="Arial" w:hAnsi="Arial"/>
                <w:sz w:val="14"/>
                <w:szCs w:val="14"/>
                <w:color w:val="auto"/>
              </w:rPr>
              <w:t>(17)</w:t>
            </w:r>
          </w:p>
        </w:tc>
        <w:tc>
          <w:tcPr>
            <w:tcW w:w="120" w:type="dxa"/>
            <w:vAlign w:val="bottom"/>
          </w:tcPr>
          <w:p>
            <w:pPr>
              <w:spacing w:after="0"/>
              <w:rPr>
                <w:sz w:val="12"/>
                <w:szCs w:val="12"/>
                <w:color w:val="auto"/>
              </w:rPr>
            </w:pPr>
          </w:p>
        </w:tc>
        <w:tc>
          <w:tcPr>
            <w:tcW w:w="780" w:type="dxa"/>
            <w:vAlign w:val="bottom"/>
            <w:gridSpan w:val="2"/>
          </w:tcPr>
          <w:p>
            <w:pPr>
              <w:jc w:val="right"/>
              <w:ind w:right="240"/>
              <w:spacing w:after="0" w:line="129" w:lineRule="exact"/>
              <w:rPr>
                <w:sz w:val="20"/>
                <w:szCs w:val="20"/>
                <w:color w:val="auto"/>
              </w:rPr>
            </w:pPr>
            <w:r>
              <w:rPr>
                <w:rFonts w:ascii="Arial" w:cs="Arial" w:eastAsia="Arial" w:hAnsi="Arial"/>
                <w:sz w:val="14"/>
                <w:szCs w:val="14"/>
                <w:color w:val="auto"/>
              </w:rPr>
              <w:t>79,582</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29" w:lineRule="exact"/>
              <w:rPr>
                <w:sz w:val="20"/>
                <w:szCs w:val="20"/>
                <w:color w:val="auto"/>
              </w:rPr>
            </w:pPr>
            <w:r>
              <w:rPr>
                <w:rFonts w:ascii="Arial" w:cs="Arial" w:eastAsia="Arial" w:hAnsi="Arial"/>
                <w:sz w:val="14"/>
                <w:szCs w:val="14"/>
                <w:color w:val="auto"/>
              </w:rPr>
              <w:t>92,593</w:t>
            </w:r>
          </w:p>
        </w:tc>
        <w:tc>
          <w:tcPr>
            <w:tcW w:w="800" w:type="dxa"/>
            <w:vAlign w:val="bottom"/>
            <w:gridSpan w:val="2"/>
          </w:tcPr>
          <w:p>
            <w:pPr>
              <w:jc w:val="right"/>
              <w:ind w:right="80"/>
              <w:spacing w:after="0" w:line="129" w:lineRule="exact"/>
              <w:rPr>
                <w:sz w:val="20"/>
                <w:szCs w:val="20"/>
                <w:color w:val="auto"/>
              </w:rPr>
            </w:pPr>
            <w:r>
              <w:rPr>
                <w:rFonts w:ascii="Arial" w:cs="Arial" w:eastAsia="Arial" w:hAnsi="Arial"/>
                <w:sz w:val="9"/>
                <w:szCs w:val="9"/>
                <w:color w:val="auto"/>
              </w:rPr>
              <w:t>(14</w:t>
            </w:r>
            <w:r>
              <w:rPr>
                <w:rFonts w:ascii="Arial" w:cs="Arial" w:eastAsia="Arial" w:hAnsi="Arial"/>
                <w:sz w:val="14"/>
                <w:szCs w:val="14"/>
                <w:color w:val="auto"/>
                <w:vertAlign w:val="superscript"/>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F0FFFF"/>
          </w:tcPr>
          <w:p>
            <w:pPr>
              <w:ind w:left="160"/>
              <w:spacing w:after="0" w:line="149" w:lineRule="exact"/>
              <w:rPr>
                <w:sz w:val="20"/>
                <w:szCs w:val="20"/>
                <w:color w:val="auto"/>
              </w:rPr>
            </w:pPr>
            <w:r>
              <w:rPr>
                <w:rFonts w:ascii="Arial" w:cs="Arial" w:eastAsia="Arial" w:hAnsi="Arial"/>
                <w:sz w:val="14"/>
                <w:szCs w:val="14"/>
                <w:color w:val="auto"/>
              </w:rPr>
              <w:t>Income (loss) before income taxes</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4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26,361</w:t>
            </w: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24,795</w:t>
            </w: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24,784</w:t>
            </w:r>
          </w:p>
        </w:tc>
        <w:tc>
          <w:tcPr>
            <w:tcW w:w="80" w:type="dxa"/>
            <w:vAlign w:val="bottom"/>
            <w:shd w:val="clear" w:color="auto" w:fill="F0FFFF"/>
          </w:tcPr>
          <w:p>
            <w:pPr>
              <w:spacing w:after="0"/>
              <w:rPr>
                <w:sz w:val="12"/>
                <w:szCs w:val="12"/>
                <w:color w:val="auto"/>
              </w:rPr>
            </w:pPr>
          </w:p>
        </w:tc>
        <w:tc>
          <w:tcPr>
            <w:tcW w:w="82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25,385</w:t>
            </w:r>
          </w:p>
        </w:tc>
        <w:tc>
          <w:tcPr>
            <w:tcW w:w="80" w:type="dxa"/>
            <w:vAlign w:val="bottom"/>
            <w:shd w:val="clear" w:color="auto" w:fill="F0FFFF"/>
          </w:tcPr>
          <w:p>
            <w:pPr>
              <w:spacing w:after="0"/>
              <w:rPr>
                <w:sz w:val="12"/>
                <w:szCs w:val="12"/>
                <w:color w:val="auto"/>
              </w:rPr>
            </w:pPr>
          </w:p>
        </w:tc>
        <w:tc>
          <w:tcPr>
            <w:tcW w:w="920" w:type="dxa"/>
            <w:vAlign w:val="bottom"/>
            <w:gridSpan w:val="2"/>
            <w:shd w:val="clear" w:color="auto" w:fill="F0FFFF"/>
          </w:tcPr>
          <w:p>
            <w:pPr>
              <w:jc w:val="right"/>
              <w:ind w:right="188"/>
              <w:spacing w:after="0" w:line="149" w:lineRule="exact"/>
              <w:rPr>
                <w:sz w:val="20"/>
                <w:szCs w:val="20"/>
                <w:color w:val="auto"/>
              </w:rPr>
            </w:pPr>
            <w:r>
              <w:rPr>
                <w:rFonts w:ascii="Arial" w:cs="Arial" w:eastAsia="Arial" w:hAnsi="Arial"/>
                <w:sz w:val="14"/>
                <w:szCs w:val="14"/>
                <w:color w:val="auto"/>
              </w:rPr>
              <w:t>(26,449)</w:t>
            </w:r>
          </w:p>
        </w:tc>
        <w:tc>
          <w:tcPr>
            <w:tcW w:w="680" w:type="dxa"/>
            <w:vAlign w:val="bottom"/>
            <w:shd w:val="clear" w:color="auto" w:fill="F0FFFF"/>
          </w:tcPr>
          <w:p>
            <w:pPr>
              <w:spacing w:after="0"/>
              <w:rPr>
                <w:sz w:val="12"/>
                <w:szCs w:val="12"/>
                <w:color w:val="auto"/>
              </w:rPr>
            </w:pPr>
          </w:p>
        </w:tc>
        <w:tc>
          <w:tcPr>
            <w:tcW w:w="24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8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51,156</w:t>
            </w:r>
          </w:p>
        </w:tc>
        <w:tc>
          <w:tcPr>
            <w:tcW w:w="14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180"/>
              <w:spacing w:after="0" w:line="149" w:lineRule="exact"/>
              <w:rPr>
                <w:sz w:val="20"/>
                <w:szCs w:val="20"/>
                <w:color w:val="auto"/>
              </w:rPr>
            </w:pPr>
            <w:r>
              <w:rPr>
                <w:rFonts w:ascii="Arial" w:cs="Arial" w:eastAsia="Arial" w:hAnsi="Arial"/>
                <w:sz w:val="14"/>
                <w:szCs w:val="14"/>
                <w:color w:val="auto"/>
              </w:rPr>
              <w:t>(13,734)</w:t>
            </w: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Income tax expense (benefit)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10,004</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9,395</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8,873</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9,885</w:t>
            </w:r>
          </w:p>
        </w:tc>
        <w:tc>
          <w:tcPr>
            <w:tcW w:w="80" w:type="dxa"/>
            <w:vAlign w:val="bottom"/>
          </w:tcPr>
          <w:p>
            <w:pPr>
              <w:spacing w:after="0"/>
              <w:rPr>
                <w:sz w:val="12"/>
                <w:szCs w:val="12"/>
                <w:color w:val="auto"/>
              </w:rPr>
            </w:pPr>
          </w:p>
        </w:tc>
        <w:tc>
          <w:tcPr>
            <w:tcW w:w="92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(256,413)</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19,399</w:t>
            </w:r>
          </w:p>
        </w:tc>
        <w:tc>
          <w:tcPr>
            <w:tcW w:w="14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3"/>
              </w:rPr>
              <w:t>(255,463)</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F0FFFF"/>
          </w:tcPr>
          <w:p>
            <w:pPr>
              <w:ind w:left="160"/>
              <w:spacing w:after="0" w:line="149" w:lineRule="exact"/>
              <w:rPr>
                <w:sz w:val="20"/>
                <w:szCs w:val="20"/>
                <w:color w:val="auto"/>
              </w:rPr>
            </w:pPr>
            <w:r>
              <w:rPr>
                <w:rFonts w:ascii="Arial" w:cs="Arial" w:eastAsia="Arial" w:hAnsi="Arial"/>
                <w:sz w:val="14"/>
                <w:szCs w:val="14"/>
                <w:b w:val="1"/>
                <w:bCs w:val="1"/>
                <w:color w:val="auto"/>
              </w:rPr>
              <w:t>Net income</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4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16,357</w:t>
            </w: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15,400</w:t>
            </w: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15,911</w:t>
            </w:r>
          </w:p>
        </w:tc>
        <w:tc>
          <w:tcPr>
            <w:tcW w:w="80" w:type="dxa"/>
            <w:vAlign w:val="bottom"/>
            <w:shd w:val="clear" w:color="auto" w:fill="F0FFFF"/>
          </w:tcPr>
          <w:p>
            <w:pPr>
              <w:spacing w:after="0"/>
              <w:rPr>
                <w:sz w:val="12"/>
                <w:szCs w:val="12"/>
                <w:color w:val="auto"/>
              </w:rPr>
            </w:pPr>
          </w:p>
        </w:tc>
        <w:tc>
          <w:tcPr>
            <w:tcW w:w="82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15,500</w:t>
            </w: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229,964</w:t>
            </w:r>
          </w:p>
        </w:tc>
        <w:tc>
          <w:tcPr>
            <w:tcW w:w="320" w:type="dxa"/>
            <w:vAlign w:val="bottom"/>
            <w:tcBorders>
              <w:left w:val="single" w:sz="8" w:color="F0FFFF"/>
            </w:tcBorders>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4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8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31,757</w:t>
            </w:r>
          </w:p>
        </w:tc>
        <w:tc>
          <w:tcPr>
            <w:tcW w:w="14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241,729</w:t>
            </w: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color w:val="auto"/>
              </w:rPr>
              <w:t>Preferred dividends and discount accretion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439</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2,912</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3,059</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3,055</w:t>
            </w: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439</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6,107</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160" w:type="dxa"/>
            <w:vAlign w:val="bottom"/>
            <w:shd w:val="clear" w:color="auto" w:fill="F0FFFF"/>
          </w:tcPr>
          <w:p>
            <w:pPr>
              <w:spacing w:after="0" w:line="149" w:lineRule="exact"/>
              <w:rPr>
                <w:sz w:val="20"/>
                <w:szCs w:val="20"/>
                <w:color w:val="auto"/>
              </w:rPr>
            </w:pPr>
            <w:r>
              <w:rPr>
                <w:rFonts w:ascii="Arial" w:cs="Arial" w:eastAsia="Arial" w:hAnsi="Arial"/>
                <w:sz w:val="14"/>
                <w:szCs w:val="14"/>
                <w:b w:val="1"/>
                <w:bCs w:val="1"/>
                <w:color w:val="auto"/>
              </w:rPr>
              <w:t>Net income available to common shareholders</w:t>
            </w:r>
          </w:p>
        </w:tc>
        <w:tc>
          <w:tcPr>
            <w:tcW w:w="100" w:type="dxa"/>
            <w:vAlign w:val="bottom"/>
            <w:shd w:val="clear" w:color="auto" w:fill="F0FFFF"/>
          </w:tcPr>
          <w:p>
            <w:pPr>
              <w:spacing w:after="0"/>
              <w:rPr>
                <w:sz w:val="16"/>
                <w:szCs w:val="16"/>
                <w:color w:val="auto"/>
              </w:rPr>
            </w:pPr>
          </w:p>
        </w:tc>
        <w:tc>
          <w:tcPr>
            <w:tcW w:w="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16,357</w:t>
            </w:r>
          </w:p>
        </w:tc>
        <w:tc>
          <w:tcPr>
            <w:tcW w:w="80" w:type="dxa"/>
            <w:vAlign w:val="bottom"/>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14,961</w:t>
            </w:r>
          </w:p>
        </w:tc>
        <w:tc>
          <w:tcPr>
            <w:tcW w:w="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12,999</w:t>
            </w:r>
          </w:p>
        </w:tc>
        <w:tc>
          <w:tcPr>
            <w:tcW w:w="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12,441</w:t>
            </w:r>
          </w:p>
        </w:tc>
        <w:tc>
          <w:tcPr>
            <w:tcW w:w="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226,909</w:t>
            </w:r>
          </w:p>
        </w:tc>
        <w:tc>
          <w:tcPr>
            <w:tcW w:w="320" w:type="dxa"/>
            <w:vAlign w:val="bottom"/>
            <w:tcBorders>
              <w:left w:val="single" w:sz="8" w:color="F0FFFF"/>
            </w:tcBorders>
            <w:shd w:val="clear" w:color="auto" w:fill="F0FFFF"/>
          </w:tcPr>
          <w:p>
            <w:pPr>
              <w:spacing w:after="0"/>
              <w:rPr>
                <w:sz w:val="16"/>
                <w:szCs w:val="16"/>
                <w:color w:val="auto"/>
              </w:rPr>
            </w:pPr>
          </w:p>
        </w:tc>
        <w:tc>
          <w:tcPr>
            <w:tcW w:w="680" w:type="dxa"/>
            <w:vAlign w:val="bottom"/>
            <w:shd w:val="clear" w:color="auto" w:fill="F0FFFF"/>
          </w:tcPr>
          <w:p>
            <w:pPr>
              <w:spacing w:after="0"/>
              <w:rPr>
                <w:sz w:val="16"/>
                <w:szCs w:val="16"/>
                <w:color w:val="auto"/>
              </w:rPr>
            </w:pPr>
          </w:p>
        </w:tc>
        <w:tc>
          <w:tcPr>
            <w:tcW w:w="240" w:type="dxa"/>
            <w:vAlign w:val="bottom"/>
            <w:tcBorders>
              <w:right w:val="single" w:sz="8" w:color="F0FFFF"/>
            </w:tcBorders>
            <w:shd w:val="clear" w:color="auto" w:fill="F0FFFF"/>
          </w:tcPr>
          <w:p>
            <w:pPr>
              <w:spacing w:after="0"/>
              <w:rPr>
                <w:sz w:val="16"/>
                <w:szCs w:val="16"/>
                <w:color w:val="auto"/>
              </w:rPr>
            </w:pPr>
          </w:p>
        </w:tc>
        <w:tc>
          <w:tcPr>
            <w:tcW w:w="120" w:type="dxa"/>
            <w:vAlign w:val="bottom"/>
            <w:shd w:val="clear" w:color="auto" w:fill="F0FFFF"/>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31,318</w:t>
            </w:r>
          </w:p>
        </w:tc>
        <w:tc>
          <w:tcPr>
            <w:tcW w:w="14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235,622</w:t>
            </w:r>
          </w:p>
        </w:tc>
        <w:tc>
          <w:tcPr>
            <w:tcW w:w="6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160" w:type="dxa"/>
            <w:vAlign w:val="bottom"/>
            <w:tcBorders>
              <w:top w:val="single" w:sz="8" w:color="F0FFFF"/>
            </w:tcBorders>
          </w:tcPr>
          <w:p>
            <w:pPr>
              <w:spacing w:after="0"/>
              <w:rPr>
                <w:sz w:val="12"/>
                <w:szCs w:val="12"/>
                <w:color w:val="auto"/>
              </w:rPr>
            </w:pPr>
          </w:p>
        </w:tc>
        <w:tc>
          <w:tcPr>
            <w:tcW w:w="100" w:type="dxa"/>
            <w:vAlign w:val="bottom"/>
            <w:tcBorders>
              <w:top w:val="single" w:sz="8" w:color="F0FF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Borders>
              <w:top w:val="single" w:sz="8" w:color="F0FF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40" w:type="dxa"/>
            <w:vAlign w:val="bottom"/>
            <w:tcBorders>
              <w:top w:val="single" w:sz="8" w:color="F0FF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Borders>
              <w:top w:val="single" w:sz="8" w:color="F0FF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Borders>
              <w:top w:val="single" w:sz="8" w:color="F0FF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20" w:type="dxa"/>
            <w:vAlign w:val="bottom"/>
            <w:tcBorders>
              <w:top w:val="single" w:sz="8" w:color="F0FFFF"/>
            </w:tcBorders>
          </w:tcPr>
          <w:p>
            <w:pPr>
              <w:spacing w:after="0"/>
              <w:rPr>
                <w:sz w:val="12"/>
                <w:szCs w:val="12"/>
                <w:color w:val="auto"/>
              </w:rPr>
            </w:pPr>
          </w:p>
        </w:tc>
        <w:tc>
          <w:tcPr>
            <w:tcW w:w="680" w:type="dxa"/>
            <w:vAlign w:val="bottom"/>
            <w:tcBorders>
              <w:top w:val="single" w:sz="8" w:color="F0FFFF"/>
            </w:tcBorders>
          </w:tcPr>
          <w:p>
            <w:pPr>
              <w:spacing w:after="0"/>
              <w:rPr>
                <w:sz w:val="12"/>
                <w:szCs w:val="12"/>
                <w:color w:val="auto"/>
              </w:rPr>
            </w:pPr>
          </w:p>
        </w:tc>
        <w:tc>
          <w:tcPr>
            <w:tcW w:w="240" w:type="dxa"/>
            <w:vAlign w:val="bottom"/>
            <w:tcBorders>
              <w:top w:val="single" w:sz="8" w:color="F0FF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40" w:type="dxa"/>
            <w:vAlign w:val="bottom"/>
            <w:tcBorders>
              <w:top w:val="single" w:sz="8" w:color="F0FF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Borders>
              <w:top w:val="single" w:sz="8" w:color="F0FFFF"/>
            </w:tcBorders>
          </w:tcPr>
          <w:p>
            <w:pPr>
              <w:spacing w:after="0"/>
              <w:rPr>
                <w:sz w:val="12"/>
                <w:szCs w:val="12"/>
                <w:color w:val="auto"/>
              </w:rPr>
            </w:pPr>
          </w:p>
        </w:tc>
        <w:tc>
          <w:tcPr>
            <w:tcW w:w="680" w:type="dxa"/>
            <w:vAlign w:val="bottom"/>
            <w:tcBorders>
              <w:top w:val="single" w:sz="8" w:color="F0FFFF"/>
            </w:tcBorders>
          </w:tcPr>
          <w:p>
            <w:pPr>
              <w:spacing w:after="0"/>
              <w:rPr>
                <w:sz w:val="12"/>
                <w:szCs w:val="12"/>
                <w:color w:val="auto"/>
              </w:rPr>
            </w:pPr>
          </w:p>
        </w:tc>
        <w:tc>
          <w:tcPr>
            <w:tcW w:w="120" w:type="dxa"/>
            <w:vAlign w:val="bottom"/>
            <w:tcBorders>
              <w:top w:val="single" w:sz="8" w:color="F0FFF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60" w:type="dxa"/>
            <w:vAlign w:val="bottom"/>
            <w:shd w:val="clear" w:color="auto" w:fill="F0FFFF"/>
          </w:tcPr>
          <w:p>
            <w:pPr>
              <w:spacing w:after="0" w:line="149" w:lineRule="exact"/>
              <w:rPr>
                <w:sz w:val="20"/>
                <w:szCs w:val="20"/>
                <w:color w:val="auto"/>
              </w:rPr>
            </w:pPr>
            <w:r>
              <w:rPr>
                <w:rFonts w:ascii="Arial" w:cs="Arial" w:eastAsia="Arial" w:hAnsi="Arial"/>
                <w:sz w:val="14"/>
                <w:szCs w:val="14"/>
                <w:b w:val="1"/>
                <w:bCs w:val="1"/>
                <w:color w:val="auto"/>
              </w:rPr>
              <w:t>PERFORMANCE MEASURES</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240" w:type="dxa"/>
            <w:vAlign w:val="bottom"/>
            <w:tcBorders>
              <w:righ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220" w:type="dxa"/>
            <w:vAlign w:val="bottom"/>
            <w:tcBorders>
              <w:righ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320" w:type="dxa"/>
            <w:vAlign w:val="bottom"/>
            <w:tcBorders>
              <w:left w:val="single" w:sz="8" w:color="F0FFFF"/>
            </w:tcBorders>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4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240" w:type="dxa"/>
            <w:vAlign w:val="bottom"/>
            <w:tcBorders>
              <w:right w:val="single" w:sz="8" w:color="F0FFFF"/>
            </w:tcBorders>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ind w:left="60"/>
              <w:spacing w:after="0" w:line="149" w:lineRule="exact"/>
              <w:rPr>
                <w:sz w:val="20"/>
                <w:szCs w:val="20"/>
                <w:color w:val="auto"/>
              </w:rPr>
            </w:pPr>
            <w:r>
              <w:rPr>
                <w:rFonts w:ascii="Arial" w:cs="Arial" w:eastAsia="Arial" w:hAnsi="Arial"/>
                <w:sz w:val="14"/>
                <w:szCs w:val="14"/>
                <w:color w:val="auto"/>
              </w:rPr>
              <w:t>Per common share: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F0FFFF"/>
          </w:tcPr>
          <w:p>
            <w:pPr>
              <w:ind w:left="140"/>
              <w:spacing w:after="0" w:line="149" w:lineRule="exact"/>
              <w:rPr>
                <w:sz w:val="20"/>
                <w:szCs w:val="20"/>
                <w:color w:val="auto"/>
              </w:rPr>
            </w:pPr>
            <w:r>
              <w:rPr>
                <w:rFonts w:ascii="Arial" w:cs="Arial" w:eastAsia="Arial" w:hAnsi="Arial"/>
                <w:sz w:val="14"/>
                <w:szCs w:val="14"/>
                <w:color w:val="auto"/>
              </w:rPr>
              <w:t>Diluted income</w:t>
            </w:r>
          </w:p>
        </w:tc>
        <w:tc>
          <w:tcPr>
            <w:tcW w:w="180" w:type="dxa"/>
            <w:vAlign w:val="bottom"/>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.27</w:t>
            </w:r>
          </w:p>
        </w:tc>
        <w:tc>
          <w:tcPr>
            <w:tcW w:w="80" w:type="dxa"/>
            <w:vAlign w:val="bottom"/>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.25</w:t>
            </w:r>
          </w:p>
        </w:tc>
        <w:tc>
          <w:tcPr>
            <w:tcW w:w="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.22</w:t>
            </w:r>
          </w:p>
        </w:tc>
        <w:tc>
          <w:tcPr>
            <w:tcW w:w="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.21</w:t>
            </w:r>
          </w:p>
        </w:tc>
        <w:tc>
          <w:tcPr>
            <w:tcW w:w="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3.90</w:t>
            </w:r>
          </w:p>
        </w:tc>
        <w:tc>
          <w:tcPr>
            <w:tcW w:w="320" w:type="dxa"/>
            <w:vAlign w:val="bottom"/>
            <w:tcBorders>
              <w:left w:val="single" w:sz="8" w:color="F0FFFF"/>
            </w:tcBorders>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4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.52</w:t>
            </w:r>
          </w:p>
        </w:tc>
        <w:tc>
          <w:tcPr>
            <w:tcW w:w="14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4.05</w:t>
            </w: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ind w:left="140"/>
              <w:spacing w:after="0" w:line="149" w:lineRule="exact"/>
              <w:rPr>
                <w:sz w:val="20"/>
                <w:szCs w:val="20"/>
                <w:color w:val="auto"/>
              </w:rPr>
            </w:pPr>
            <w:r>
              <w:rPr>
                <w:rFonts w:ascii="Arial" w:cs="Arial" w:eastAsia="Arial" w:hAnsi="Arial"/>
                <w:sz w:val="14"/>
                <w:szCs w:val="14"/>
                <w:color w:val="auto"/>
              </w:rPr>
              <w:t>Book value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11.94</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11.66</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11.30</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10.99</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10.90</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11.94</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10.90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F0FFFF"/>
          </w:tcPr>
          <w:p>
            <w:pPr>
              <w:ind w:left="120"/>
              <w:spacing w:after="0" w:line="149" w:lineRule="exact"/>
              <w:rPr>
                <w:sz w:val="20"/>
                <w:szCs w:val="20"/>
                <w:color w:val="auto"/>
              </w:rPr>
            </w:pPr>
            <w:r>
              <w:rPr>
                <w:rFonts w:ascii="Arial" w:cs="Arial" w:eastAsia="Arial" w:hAnsi="Arial"/>
                <w:sz w:val="14"/>
                <w:szCs w:val="14"/>
                <w:color w:val="auto"/>
              </w:rPr>
              <w:t xml:space="preserve">Tangible book value </w:t>
            </w:r>
            <w:r>
              <w:rPr>
                <w:rFonts w:ascii="Arial" w:cs="Arial" w:eastAsia="Arial" w:hAnsi="Arial"/>
                <w:sz w:val="10"/>
                <w:szCs w:val="10"/>
                <w:color w:val="auto"/>
              </w:rPr>
              <w:t>(2)</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4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11.91</w:t>
            </w: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11.63</w:t>
            </w: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11.26</w:t>
            </w:r>
          </w:p>
        </w:tc>
        <w:tc>
          <w:tcPr>
            <w:tcW w:w="80" w:type="dxa"/>
            <w:vAlign w:val="bottom"/>
            <w:shd w:val="clear" w:color="auto" w:fill="F0FFFF"/>
          </w:tcPr>
          <w:p>
            <w:pPr>
              <w:spacing w:after="0"/>
              <w:rPr>
                <w:sz w:val="12"/>
                <w:szCs w:val="12"/>
                <w:color w:val="auto"/>
              </w:rPr>
            </w:pPr>
          </w:p>
        </w:tc>
        <w:tc>
          <w:tcPr>
            <w:tcW w:w="82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10.95</w:t>
            </w: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10.82</w:t>
            </w:r>
          </w:p>
        </w:tc>
        <w:tc>
          <w:tcPr>
            <w:tcW w:w="1000" w:type="dxa"/>
            <w:vAlign w:val="bottom"/>
            <w:tcBorders>
              <w:left w:val="single" w:sz="8" w:color="F0FFFF"/>
            </w:tcBorders>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10</w:t>
            </w:r>
          </w:p>
        </w:tc>
        <w:tc>
          <w:tcPr>
            <w:tcW w:w="24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8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11.91</w:t>
            </w:r>
          </w:p>
        </w:tc>
        <w:tc>
          <w:tcPr>
            <w:tcW w:w="14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10.82</w:t>
            </w:r>
          </w:p>
        </w:tc>
        <w:tc>
          <w:tcPr>
            <w:tcW w:w="6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10</w:t>
            </w: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F0FFFF"/>
          </w:tcPr>
          <w:p>
            <w:pPr>
              <w:ind w:left="60"/>
              <w:spacing w:after="0" w:line="149" w:lineRule="exact"/>
              <w:rPr>
                <w:sz w:val="20"/>
                <w:szCs w:val="20"/>
                <w:color w:val="auto"/>
              </w:rPr>
            </w:pPr>
            <w:r>
              <w:rPr>
                <w:rFonts w:ascii="Arial" w:cs="Arial" w:eastAsia="Arial" w:hAnsi="Arial"/>
                <w:sz w:val="14"/>
                <w:szCs w:val="14"/>
                <w:color w:val="auto"/>
              </w:rPr>
              <w:t>Key performance ratios:</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240" w:type="dxa"/>
            <w:vAlign w:val="bottom"/>
            <w:tcBorders>
              <w:righ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220" w:type="dxa"/>
            <w:vAlign w:val="bottom"/>
            <w:tcBorders>
              <w:righ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320" w:type="dxa"/>
            <w:vAlign w:val="bottom"/>
            <w:tcBorders>
              <w:left w:val="single" w:sz="8" w:color="F0FFFF"/>
            </w:tcBorders>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4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240" w:type="dxa"/>
            <w:vAlign w:val="bottom"/>
            <w:tcBorders>
              <w:right w:val="single" w:sz="8" w:color="F0FFFF"/>
            </w:tcBorders>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ind w:left="140"/>
              <w:spacing w:after="0" w:line="149" w:lineRule="exact"/>
              <w:rPr>
                <w:sz w:val="20"/>
                <w:szCs w:val="20"/>
                <w:color w:val="auto"/>
              </w:rPr>
            </w:pPr>
            <w:r>
              <w:rPr>
                <w:rFonts w:ascii="Arial" w:cs="Arial" w:eastAsia="Arial" w:hAnsi="Arial"/>
                <w:sz w:val="14"/>
                <w:szCs w:val="14"/>
                <w:color w:val="auto"/>
              </w:rPr>
              <w:t xml:space="preserve">Return on common equity </w:t>
            </w:r>
            <w:r>
              <w:rPr>
                <w:rFonts w:ascii="Arial" w:cs="Arial" w:eastAsia="Arial" w:hAnsi="Arial"/>
                <w:sz w:val="10"/>
                <w:szCs w:val="10"/>
                <w:color w:val="auto"/>
              </w:rPr>
              <w:t>(1)(3)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8.99%</w:t>
            </w:r>
          </w:p>
        </w:tc>
        <w:tc>
          <w:tcPr>
            <w:tcW w:w="8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8.64%</w:t>
            </w: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7.52%</w:t>
            </w: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7.38%</w:t>
            </w:r>
          </w:p>
        </w:tc>
        <w:tc>
          <w:tcPr>
            <w:tcW w:w="80" w:type="dxa"/>
            <w:vAlign w:val="bottom"/>
          </w:tcPr>
          <w:p>
            <w:pPr>
              <w:spacing w:after="0"/>
              <w:rPr>
                <w:sz w:val="12"/>
                <w:szCs w:val="12"/>
                <w:color w:val="auto"/>
              </w:rPr>
            </w:pPr>
          </w:p>
        </w:tc>
        <w:tc>
          <w:tcPr>
            <w:tcW w:w="92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197.22%</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8.82%</w:t>
            </w:r>
          </w:p>
        </w:tc>
        <w:tc>
          <w:tcPr>
            <w:tcW w:w="14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108.34%</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F0FFFF"/>
          </w:tcPr>
          <w:p>
            <w:pPr>
              <w:ind w:left="140"/>
              <w:spacing w:after="0" w:line="149" w:lineRule="exact"/>
              <w:rPr>
                <w:sz w:val="20"/>
                <w:szCs w:val="20"/>
                <w:color w:val="auto"/>
              </w:rPr>
            </w:pPr>
            <w:r>
              <w:rPr>
                <w:rFonts w:ascii="Arial" w:cs="Arial" w:eastAsia="Arial" w:hAnsi="Arial"/>
                <w:sz w:val="14"/>
                <w:szCs w:val="14"/>
                <w:color w:val="auto"/>
              </w:rPr>
              <w:t xml:space="preserve">Return on assets </w:t>
            </w:r>
            <w:r>
              <w:rPr>
                <w:rFonts w:ascii="Arial" w:cs="Arial" w:eastAsia="Arial" w:hAnsi="Arial"/>
                <w:sz w:val="10"/>
                <w:szCs w:val="10"/>
                <w:color w:val="auto"/>
              </w:rPr>
              <w:t>(3)</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4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.88</w:t>
            </w: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.85</w:t>
            </w: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.86</w:t>
            </w:r>
          </w:p>
        </w:tc>
        <w:tc>
          <w:tcPr>
            <w:tcW w:w="80" w:type="dxa"/>
            <w:vAlign w:val="bottom"/>
            <w:shd w:val="clear" w:color="auto" w:fill="F0FFFF"/>
          </w:tcPr>
          <w:p>
            <w:pPr>
              <w:spacing w:after="0"/>
              <w:rPr>
                <w:sz w:val="12"/>
                <w:szCs w:val="12"/>
                <w:color w:val="auto"/>
              </w:rPr>
            </w:pPr>
          </w:p>
        </w:tc>
        <w:tc>
          <w:tcPr>
            <w:tcW w:w="82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.86</w:t>
            </w: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13.34</w:t>
            </w:r>
          </w:p>
        </w:tc>
        <w:tc>
          <w:tcPr>
            <w:tcW w:w="320" w:type="dxa"/>
            <w:vAlign w:val="bottom"/>
            <w:tcBorders>
              <w:left w:val="single" w:sz="8" w:color="F0FFFF"/>
            </w:tcBorders>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4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8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.87</w:t>
            </w:r>
          </w:p>
        </w:tc>
        <w:tc>
          <w:tcPr>
            <w:tcW w:w="14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7.09</w:t>
            </w: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ind w:left="140"/>
              <w:spacing w:after="0" w:line="149" w:lineRule="exact"/>
              <w:rPr>
                <w:sz w:val="20"/>
                <w:szCs w:val="20"/>
                <w:color w:val="auto"/>
              </w:rPr>
            </w:pPr>
            <w:r>
              <w:rPr>
                <w:rFonts w:ascii="Arial" w:cs="Arial" w:eastAsia="Arial" w:hAnsi="Arial"/>
                <w:sz w:val="14"/>
                <w:szCs w:val="14"/>
                <w:color w:val="auto"/>
              </w:rPr>
              <w:t xml:space="preserve">Net interest margin </w:t>
            </w:r>
            <w:r>
              <w:rPr>
                <w:rFonts w:ascii="Arial" w:cs="Arial" w:eastAsia="Arial" w:hAnsi="Arial"/>
                <w:sz w:val="10"/>
                <w:szCs w:val="10"/>
                <w:color w:val="auto"/>
              </w:rPr>
              <w:t>(3)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3.21</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3.21</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3.26</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3.26</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3.33</w:t>
            </w: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3.21</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3.35</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F0FFFF"/>
          </w:tcPr>
          <w:p>
            <w:pPr>
              <w:ind w:left="140"/>
              <w:spacing w:after="0" w:line="149" w:lineRule="exact"/>
              <w:rPr>
                <w:sz w:val="20"/>
                <w:szCs w:val="20"/>
                <w:color w:val="auto"/>
              </w:rPr>
            </w:pPr>
            <w:r>
              <w:rPr>
                <w:rFonts w:ascii="Arial" w:cs="Arial" w:eastAsia="Arial" w:hAnsi="Arial"/>
                <w:sz w:val="14"/>
                <w:szCs w:val="14"/>
                <w:color w:val="auto"/>
              </w:rPr>
              <w:t>Efficiency ratio</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4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58.65</w:t>
            </w: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59.05</w:t>
            </w: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60.02</w:t>
            </w:r>
          </w:p>
        </w:tc>
        <w:tc>
          <w:tcPr>
            <w:tcW w:w="80" w:type="dxa"/>
            <w:vAlign w:val="bottom"/>
            <w:shd w:val="clear" w:color="auto" w:fill="F0FFFF"/>
          </w:tcPr>
          <w:p>
            <w:pPr>
              <w:spacing w:after="0"/>
              <w:rPr>
                <w:sz w:val="12"/>
                <w:szCs w:val="12"/>
                <w:color w:val="auto"/>
              </w:rPr>
            </w:pPr>
          </w:p>
        </w:tc>
        <w:tc>
          <w:tcPr>
            <w:tcW w:w="82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58.55</w:t>
            </w: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68.89</w:t>
            </w:r>
          </w:p>
        </w:tc>
        <w:tc>
          <w:tcPr>
            <w:tcW w:w="320" w:type="dxa"/>
            <w:vAlign w:val="bottom"/>
            <w:tcBorders>
              <w:left w:val="single" w:sz="8" w:color="F0FFFF"/>
            </w:tcBorders>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4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8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58.85</w:t>
            </w:r>
          </w:p>
        </w:tc>
        <w:tc>
          <w:tcPr>
            <w:tcW w:w="14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66.98</w:t>
            </w: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40"/>
              <w:spacing w:after="0"/>
              <w:rPr>
                <w:sz w:val="20"/>
                <w:szCs w:val="20"/>
                <w:color w:val="auto"/>
              </w:rPr>
            </w:pPr>
            <w:r>
              <w:rPr>
                <w:rFonts w:ascii="Arial" w:cs="Arial" w:eastAsia="Arial" w:hAnsi="Arial"/>
                <w:sz w:val="14"/>
                <w:szCs w:val="14"/>
                <w:color w:val="auto"/>
              </w:rPr>
              <w:t>Equity to assets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9.61</w:t>
            </w: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9.52</w:t>
            </w: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11.62</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11.80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11.57</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9.56</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8.90</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F0FFFF"/>
          </w:tcPr>
          <w:p>
            <w:pPr>
              <w:ind w:left="120"/>
              <w:spacing w:after="0"/>
              <w:rPr>
                <w:sz w:val="20"/>
                <w:szCs w:val="20"/>
                <w:color w:val="auto"/>
              </w:rPr>
            </w:pPr>
            <w:r>
              <w:rPr>
                <w:rFonts w:ascii="Arial" w:cs="Arial" w:eastAsia="Arial" w:hAnsi="Arial"/>
                <w:sz w:val="14"/>
                <w:szCs w:val="14"/>
                <w:color w:val="auto"/>
              </w:rPr>
              <w:t xml:space="preserve">Tangible equity to assets </w:t>
            </w:r>
            <w:r>
              <w:rPr>
                <w:rFonts w:ascii="Arial" w:cs="Arial" w:eastAsia="Arial" w:hAnsi="Arial"/>
                <w:sz w:val="10"/>
                <w:szCs w:val="10"/>
                <w:color w:val="auto"/>
              </w:rPr>
              <w:t>(2)</w:t>
            </w: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4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9.58</w:t>
            </w:r>
          </w:p>
        </w:tc>
        <w:tc>
          <w:tcPr>
            <w:tcW w:w="8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9.50</w:t>
            </w:r>
          </w:p>
        </w:tc>
        <w:tc>
          <w:tcPr>
            <w:tcW w:w="8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11.59</w:t>
            </w:r>
          </w:p>
        </w:tc>
        <w:tc>
          <w:tcPr>
            <w:tcW w:w="80" w:type="dxa"/>
            <w:vAlign w:val="bottom"/>
            <w:shd w:val="clear" w:color="auto" w:fill="F0FFFF"/>
          </w:tcPr>
          <w:p>
            <w:pPr>
              <w:spacing w:after="0"/>
              <w:rPr>
                <w:sz w:val="18"/>
                <w:szCs w:val="18"/>
                <w:color w:val="auto"/>
              </w:rPr>
            </w:pPr>
          </w:p>
        </w:tc>
        <w:tc>
          <w:tcPr>
            <w:tcW w:w="6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11.76</w:t>
            </w:r>
          </w:p>
        </w:tc>
        <w:tc>
          <w:tcPr>
            <w:tcW w:w="220" w:type="dxa"/>
            <w:vAlign w:val="bottom"/>
            <w:tcBorders>
              <w:right w:val="single" w:sz="8" w:color="F0FFFF"/>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600" w:type="dxa"/>
            <w:vAlign w:val="bottom"/>
            <w:shd w:val="clear" w:color="auto" w:fill="F0FFFF"/>
          </w:tcPr>
          <w:p>
            <w:pPr>
              <w:jc w:val="right"/>
              <w:spacing w:after="0"/>
              <w:rPr>
                <w:sz w:val="20"/>
                <w:szCs w:val="20"/>
                <w:color w:val="auto"/>
              </w:rPr>
            </w:pPr>
            <w:r>
              <w:rPr>
                <w:rFonts w:ascii="Arial" w:cs="Arial" w:eastAsia="Arial" w:hAnsi="Arial"/>
                <w:sz w:val="14"/>
                <w:szCs w:val="14"/>
                <w:color w:val="auto"/>
              </w:rPr>
              <w:t>11.53</w:t>
            </w:r>
          </w:p>
        </w:tc>
        <w:tc>
          <w:tcPr>
            <w:tcW w:w="320" w:type="dxa"/>
            <w:vAlign w:val="bottom"/>
            <w:tcBorders>
              <w:left w:val="single" w:sz="8" w:color="F0FFFF"/>
            </w:tcBorders>
            <w:shd w:val="clear" w:color="auto" w:fill="F0FFFF"/>
          </w:tcPr>
          <w:p>
            <w:pPr>
              <w:jc w:val="right"/>
              <w:ind w:right="48"/>
              <w:spacing w:after="0"/>
              <w:rPr>
                <w:sz w:val="20"/>
                <w:szCs w:val="20"/>
                <w:color w:val="auto"/>
              </w:rPr>
            </w:pPr>
            <w:r>
              <w:rPr>
                <w:rFonts w:ascii="Arial" w:cs="Arial" w:eastAsia="Arial" w:hAnsi="Arial"/>
                <w:sz w:val="14"/>
                <w:szCs w:val="14"/>
                <w:color w:val="auto"/>
              </w:rPr>
              <w:t>(4)</w:t>
            </w:r>
          </w:p>
        </w:tc>
        <w:tc>
          <w:tcPr>
            <w:tcW w:w="680" w:type="dxa"/>
            <w:vAlign w:val="bottom"/>
            <w:shd w:val="clear" w:color="auto" w:fill="F0FFFF"/>
          </w:tcPr>
          <w:p>
            <w:pPr>
              <w:spacing w:after="0"/>
              <w:rPr>
                <w:sz w:val="18"/>
                <w:szCs w:val="18"/>
                <w:color w:val="auto"/>
              </w:rPr>
            </w:pPr>
          </w:p>
        </w:tc>
        <w:tc>
          <w:tcPr>
            <w:tcW w:w="240" w:type="dxa"/>
            <w:vAlign w:val="bottom"/>
            <w:tcBorders>
              <w:right w:val="single" w:sz="8" w:color="F0FFFF"/>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8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4"/>
                <w:szCs w:val="14"/>
                <w:color w:val="auto"/>
              </w:rPr>
              <w:t>9.54</w:t>
            </w:r>
          </w:p>
        </w:tc>
        <w:tc>
          <w:tcPr>
            <w:tcW w:w="14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ind w:right="220"/>
              <w:spacing w:after="0"/>
              <w:rPr>
                <w:sz w:val="20"/>
                <w:szCs w:val="20"/>
                <w:color w:val="auto"/>
              </w:rPr>
            </w:pPr>
            <w:r>
              <w:rPr>
                <w:rFonts w:ascii="Arial" w:cs="Arial" w:eastAsia="Arial" w:hAnsi="Arial"/>
                <w:sz w:val="14"/>
                <w:szCs w:val="14"/>
                <w:color w:val="auto"/>
              </w:rPr>
              <w:t>8.83</w:t>
            </w:r>
          </w:p>
        </w:tc>
        <w:tc>
          <w:tcPr>
            <w:tcW w:w="6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20"/>
              <w:spacing w:after="0"/>
              <w:rPr>
                <w:sz w:val="20"/>
                <w:szCs w:val="20"/>
                <w:color w:val="auto"/>
              </w:rPr>
            </w:pPr>
            <w:r>
              <w:rPr>
                <w:rFonts w:ascii="Arial" w:cs="Arial" w:eastAsia="Arial" w:hAnsi="Arial"/>
                <w:sz w:val="14"/>
                <w:szCs w:val="14"/>
                <w:color w:val="auto"/>
              </w:rPr>
              <w:t xml:space="preserve">Tangible common equity to assets </w:t>
            </w:r>
            <w:r>
              <w:rPr>
                <w:rFonts w:ascii="Arial" w:cs="Arial" w:eastAsia="Arial" w:hAnsi="Arial"/>
                <w:sz w:val="10"/>
                <w:szCs w:val="10"/>
                <w:color w:val="auto"/>
              </w:rPr>
              <w:t>(2)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9.58</w:t>
            </w: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9.22</w:t>
            </w: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8.99</w:t>
            </w:r>
          </w:p>
        </w:tc>
        <w:tc>
          <w:tcPr>
            <w:tcW w:w="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9.02</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8.79</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9.40</w:t>
            </w: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5.99</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F0FFFF"/>
          </w:tcPr>
          <w:p>
            <w:pPr>
              <w:ind w:left="120"/>
              <w:spacing w:after="0" w:line="149" w:lineRule="exact"/>
              <w:rPr>
                <w:sz w:val="20"/>
                <w:szCs w:val="20"/>
                <w:color w:val="auto"/>
              </w:rPr>
            </w:pPr>
            <w:r>
              <w:rPr>
                <w:rFonts w:ascii="Arial" w:cs="Arial" w:eastAsia="Arial" w:hAnsi="Arial"/>
                <w:sz w:val="14"/>
                <w:szCs w:val="14"/>
                <w:color w:val="auto"/>
                <w:w w:val="95"/>
              </w:rPr>
              <w:t xml:space="preserve">Tangible common equity to risk-weighted assets </w:t>
            </w:r>
            <w:r>
              <w:rPr>
                <w:rFonts w:ascii="Arial" w:cs="Arial" w:eastAsia="Arial" w:hAnsi="Arial"/>
                <w:sz w:val="10"/>
                <w:szCs w:val="10"/>
                <w:color w:val="auto"/>
                <w:w w:val="95"/>
              </w:rPr>
              <w:t>(2)</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4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13.92</w:t>
            </w: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13.63</w:t>
            </w: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13.18</w:t>
            </w:r>
          </w:p>
        </w:tc>
        <w:tc>
          <w:tcPr>
            <w:tcW w:w="80" w:type="dxa"/>
            <w:vAlign w:val="bottom"/>
            <w:shd w:val="clear" w:color="auto" w:fill="F0FFFF"/>
          </w:tcPr>
          <w:p>
            <w:pPr>
              <w:spacing w:after="0"/>
              <w:rPr>
                <w:sz w:val="12"/>
                <w:szCs w:val="12"/>
                <w:color w:val="auto"/>
              </w:rPr>
            </w:pPr>
          </w:p>
        </w:tc>
        <w:tc>
          <w:tcPr>
            <w:tcW w:w="82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13.34</w:t>
            </w: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13.16</w:t>
            </w:r>
          </w:p>
        </w:tc>
        <w:tc>
          <w:tcPr>
            <w:tcW w:w="320" w:type="dxa"/>
            <w:vAlign w:val="bottom"/>
            <w:tcBorders>
              <w:left w:val="single" w:sz="8" w:color="F0FFFF"/>
            </w:tcBorders>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4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8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13.92</w:t>
            </w:r>
          </w:p>
        </w:tc>
        <w:tc>
          <w:tcPr>
            <w:tcW w:w="14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13.16</w:t>
            </w: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60" w:type="dxa"/>
            <w:vAlign w:val="bottom"/>
            <w:shd w:val="clear" w:color="auto" w:fill="F0FFFF"/>
          </w:tcPr>
          <w:p>
            <w:pPr>
              <w:spacing w:after="0" w:line="149" w:lineRule="exact"/>
              <w:rPr>
                <w:sz w:val="20"/>
                <w:szCs w:val="20"/>
                <w:color w:val="auto"/>
              </w:rPr>
            </w:pPr>
            <w:r>
              <w:rPr>
                <w:rFonts w:ascii="Arial" w:cs="Arial" w:eastAsia="Arial" w:hAnsi="Arial"/>
                <w:sz w:val="14"/>
                <w:szCs w:val="14"/>
                <w:b w:val="1"/>
                <w:bCs w:val="1"/>
                <w:color w:val="auto"/>
              </w:rPr>
              <w:t>ASSET QUALITY *</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240" w:type="dxa"/>
            <w:vAlign w:val="bottom"/>
            <w:tcBorders>
              <w:righ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220" w:type="dxa"/>
            <w:vAlign w:val="bottom"/>
            <w:tcBorders>
              <w:righ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320" w:type="dxa"/>
            <w:vAlign w:val="bottom"/>
            <w:tcBorders>
              <w:left w:val="single" w:sz="8" w:color="F0FFFF"/>
            </w:tcBorders>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4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240" w:type="dxa"/>
            <w:vAlign w:val="bottom"/>
            <w:tcBorders>
              <w:right w:val="single" w:sz="8" w:color="F0FFFF"/>
            </w:tcBorders>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ind w:left="60"/>
              <w:spacing w:after="0" w:line="149" w:lineRule="exact"/>
              <w:rPr>
                <w:sz w:val="20"/>
                <w:szCs w:val="20"/>
                <w:color w:val="auto"/>
              </w:rPr>
            </w:pPr>
            <w:r>
              <w:rPr>
                <w:rFonts w:ascii="Arial" w:cs="Arial" w:eastAsia="Arial" w:hAnsi="Arial"/>
                <w:sz w:val="14"/>
                <w:szCs w:val="14"/>
                <w:color w:val="auto"/>
              </w:rPr>
              <w:t>Non-performing loans</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20,724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25,250</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26,819</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26,088</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27,864</w:t>
            </w: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20,724</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27,864</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F0FFFF"/>
          </w:tcPr>
          <w:p>
            <w:pPr>
              <w:ind w:left="60"/>
              <w:spacing w:after="0" w:line="149" w:lineRule="exact"/>
              <w:rPr>
                <w:sz w:val="20"/>
                <w:szCs w:val="20"/>
                <w:color w:val="auto"/>
              </w:rPr>
            </w:pPr>
            <w:r>
              <w:rPr>
                <w:rFonts w:ascii="Arial" w:cs="Arial" w:eastAsia="Arial" w:hAnsi="Arial"/>
                <w:sz w:val="14"/>
                <w:szCs w:val="14"/>
                <w:color w:val="auto"/>
              </w:rPr>
              <w:t>Foreclosed properties</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4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2,969</w:t>
            </w: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5,594</w:t>
            </w: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4,221</w:t>
            </w:r>
          </w:p>
        </w:tc>
        <w:tc>
          <w:tcPr>
            <w:tcW w:w="80" w:type="dxa"/>
            <w:vAlign w:val="bottom"/>
            <w:shd w:val="clear" w:color="auto" w:fill="F0FFFF"/>
          </w:tcPr>
          <w:p>
            <w:pPr>
              <w:spacing w:after="0"/>
              <w:rPr>
                <w:sz w:val="12"/>
                <w:szCs w:val="12"/>
                <w:color w:val="auto"/>
              </w:rPr>
            </w:pPr>
          </w:p>
        </w:tc>
        <w:tc>
          <w:tcPr>
            <w:tcW w:w="82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4,467</w:t>
            </w: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3,936</w:t>
            </w:r>
          </w:p>
        </w:tc>
        <w:tc>
          <w:tcPr>
            <w:tcW w:w="320" w:type="dxa"/>
            <w:vAlign w:val="bottom"/>
            <w:tcBorders>
              <w:left w:val="single" w:sz="8" w:color="F0FFFF"/>
            </w:tcBorders>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4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8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2,969</w:t>
            </w:r>
          </w:p>
        </w:tc>
        <w:tc>
          <w:tcPr>
            <w:tcW w:w="14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3,936</w:t>
            </w: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6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Borders>
              <w:right w:val="single" w:sz="8" w:color="F0FFFF"/>
            </w:tcBorders>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Borders>
              <w:left w:val="single" w:sz="8" w:color="F0FFFF"/>
            </w:tcBorders>
            <w:shd w:val="clear" w:color="auto" w:fill="F0FFFF"/>
          </w:tcPr>
          <w:p>
            <w:pPr>
              <w:spacing w:after="0"/>
              <w:rPr>
                <w:sz w:val="2"/>
                <w:szCs w:val="2"/>
                <w:color w:val="auto"/>
              </w:rPr>
            </w:pPr>
          </w:p>
        </w:tc>
        <w:tc>
          <w:tcPr>
            <w:tcW w:w="680" w:type="dxa"/>
            <w:vAlign w:val="bottom"/>
            <w:shd w:val="clear" w:color="auto" w:fill="F0FFFF"/>
          </w:tcPr>
          <w:p>
            <w:pPr>
              <w:spacing w:after="0"/>
              <w:rPr>
                <w:sz w:val="2"/>
                <w:szCs w:val="2"/>
                <w:color w:val="auto"/>
              </w:rPr>
            </w:pPr>
          </w:p>
        </w:tc>
        <w:tc>
          <w:tcPr>
            <w:tcW w:w="240" w:type="dxa"/>
            <w:vAlign w:val="bottom"/>
            <w:tcBorders>
              <w:right w:val="single" w:sz="8" w:color="F0FFFF"/>
            </w:tcBorders>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Borders>
              <w:right w:val="single" w:sz="8" w:color="F0FFFF"/>
            </w:tcBorders>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68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ind w:left="120"/>
              <w:spacing w:after="0" w:line="149" w:lineRule="exact"/>
              <w:rPr>
                <w:sz w:val="20"/>
                <w:szCs w:val="20"/>
                <w:color w:val="auto"/>
              </w:rPr>
            </w:pPr>
            <w:r>
              <w:rPr>
                <w:rFonts w:ascii="Arial" w:cs="Arial" w:eastAsia="Arial" w:hAnsi="Arial"/>
                <w:sz w:val="14"/>
                <w:szCs w:val="14"/>
                <w:color w:val="auto"/>
              </w:rPr>
              <w:t>Total non-performing assets (NPAs)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23,693</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30,844</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31,040</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30,555</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31,800</w:t>
            </w: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23,693</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31,800</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F0FFFF"/>
          </w:tcPr>
          <w:p>
            <w:pPr>
              <w:ind w:left="60"/>
              <w:spacing w:after="0" w:line="149" w:lineRule="exact"/>
              <w:rPr>
                <w:sz w:val="20"/>
                <w:szCs w:val="20"/>
                <w:color w:val="auto"/>
              </w:rPr>
            </w:pPr>
            <w:r>
              <w:rPr>
                <w:rFonts w:ascii="Arial" w:cs="Arial" w:eastAsia="Arial" w:hAnsi="Arial"/>
                <w:sz w:val="14"/>
                <w:szCs w:val="14"/>
                <w:color w:val="auto"/>
              </w:rPr>
              <w:t>Allowance for loan losses</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4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73,248</w:t>
            </w: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75,223</w:t>
            </w: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76,762</w:t>
            </w:r>
          </w:p>
        </w:tc>
        <w:tc>
          <w:tcPr>
            <w:tcW w:w="80" w:type="dxa"/>
            <w:vAlign w:val="bottom"/>
            <w:shd w:val="clear" w:color="auto" w:fill="F0FFFF"/>
          </w:tcPr>
          <w:p>
            <w:pPr>
              <w:spacing w:after="0"/>
              <w:rPr>
                <w:sz w:val="12"/>
                <w:szCs w:val="12"/>
                <w:color w:val="auto"/>
              </w:rPr>
            </w:pPr>
          </w:p>
        </w:tc>
        <w:tc>
          <w:tcPr>
            <w:tcW w:w="82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80,372</w:t>
            </w: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81,845</w:t>
            </w:r>
          </w:p>
        </w:tc>
        <w:tc>
          <w:tcPr>
            <w:tcW w:w="320" w:type="dxa"/>
            <w:vAlign w:val="bottom"/>
            <w:tcBorders>
              <w:left w:val="single" w:sz="8" w:color="F0FFFF"/>
            </w:tcBorders>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4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8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73,248</w:t>
            </w:r>
          </w:p>
        </w:tc>
        <w:tc>
          <w:tcPr>
            <w:tcW w:w="14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81,845</w:t>
            </w: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ind w:left="60"/>
              <w:spacing w:after="0" w:line="149" w:lineRule="exact"/>
              <w:rPr>
                <w:sz w:val="20"/>
                <w:szCs w:val="20"/>
                <w:color w:val="auto"/>
              </w:rPr>
            </w:pPr>
            <w:r>
              <w:rPr>
                <w:rFonts w:ascii="Arial" w:cs="Arial" w:eastAsia="Arial" w:hAnsi="Arial"/>
                <w:sz w:val="14"/>
                <w:szCs w:val="14"/>
                <w:color w:val="auto"/>
              </w:rPr>
              <w:t>Net charge-offs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4,175</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4,039</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4,445</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4,473</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72,408</w:t>
            </w: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8,214</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84,792</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F0FFFF"/>
          </w:tcPr>
          <w:p>
            <w:pPr>
              <w:ind w:left="60"/>
              <w:spacing w:after="0"/>
              <w:rPr>
                <w:sz w:val="20"/>
                <w:szCs w:val="20"/>
                <w:color w:val="auto"/>
              </w:rPr>
            </w:pPr>
            <w:r>
              <w:rPr>
                <w:rFonts w:ascii="Arial" w:cs="Arial" w:eastAsia="Arial" w:hAnsi="Arial"/>
                <w:sz w:val="14"/>
                <w:szCs w:val="14"/>
                <w:color w:val="auto"/>
              </w:rPr>
              <w:t>Allowance for loan losses to loans</w:t>
            </w: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840" w:type="dxa"/>
            <w:vAlign w:val="bottom"/>
            <w:tcBorders>
              <w:righ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1.66%</w:t>
            </w:r>
          </w:p>
        </w:tc>
        <w:tc>
          <w:tcPr>
            <w:tcW w:w="8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1.73%</w:t>
            </w:r>
          </w:p>
        </w:tc>
        <w:tc>
          <w:tcPr>
            <w:tcW w:w="80" w:type="dxa"/>
            <w:vAlign w:val="bottom"/>
            <w:shd w:val="clear" w:color="auto" w:fill="F0FFFF"/>
          </w:tcPr>
          <w:p>
            <w:pPr>
              <w:spacing w:after="0"/>
              <w:rPr>
                <w:sz w:val="18"/>
                <w:szCs w:val="18"/>
                <w:color w:val="auto"/>
              </w:rPr>
            </w:pPr>
          </w:p>
        </w:tc>
        <w:tc>
          <w:tcPr>
            <w:tcW w:w="82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1.77%</w:t>
            </w:r>
          </w:p>
        </w:tc>
        <w:tc>
          <w:tcPr>
            <w:tcW w:w="80" w:type="dxa"/>
            <w:vAlign w:val="bottom"/>
            <w:shd w:val="clear" w:color="auto" w:fill="F0FFFF"/>
          </w:tcPr>
          <w:p>
            <w:pPr>
              <w:spacing w:after="0"/>
              <w:rPr>
                <w:sz w:val="18"/>
                <w:szCs w:val="18"/>
                <w:color w:val="auto"/>
              </w:rPr>
            </w:pPr>
          </w:p>
        </w:tc>
        <w:tc>
          <w:tcPr>
            <w:tcW w:w="820" w:type="dxa"/>
            <w:vAlign w:val="bottom"/>
            <w:tcBorders>
              <w:right w:val="single" w:sz="8" w:color="F0FFFF"/>
            </w:tcBorders>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1.88%</w:t>
            </w:r>
          </w:p>
        </w:tc>
        <w:tc>
          <w:tcPr>
            <w:tcW w:w="8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28"/>
              <w:spacing w:after="0"/>
              <w:rPr>
                <w:sz w:val="20"/>
                <w:szCs w:val="20"/>
                <w:color w:val="auto"/>
              </w:rPr>
            </w:pPr>
            <w:r>
              <w:rPr>
                <w:rFonts w:ascii="Arial" w:cs="Arial" w:eastAsia="Arial" w:hAnsi="Arial"/>
                <w:sz w:val="14"/>
                <w:szCs w:val="14"/>
                <w:color w:val="auto"/>
              </w:rPr>
              <w:t>1.95%</w:t>
            </w:r>
          </w:p>
        </w:tc>
        <w:tc>
          <w:tcPr>
            <w:tcW w:w="680" w:type="dxa"/>
            <w:vAlign w:val="bottom"/>
            <w:shd w:val="clear" w:color="auto" w:fill="F0FFFF"/>
          </w:tcPr>
          <w:p>
            <w:pPr>
              <w:spacing w:after="0"/>
              <w:rPr>
                <w:sz w:val="18"/>
                <w:szCs w:val="18"/>
                <w:color w:val="auto"/>
              </w:rPr>
            </w:pPr>
          </w:p>
        </w:tc>
        <w:tc>
          <w:tcPr>
            <w:tcW w:w="240" w:type="dxa"/>
            <w:vAlign w:val="bottom"/>
            <w:tcBorders>
              <w:right w:val="single" w:sz="8" w:color="F0FFFF"/>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80" w:type="dxa"/>
            <w:vAlign w:val="bottom"/>
            <w:tcBorders>
              <w:righ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4"/>
                <w:szCs w:val="14"/>
                <w:color w:val="auto"/>
              </w:rPr>
              <w:t>1.66%</w:t>
            </w:r>
          </w:p>
        </w:tc>
        <w:tc>
          <w:tcPr>
            <w:tcW w:w="140" w:type="dxa"/>
            <w:vAlign w:val="bottom"/>
            <w:shd w:val="clear" w:color="auto" w:fill="F0FFFF"/>
          </w:tcPr>
          <w:p>
            <w:pPr>
              <w:spacing w:after="0"/>
              <w:rPr>
                <w:sz w:val="18"/>
                <w:szCs w:val="18"/>
                <w:color w:val="auto"/>
              </w:rPr>
            </w:pPr>
          </w:p>
        </w:tc>
        <w:tc>
          <w:tcPr>
            <w:tcW w:w="760" w:type="dxa"/>
            <w:vAlign w:val="bottom"/>
            <w:gridSpan w:val="2"/>
            <w:shd w:val="clear" w:color="auto" w:fill="F0FFFF"/>
          </w:tcPr>
          <w:p>
            <w:pPr>
              <w:jc w:val="right"/>
              <w:ind w:right="100"/>
              <w:spacing w:after="0"/>
              <w:rPr>
                <w:sz w:val="20"/>
                <w:szCs w:val="20"/>
                <w:color w:val="auto"/>
              </w:rPr>
            </w:pPr>
            <w:r>
              <w:rPr>
                <w:rFonts w:ascii="Arial" w:cs="Arial" w:eastAsia="Arial" w:hAnsi="Arial"/>
                <w:sz w:val="14"/>
                <w:szCs w:val="14"/>
                <w:color w:val="auto"/>
              </w:rPr>
              <w:t>1.95%</w:t>
            </w:r>
          </w:p>
        </w:tc>
        <w:tc>
          <w:tcPr>
            <w:tcW w:w="6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ind w:left="60"/>
              <w:spacing w:after="0" w:line="149" w:lineRule="exact"/>
              <w:rPr>
                <w:sz w:val="20"/>
                <w:szCs w:val="20"/>
                <w:color w:val="auto"/>
              </w:rPr>
            </w:pPr>
            <w:r>
              <w:rPr>
                <w:rFonts w:ascii="Arial" w:cs="Arial" w:eastAsia="Arial" w:hAnsi="Arial"/>
                <w:sz w:val="14"/>
                <w:szCs w:val="14"/>
                <w:color w:val="auto"/>
              </w:rPr>
              <w:t xml:space="preserve">Net charge-offs to average loans </w:t>
            </w:r>
            <w:r>
              <w:rPr>
                <w:rFonts w:ascii="Arial" w:cs="Arial" w:eastAsia="Arial" w:hAnsi="Arial"/>
                <w:sz w:val="10"/>
                <w:szCs w:val="10"/>
                <w:color w:val="auto"/>
              </w:rPr>
              <w:t>(3)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.38</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.41</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.42</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6.87</w:t>
            </w: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.38</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4.07</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F0FFFF"/>
          </w:tcPr>
          <w:p>
            <w:pPr>
              <w:ind w:left="60"/>
              <w:spacing w:after="0" w:line="149" w:lineRule="exact"/>
              <w:rPr>
                <w:sz w:val="20"/>
                <w:szCs w:val="20"/>
                <w:color w:val="auto"/>
              </w:rPr>
            </w:pPr>
            <w:r>
              <w:rPr>
                <w:rFonts w:ascii="Arial" w:cs="Arial" w:eastAsia="Arial" w:hAnsi="Arial"/>
                <w:sz w:val="14"/>
                <w:szCs w:val="14"/>
                <w:color w:val="auto"/>
              </w:rPr>
              <w:t>NPAs to loans and foreclosed properties</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4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.54</w:t>
            </w: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.71</w:t>
            </w: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.72</w:t>
            </w:r>
          </w:p>
        </w:tc>
        <w:tc>
          <w:tcPr>
            <w:tcW w:w="80" w:type="dxa"/>
            <w:vAlign w:val="bottom"/>
            <w:shd w:val="clear" w:color="auto" w:fill="F0FFFF"/>
          </w:tcPr>
          <w:p>
            <w:pPr>
              <w:spacing w:after="0"/>
              <w:rPr>
                <w:sz w:val="12"/>
                <w:szCs w:val="12"/>
                <w:color w:val="auto"/>
              </w:rPr>
            </w:pPr>
          </w:p>
        </w:tc>
        <w:tc>
          <w:tcPr>
            <w:tcW w:w="82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.72</w:t>
            </w: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.76</w:t>
            </w:r>
          </w:p>
        </w:tc>
        <w:tc>
          <w:tcPr>
            <w:tcW w:w="320" w:type="dxa"/>
            <w:vAlign w:val="bottom"/>
            <w:tcBorders>
              <w:left w:val="single" w:sz="8" w:color="F0FFFF"/>
            </w:tcBorders>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4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8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.54</w:t>
            </w:r>
          </w:p>
        </w:tc>
        <w:tc>
          <w:tcPr>
            <w:tcW w:w="14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.76</w:t>
            </w: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ind w:left="60"/>
              <w:spacing w:after="0" w:line="149" w:lineRule="exact"/>
              <w:rPr>
                <w:sz w:val="20"/>
                <w:szCs w:val="20"/>
                <w:color w:val="auto"/>
              </w:rPr>
            </w:pPr>
            <w:r>
              <w:rPr>
                <w:rFonts w:ascii="Arial" w:cs="Arial" w:eastAsia="Arial" w:hAnsi="Arial"/>
                <w:sz w:val="14"/>
                <w:szCs w:val="14"/>
                <w:color w:val="auto"/>
              </w:rPr>
              <w:t>NPAs to total assets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.32</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.42</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.42</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.42</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.44</w:t>
            </w: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.32</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600" w:type="dxa"/>
            <w:vAlign w:val="bottom"/>
            <w:shd w:val="clear" w:color="auto" w:fill="F0FFFF"/>
          </w:tcPr>
          <w:p>
            <w:pPr>
              <w:spacing w:after="0"/>
              <w:rPr>
                <w:sz w:val="18"/>
                <w:szCs w:val="18"/>
                <w:color w:val="auto"/>
              </w:rPr>
            </w:pPr>
          </w:p>
        </w:tc>
        <w:tc>
          <w:tcPr>
            <w:tcW w:w="240" w:type="dxa"/>
            <w:vAlign w:val="bottom"/>
            <w:tcBorders>
              <w:right w:val="single" w:sz="8" w:color="F0FFFF"/>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5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6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600" w:type="dxa"/>
            <w:vAlign w:val="bottom"/>
            <w:shd w:val="clear" w:color="auto" w:fill="F0FFFF"/>
          </w:tcPr>
          <w:p>
            <w:pPr>
              <w:spacing w:after="0"/>
              <w:rPr>
                <w:sz w:val="18"/>
                <w:szCs w:val="18"/>
                <w:color w:val="auto"/>
              </w:rPr>
            </w:pPr>
          </w:p>
        </w:tc>
        <w:tc>
          <w:tcPr>
            <w:tcW w:w="220" w:type="dxa"/>
            <w:vAlign w:val="bottom"/>
            <w:tcBorders>
              <w:right w:val="single" w:sz="8" w:color="F0FFFF"/>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600" w:type="dxa"/>
            <w:vAlign w:val="bottom"/>
            <w:shd w:val="clear" w:color="auto" w:fill="F0FFFF"/>
          </w:tcPr>
          <w:p>
            <w:pPr>
              <w:spacing w:after="0"/>
              <w:rPr>
                <w:sz w:val="18"/>
                <w:szCs w:val="18"/>
                <w:color w:val="auto"/>
              </w:rPr>
            </w:pPr>
          </w:p>
        </w:tc>
        <w:tc>
          <w:tcPr>
            <w:tcW w:w="320" w:type="dxa"/>
            <w:vAlign w:val="bottom"/>
            <w:tcBorders>
              <w:left w:val="single" w:sz="8" w:color="F0FFFF"/>
            </w:tcBorders>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240" w:type="dxa"/>
            <w:vAlign w:val="bottom"/>
            <w:tcBorders>
              <w:right w:val="single" w:sz="8" w:color="F0FFFF"/>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540" w:type="dxa"/>
            <w:vAlign w:val="bottom"/>
            <w:shd w:val="clear" w:color="auto" w:fill="F0FFFF"/>
          </w:tcPr>
          <w:p>
            <w:pPr>
              <w:spacing w:after="0"/>
              <w:rPr>
                <w:sz w:val="18"/>
                <w:szCs w:val="18"/>
                <w:color w:val="auto"/>
              </w:rPr>
            </w:pPr>
          </w:p>
        </w:tc>
        <w:tc>
          <w:tcPr>
            <w:tcW w:w="240" w:type="dxa"/>
            <w:vAlign w:val="bottom"/>
            <w:tcBorders>
              <w:right w:val="single" w:sz="8" w:color="F0FFFF"/>
            </w:tcBorders>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5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6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b w:val="1"/>
                <w:bCs w:val="1"/>
                <w:color w:val="auto"/>
              </w:rPr>
              <w:t xml:space="preserve">AVERAGE BALANCES </w:t>
            </w:r>
            <w:r>
              <w:rPr>
                <w:rFonts w:ascii="Arial" w:cs="Arial" w:eastAsia="Arial" w:hAnsi="Arial"/>
                <w:sz w:val="14"/>
                <w:szCs w:val="14"/>
                <w:i w:val="1"/>
                <w:iCs w:val="1"/>
                <w:color w:val="auto"/>
              </w:rPr>
              <w:t>($ in millions)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F0FFFF"/>
          </w:tcPr>
          <w:p>
            <w:pPr>
              <w:ind w:left="60"/>
              <w:spacing w:after="0" w:line="149" w:lineRule="exact"/>
              <w:rPr>
                <w:sz w:val="20"/>
                <w:szCs w:val="20"/>
                <w:color w:val="auto"/>
              </w:rPr>
            </w:pPr>
            <w:r>
              <w:rPr>
                <w:rFonts w:ascii="Arial" w:cs="Arial" w:eastAsia="Arial" w:hAnsi="Arial"/>
                <w:sz w:val="14"/>
                <w:szCs w:val="14"/>
                <w:color w:val="auto"/>
              </w:rPr>
              <w:t>Loans</w:t>
            </w:r>
          </w:p>
        </w:tc>
        <w:tc>
          <w:tcPr>
            <w:tcW w:w="180" w:type="dxa"/>
            <w:vAlign w:val="bottom"/>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4,376</w:t>
            </w:r>
          </w:p>
        </w:tc>
        <w:tc>
          <w:tcPr>
            <w:tcW w:w="80" w:type="dxa"/>
            <w:vAlign w:val="bottom"/>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4,356</w:t>
            </w:r>
          </w:p>
        </w:tc>
        <w:tc>
          <w:tcPr>
            <w:tcW w:w="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4,315</w:t>
            </w:r>
          </w:p>
        </w:tc>
        <w:tc>
          <w:tcPr>
            <w:tcW w:w="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4,250</w:t>
            </w:r>
          </w:p>
        </w:tc>
        <w:tc>
          <w:tcPr>
            <w:tcW w:w="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4,253</w:t>
            </w:r>
          </w:p>
        </w:tc>
        <w:tc>
          <w:tcPr>
            <w:tcW w:w="1000" w:type="dxa"/>
            <w:vAlign w:val="bottom"/>
            <w:tcBorders>
              <w:left w:val="single" w:sz="8" w:color="F0FFFF"/>
            </w:tcBorders>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3</w:t>
            </w:r>
          </w:p>
        </w:tc>
        <w:tc>
          <w:tcPr>
            <w:tcW w:w="24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4,366</w:t>
            </w:r>
          </w:p>
        </w:tc>
        <w:tc>
          <w:tcPr>
            <w:tcW w:w="14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4,225</w:t>
            </w:r>
          </w:p>
        </w:tc>
        <w:tc>
          <w:tcPr>
            <w:tcW w:w="6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3</w:t>
            </w: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ind w:left="60"/>
              <w:spacing w:after="0" w:line="149" w:lineRule="exact"/>
              <w:rPr>
                <w:sz w:val="20"/>
                <w:szCs w:val="20"/>
                <w:color w:val="auto"/>
              </w:rPr>
            </w:pPr>
            <w:r>
              <w:rPr>
                <w:rFonts w:ascii="Arial" w:cs="Arial" w:eastAsia="Arial" w:hAnsi="Arial"/>
                <w:sz w:val="14"/>
                <w:szCs w:val="14"/>
                <w:color w:val="auto"/>
              </w:rPr>
              <w:t>Investment securities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2,326</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2,320</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2,280</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2,178</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2,161</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2,323</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2,151</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F0FFFF"/>
          </w:tcPr>
          <w:p>
            <w:pPr>
              <w:ind w:left="60"/>
              <w:spacing w:after="0" w:line="149" w:lineRule="exact"/>
              <w:rPr>
                <w:sz w:val="20"/>
                <w:szCs w:val="20"/>
                <w:color w:val="auto"/>
              </w:rPr>
            </w:pPr>
            <w:r>
              <w:rPr>
                <w:rFonts w:ascii="Arial" w:cs="Arial" w:eastAsia="Arial" w:hAnsi="Arial"/>
                <w:sz w:val="14"/>
                <w:szCs w:val="14"/>
                <w:color w:val="auto"/>
              </w:rPr>
              <w:t>Earning assets</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4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6,861</w:t>
            </w: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6,827</w:t>
            </w: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6,823</w:t>
            </w:r>
          </w:p>
        </w:tc>
        <w:tc>
          <w:tcPr>
            <w:tcW w:w="80" w:type="dxa"/>
            <w:vAlign w:val="bottom"/>
            <w:shd w:val="clear" w:color="auto" w:fill="F0FFFF"/>
          </w:tcPr>
          <w:p>
            <w:pPr>
              <w:spacing w:after="0"/>
              <w:rPr>
                <w:sz w:val="12"/>
                <w:szCs w:val="12"/>
                <w:color w:val="auto"/>
              </w:rPr>
            </w:pPr>
          </w:p>
        </w:tc>
        <w:tc>
          <w:tcPr>
            <w:tcW w:w="82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6,615</w:t>
            </w: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6,608</w:t>
            </w:r>
          </w:p>
        </w:tc>
        <w:tc>
          <w:tcPr>
            <w:tcW w:w="1000" w:type="dxa"/>
            <w:vAlign w:val="bottom"/>
            <w:tcBorders>
              <w:left w:val="single" w:sz="8" w:color="F0FFFF"/>
            </w:tcBorders>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4</w:t>
            </w:r>
          </w:p>
        </w:tc>
        <w:tc>
          <w:tcPr>
            <w:tcW w:w="24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8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6,844</w:t>
            </w:r>
          </w:p>
        </w:tc>
        <w:tc>
          <w:tcPr>
            <w:tcW w:w="14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6,578</w:t>
            </w:r>
          </w:p>
        </w:tc>
        <w:tc>
          <w:tcPr>
            <w:tcW w:w="6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4</w:t>
            </w: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ind w:left="60"/>
              <w:spacing w:after="0" w:line="149" w:lineRule="exact"/>
              <w:rPr>
                <w:sz w:val="20"/>
                <w:szCs w:val="20"/>
                <w:color w:val="auto"/>
              </w:rPr>
            </w:pPr>
            <w:r>
              <w:rPr>
                <w:rFonts w:ascii="Arial" w:cs="Arial" w:eastAsia="Arial" w:hAnsi="Arial"/>
                <w:sz w:val="14"/>
                <w:szCs w:val="14"/>
                <w:color w:val="auto"/>
              </w:rPr>
              <w:t>Total assets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7,418</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7,384</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7,370</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7,170</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6,915</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7,401</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6,875</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F0FFFF"/>
          </w:tcPr>
          <w:p>
            <w:pPr>
              <w:ind w:left="60"/>
              <w:spacing w:after="0" w:line="149" w:lineRule="exact"/>
              <w:rPr>
                <w:sz w:val="20"/>
                <w:szCs w:val="20"/>
                <w:color w:val="auto"/>
              </w:rPr>
            </w:pPr>
            <w:r>
              <w:rPr>
                <w:rFonts w:ascii="Arial" w:cs="Arial" w:eastAsia="Arial" w:hAnsi="Arial"/>
                <w:sz w:val="14"/>
                <w:szCs w:val="14"/>
                <w:color w:val="auto"/>
              </w:rPr>
              <w:t>Deposits</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4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6,187</w:t>
            </w: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6,197</w:t>
            </w: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6,190</w:t>
            </w:r>
          </w:p>
        </w:tc>
        <w:tc>
          <w:tcPr>
            <w:tcW w:w="80" w:type="dxa"/>
            <w:vAlign w:val="bottom"/>
            <w:shd w:val="clear" w:color="auto" w:fill="F0FFFF"/>
          </w:tcPr>
          <w:p>
            <w:pPr>
              <w:spacing w:after="0"/>
              <w:rPr>
                <w:sz w:val="12"/>
                <w:szCs w:val="12"/>
                <w:color w:val="auto"/>
              </w:rPr>
            </w:pPr>
          </w:p>
        </w:tc>
        <w:tc>
          <w:tcPr>
            <w:tcW w:w="82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5,987</w:t>
            </w: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5,983</w:t>
            </w:r>
          </w:p>
        </w:tc>
        <w:tc>
          <w:tcPr>
            <w:tcW w:w="1000" w:type="dxa"/>
            <w:vAlign w:val="bottom"/>
            <w:tcBorders>
              <w:left w:val="single" w:sz="8" w:color="F0FFFF"/>
            </w:tcBorders>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3</w:t>
            </w:r>
          </w:p>
        </w:tc>
        <w:tc>
          <w:tcPr>
            <w:tcW w:w="24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8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6,192</w:t>
            </w:r>
          </w:p>
        </w:tc>
        <w:tc>
          <w:tcPr>
            <w:tcW w:w="14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5,964</w:t>
            </w:r>
          </w:p>
        </w:tc>
        <w:tc>
          <w:tcPr>
            <w:tcW w:w="6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4</w:t>
            </w: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ind w:left="60"/>
              <w:spacing w:after="0" w:line="149" w:lineRule="exact"/>
              <w:rPr>
                <w:sz w:val="20"/>
                <w:szCs w:val="20"/>
                <w:color w:val="auto"/>
              </w:rPr>
            </w:pPr>
            <w:r>
              <w:rPr>
                <w:rFonts w:ascii="Arial" w:cs="Arial" w:eastAsia="Arial" w:hAnsi="Arial"/>
                <w:sz w:val="14"/>
                <w:szCs w:val="14"/>
                <w:color w:val="auto"/>
              </w:rPr>
              <w:t>Shareholders’ equity</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713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703</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856</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846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636</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708</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612</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F0FFFF"/>
          </w:tcPr>
          <w:p>
            <w:pPr>
              <w:ind w:left="60"/>
              <w:spacing w:after="0" w:line="149" w:lineRule="exact"/>
              <w:rPr>
                <w:sz w:val="20"/>
                <w:szCs w:val="20"/>
                <w:color w:val="auto"/>
              </w:rPr>
            </w:pPr>
            <w:r>
              <w:rPr>
                <w:rFonts w:ascii="Arial" w:cs="Arial" w:eastAsia="Arial" w:hAnsi="Arial"/>
                <w:sz w:val="14"/>
                <w:szCs w:val="14"/>
                <w:color w:val="auto"/>
              </w:rPr>
              <w:t xml:space="preserve">Common shares - basic </w:t>
            </w:r>
            <w:r>
              <w:rPr>
                <w:rFonts w:ascii="Arial" w:cs="Arial" w:eastAsia="Arial" w:hAnsi="Arial"/>
                <w:sz w:val="14"/>
                <w:szCs w:val="14"/>
                <w:i w:val="1"/>
                <w:iCs w:val="1"/>
                <w:color w:val="auto"/>
              </w:rPr>
              <w:t>(thousands)</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4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60,712</w:t>
            </w: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60,059</w:t>
            </w: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59,923</w:t>
            </w:r>
          </w:p>
        </w:tc>
        <w:tc>
          <w:tcPr>
            <w:tcW w:w="80" w:type="dxa"/>
            <w:vAlign w:val="bottom"/>
            <w:shd w:val="clear" w:color="auto" w:fill="F0FFFF"/>
          </w:tcPr>
          <w:p>
            <w:pPr>
              <w:spacing w:after="0"/>
              <w:rPr>
                <w:sz w:val="12"/>
                <w:szCs w:val="12"/>
                <w:color w:val="auto"/>
              </w:rPr>
            </w:pPr>
          </w:p>
        </w:tc>
        <w:tc>
          <w:tcPr>
            <w:tcW w:w="82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59,100</w:t>
            </w: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58,141</w:t>
            </w:r>
          </w:p>
        </w:tc>
        <w:tc>
          <w:tcPr>
            <w:tcW w:w="320" w:type="dxa"/>
            <w:vAlign w:val="bottom"/>
            <w:tcBorders>
              <w:left w:val="single" w:sz="8" w:color="F0FFFF"/>
            </w:tcBorders>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4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8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60,386</w:t>
            </w:r>
          </w:p>
        </w:tc>
        <w:tc>
          <w:tcPr>
            <w:tcW w:w="14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58,111</w:t>
            </w: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ind w:left="60"/>
              <w:spacing w:after="0" w:line="149" w:lineRule="exact"/>
              <w:rPr>
                <w:sz w:val="20"/>
                <w:szCs w:val="20"/>
                <w:color w:val="auto"/>
              </w:rPr>
            </w:pPr>
            <w:r>
              <w:rPr>
                <w:rFonts w:ascii="Arial" w:cs="Arial" w:eastAsia="Arial" w:hAnsi="Arial"/>
                <w:sz w:val="14"/>
                <w:szCs w:val="14"/>
                <w:color w:val="auto"/>
              </w:rPr>
              <w:t xml:space="preserve">Common shares - diluted </w:t>
            </w:r>
            <w:r>
              <w:rPr>
                <w:rFonts w:ascii="Arial" w:cs="Arial" w:eastAsia="Arial" w:hAnsi="Arial"/>
                <w:sz w:val="14"/>
                <w:szCs w:val="14"/>
                <w:i w:val="1"/>
                <w:iCs w:val="1"/>
                <w:color w:val="auto"/>
              </w:rPr>
              <w:t>(thousands)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60,714</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60,061</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59,925</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59,202</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58,141</w:t>
            </w: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60,388</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58,111</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160" w:type="dxa"/>
            <w:vAlign w:val="bottom"/>
            <w:shd w:val="clear" w:color="auto" w:fill="F0FFFF"/>
          </w:tcPr>
          <w:p>
            <w:pPr>
              <w:spacing w:after="0"/>
              <w:rPr>
                <w:sz w:val="12"/>
                <w:szCs w:val="12"/>
                <w:color w:val="auto"/>
              </w:rPr>
            </w:pP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240" w:type="dxa"/>
            <w:vAlign w:val="bottom"/>
            <w:tcBorders>
              <w:righ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580" w:type="dxa"/>
            <w:vAlign w:val="bottom"/>
            <w:shd w:val="clear" w:color="auto" w:fill="F0FFFF"/>
          </w:tcPr>
          <w:p>
            <w:pPr>
              <w:spacing w:after="0"/>
              <w:rPr>
                <w:sz w:val="12"/>
                <w:szCs w:val="12"/>
                <w:color w:val="auto"/>
              </w:rPr>
            </w:pPr>
          </w:p>
        </w:tc>
        <w:tc>
          <w:tcPr>
            <w:tcW w:w="24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220" w:type="dxa"/>
            <w:vAlign w:val="bottom"/>
            <w:tcBorders>
              <w:righ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spacing w:after="0"/>
              <w:rPr>
                <w:sz w:val="12"/>
                <w:szCs w:val="12"/>
                <w:color w:val="auto"/>
              </w:rPr>
            </w:pPr>
          </w:p>
        </w:tc>
        <w:tc>
          <w:tcPr>
            <w:tcW w:w="320" w:type="dxa"/>
            <w:vAlign w:val="bottom"/>
            <w:tcBorders>
              <w:left w:val="single" w:sz="8" w:color="F0FFFF"/>
            </w:tcBorders>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24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240" w:type="dxa"/>
            <w:vAlign w:val="bottom"/>
            <w:tcBorders>
              <w:right w:val="single" w:sz="8" w:color="F0FFFF"/>
            </w:tcBorders>
            <w:shd w:val="clear" w:color="auto" w:fill="F0FFFF"/>
          </w:tcPr>
          <w:p>
            <w:pPr>
              <w:spacing w:after="0"/>
              <w:rPr>
                <w:sz w:val="12"/>
                <w:szCs w:val="12"/>
                <w:color w:val="auto"/>
              </w:rPr>
            </w:pPr>
          </w:p>
        </w:tc>
        <w:tc>
          <w:tcPr>
            <w:tcW w:w="140" w:type="dxa"/>
            <w:vAlign w:val="bottom"/>
            <w:shd w:val="clear" w:color="auto" w:fill="F0FFFF"/>
          </w:tcPr>
          <w:p>
            <w:pPr>
              <w:spacing w:after="0"/>
              <w:rPr>
                <w:sz w:val="12"/>
                <w:szCs w:val="12"/>
                <w:color w:val="auto"/>
              </w:rPr>
            </w:pPr>
          </w:p>
        </w:tc>
        <w:tc>
          <w:tcPr>
            <w:tcW w:w="540" w:type="dxa"/>
            <w:vAlign w:val="bottom"/>
            <w:shd w:val="clear" w:color="auto" w:fill="F0FFFF"/>
          </w:tcPr>
          <w:p>
            <w:pPr>
              <w:spacing w:after="0"/>
              <w:rPr>
                <w:sz w:val="12"/>
                <w:szCs w:val="12"/>
                <w:color w:val="auto"/>
              </w:rPr>
            </w:pPr>
          </w:p>
        </w:tc>
        <w:tc>
          <w:tcPr>
            <w:tcW w:w="220" w:type="dxa"/>
            <w:vAlign w:val="bottom"/>
            <w:shd w:val="clear" w:color="auto" w:fill="F0FFFF"/>
          </w:tcPr>
          <w:p>
            <w:pPr>
              <w:spacing w:after="0"/>
              <w:rPr>
                <w:sz w:val="12"/>
                <w:szCs w:val="12"/>
                <w:color w:val="auto"/>
              </w:rPr>
            </w:pPr>
          </w:p>
        </w:tc>
        <w:tc>
          <w:tcPr>
            <w:tcW w:w="6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60" w:type="dxa"/>
            <w:vAlign w:val="bottom"/>
          </w:tcPr>
          <w:p>
            <w:pPr>
              <w:spacing w:after="0" w:line="149" w:lineRule="exact"/>
              <w:rPr>
                <w:sz w:val="20"/>
                <w:szCs w:val="20"/>
                <w:color w:val="auto"/>
              </w:rPr>
            </w:pPr>
            <w:r>
              <w:rPr>
                <w:rFonts w:ascii="Arial" w:cs="Arial" w:eastAsia="Arial" w:hAnsi="Arial"/>
                <w:sz w:val="14"/>
                <w:szCs w:val="14"/>
                <w:b w:val="1"/>
                <w:bCs w:val="1"/>
                <w:color w:val="auto"/>
              </w:rPr>
              <w:t xml:space="preserve">AT PERIOD END </w:t>
            </w:r>
            <w:r>
              <w:rPr>
                <w:rFonts w:ascii="Arial" w:cs="Arial" w:eastAsia="Arial" w:hAnsi="Arial"/>
                <w:sz w:val="14"/>
                <w:szCs w:val="14"/>
                <w:i w:val="1"/>
                <w:iCs w:val="1"/>
                <w:color w:val="auto"/>
              </w:rPr>
              <w:t>($ in millions)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F0FFFF"/>
          </w:tcPr>
          <w:p>
            <w:pPr>
              <w:ind w:left="60"/>
              <w:spacing w:after="0" w:line="149" w:lineRule="exact"/>
              <w:rPr>
                <w:sz w:val="20"/>
                <w:szCs w:val="20"/>
                <w:color w:val="auto"/>
              </w:rPr>
            </w:pPr>
            <w:r>
              <w:rPr>
                <w:rFonts w:ascii="Arial" w:cs="Arial" w:eastAsia="Arial" w:hAnsi="Arial"/>
                <w:sz w:val="14"/>
                <w:szCs w:val="14"/>
                <w:color w:val="auto"/>
              </w:rPr>
              <w:t>Loans *</w:t>
            </w:r>
          </w:p>
        </w:tc>
        <w:tc>
          <w:tcPr>
            <w:tcW w:w="180" w:type="dxa"/>
            <w:vAlign w:val="bottom"/>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4,410</w:t>
            </w:r>
          </w:p>
        </w:tc>
        <w:tc>
          <w:tcPr>
            <w:tcW w:w="80" w:type="dxa"/>
            <w:vAlign w:val="bottom"/>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4,356</w:t>
            </w:r>
          </w:p>
        </w:tc>
        <w:tc>
          <w:tcPr>
            <w:tcW w:w="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4,329</w:t>
            </w:r>
          </w:p>
        </w:tc>
        <w:tc>
          <w:tcPr>
            <w:tcW w:w="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4,267</w:t>
            </w:r>
          </w:p>
        </w:tc>
        <w:tc>
          <w:tcPr>
            <w:tcW w:w="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4,189</w:t>
            </w:r>
          </w:p>
        </w:tc>
        <w:tc>
          <w:tcPr>
            <w:tcW w:w="1000" w:type="dxa"/>
            <w:vAlign w:val="bottom"/>
            <w:tcBorders>
              <w:left w:val="single" w:sz="8" w:color="F0FFFF"/>
            </w:tcBorders>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5</w:t>
            </w:r>
          </w:p>
        </w:tc>
        <w:tc>
          <w:tcPr>
            <w:tcW w:w="24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4,410</w:t>
            </w:r>
          </w:p>
        </w:tc>
        <w:tc>
          <w:tcPr>
            <w:tcW w:w="14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4,189</w:t>
            </w:r>
          </w:p>
        </w:tc>
        <w:tc>
          <w:tcPr>
            <w:tcW w:w="6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5</w:t>
            </w: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ind w:left="60"/>
              <w:spacing w:after="0" w:line="149" w:lineRule="exact"/>
              <w:rPr>
                <w:sz w:val="20"/>
                <w:szCs w:val="20"/>
                <w:color w:val="auto"/>
              </w:rPr>
            </w:pPr>
            <w:r>
              <w:rPr>
                <w:rFonts w:ascii="Arial" w:cs="Arial" w:eastAsia="Arial" w:hAnsi="Arial"/>
                <w:sz w:val="14"/>
                <w:szCs w:val="14"/>
                <w:color w:val="auto"/>
              </w:rPr>
              <w:t>Investment securities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2,190</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2,302</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2,312</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2,169</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2,152</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2,190</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2,152</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F0FFFF"/>
          </w:tcPr>
          <w:p>
            <w:pPr>
              <w:ind w:left="60"/>
              <w:spacing w:after="0" w:line="149" w:lineRule="exact"/>
              <w:rPr>
                <w:sz w:val="20"/>
                <w:szCs w:val="20"/>
                <w:color w:val="auto"/>
              </w:rPr>
            </w:pPr>
            <w:r>
              <w:rPr>
                <w:rFonts w:ascii="Arial" w:cs="Arial" w:eastAsia="Arial" w:hAnsi="Arial"/>
                <w:sz w:val="14"/>
                <w:szCs w:val="14"/>
                <w:color w:val="auto"/>
              </w:rPr>
              <w:t>Total assets</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4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7,352</w:t>
            </w: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7,398</w:t>
            </w: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7,425</w:t>
            </w:r>
          </w:p>
        </w:tc>
        <w:tc>
          <w:tcPr>
            <w:tcW w:w="80" w:type="dxa"/>
            <w:vAlign w:val="bottom"/>
            <w:shd w:val="clear" w:color="auto" w:fill="F0FFFF"/>
          </w:tcPr>
          <w:p>
            <w:pPr>
              <w:spacing w:after="0"/>
              <w:rPr>
                <w:sz w:val="12"/>
                <w:szCs w:val="12"/>
                <w:color w:val="auto"/>
              </w:rPr>
            </w:pPr>
          </w:p>
        </w:tc>
        <w:tc>
          <w:tcPr>
            <w:tcW w:w="820" w:type="dxa"/>
            <w:vAlign w:val="bottom"/>
            <w:tcBorders>
              <w:right w:val="single" w:sz="8" w:color="F0FFFF"/>
            </w:tcBorders>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7,243</w:t>
            </w: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7,163</w:t>
            </w:r>
          </w:p>
        </w:tc>
        <w:tc>
          <w:tcPr>
            <w:tcW w:w="1000" w:type="dxa"/>
            <w:vAlign w:val="bottom"/>
            <w:tcBorders>
              <w:left w:val="single" w:sz="8" w:color="F0FFFF"/>
            </w:tcBorders>
            <w:gridSpan w:val="2"/>
            <w:shd w:val="clear" w:color="auto" w:fill="F0FFFF"/>
          </w:tcPr>
          <w:p>
            <w:pPr>
              <w:jc w:val="right"/>
              <w:spacing w:after="0" w:line="149" w:lineRule="exact"/>
              <w:rPr>
                <w:sz w:val="20"/>
                <w:szCs w:val="20"/>
                <w:color w:val="auto"/>
              </w:rPr>
            </w:pPr>
            <w:r>
              <w:rPr>
                <w:rFonts w:ascii="Arial" w:cs="Arial" w:eastAsia="Arial" w:hAnsi="Arial"/>
                <w:sz w:val="14"/>
                <w:szCs w:val="14"/>
                <w:color w:val="auto"/>
              </w:rPr>
              <w:t>3</w:t>
            </w:r>
          </w:p>
        </w:tc>
        <w:tc>
          <w:tcPr>
            <w:tcW w:w="240" w:type="dxa"/>
            <w:vAlign w:val="bottom"/>
            <w:tcBorders>
              <w:right w:val="single" w:sz="8" w:color="F0FFFF"/>
            </w:tcBorders>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78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7,352</w:t>
            </w:r>
          </w:p>
        </w:tc>
        <w:tc>
          <w:tcPr>
            <w:tcW w:w="14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7,163</w:t>
            </w:r>
          </w:p>
        </w:tc>
        <w:tc>
          <w:tcPr>
            <w:tcW w:w="68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3</w:t>
            </w: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ind w:left="60"/>
              <w:spacing w:after="0" w:line="149" w:lineRule="exact"/>
              <w:rPr>
                <w:sz w:val="20"/>
                <w:szCs w:val="20"/>
                <w:color w:val="auto"/>
              </w:rPr>
            </w:pPr>
            <w:r>
              <w:rPr>
                <w:rFonts w:ascii="Arial" w:cs="Arial" w:eastAsia="Arial" w:hAnsi="Arial"/>
                <w:sz w:val="14"/>
                <w:szCs w:val="14"/>
                <w:color w:val="auto"/>
              </w:rPr>
              <w:t>Deposits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6,164</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6,248</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6,202</w:t>
            </w: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6,113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6,012</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6,164</w:t>
            </w: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6,012</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shd w:val="clear" w:color="auto" w:fill="F0FFFF"/>
          </w:tcPr>
          <w:p>
            <w:pPr>
              <w:ind w:left="60"/>
              <w:spacing w:after="0" w:line="149" w:lineRule="exact"/>
              <w:rPr>
                <w:sz w:val="20"/>
                <w:szCs w:val="20"/>
                <w:color w:val="auto"/>
              </w:rPr>
            </w:pPr>
            <w:r>
              <w:rPr>
                <w:rFonts w:ascii="Arial" w:cs="Arial" w:eastAsia="Arial" w:hAnsi="Arial"/>
                <w:sz w:val="14"/>
                <w:szCs w:val="14"/>
                <w:color w:val="auto"/>
              </w:rPr>
              <w:t>Shareholders’ equity</w:t>
            </w:r>
          </w:p>
        </w:tc>
        <w:tc>
          <w:tcPr>
            <w:tcW w:w="100" w:type="dxa"/>
            <w:vAlign w:val="bottom"/>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722</w:t>
            </w:r>
          </w:p>
        </w:tc>
        <w:tc>
          <w:tcPr>
            <w:tcW w:w="240" w:type="dxa"/>
            <w:vAlign w:val="bottom"/>
            <w:tcBorders>
              <w:righ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704</w:t>
            </w:r>
          </w:p>
        </w:tc>
        <w:tc>
          <w:tcPr>
            <w:tcW w:w="80" w:type="dxa"/>
            <w:vAlign w:val="bottom"/>
            <w:shd w:val="clear" w:color="auto" w:fill="F0FFFF"/>
          </w:tcPr>
          <w:p>
            <w:pPr>
              <w:spacing w:after="0"/>
              <w:rPr>
                <w:sz w:val="12"/>
                <w:szCs w:val="12"/>
                <w:color w:val="auto"/>
              </w:rPr>
            </w:pPr>
          </w:p>
        </w:tc>
        <w:tc>
          <w:tcPr>
            <w:tcW w:w="82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796</w:t>
            </w: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852</w:t>
            </w:r>
          </w:p>
        </w:tc>
        <w:tc>
          <w:tcPr>
            <w:tcW w:w="220" w:type="dxa"/>
            <w:vAlign w:val="bottom"/>
            <w:tcBorders>
              <w:right w:val="single" w:sz="8" w:color="F0FFFF"/>
            </w:tcBorders>
            <w:shd w:val="clear" w:color="auto" w:fill="F0FFFF"/>
          </w:tcPr>
          <w:p>
            <w:pPr>
              <w:spacing w:after="0"/>
              <w:rPr>
                <w:sz w:val="12"/>
                <w:szCs w:val="12"/>
                <w:color w:val="auto"/>
              </w:rPr>
            </w:pPr>
          </w:p>
        </w:tc>
        <w:tc>
          <w:tcPr>
            <w:tcW w:w="80" w:type="dxa"/>
            <w:vAlign w:val="bottom"/>
            <w:shd w:val="clear" w:color="auto" w:fill="F0FFFF"/>
          </w:tcPr>
          <w:p>
            <w:pPr>
              <w:spacing w:after="0"/>
              <w:rPr>
                <w:sz w:val="12"/>
                <w:szCs w:val="12"/>
                <w:color w:val="auto"/>
              </w:rPr>
            </w:pPr>
          </w:p>
        </w:tc>
        <w:tc>
          <w:tcPr>
            <w:tcW w:w="600" w:type="dxa"/>
            <w:vAlign w:val="bottom"/>
            <w:shd w:val="clear" w:color="auto" w:fill="F0FFFF"/>
          </w:tcPr>
          <w:p>
            <w:pPr>
              <w:jc w:val="right"/>
              <w:spacing w:after="0" w:line="149" w:lineRule="exact"/>
              <w:rPr>
                <w:sz w:val="20"/>
                <w:szCs w:val="20"/>
                <w:color w:val="auto"/>
              </w:rPr>
            </w:pPr>
            <w:r>
              <w:rPr>
                <w:rFonts w:ascii="Arial" w:cs="Arial" w:eastAsia="Arial" w:hAnsi="Arial"/>
                <w:sz w:val="14"/>
                <w:szCs w:val="14"/>
                <w:color w:val="auto"/>
              </w:rPr>
              <w:t>829</w:t>
            </w:r>
          </w:p>
        </w:tc>
        <w:tc>
          <w:tcPr>
            <w:tcW w:w="1240" w:type="dxa"/>
            <w:vAlign w:val="bottom"/>
            <w:tcBorders>
              <w:left w:val="single" w:sz="8" w:color="F0FFFF"/>
              <w:right w:val="single" w:sz="8" w:color="F0FFFF"/>
            </w:tcBorders>
            <w:gridSpan w:val="3"/>
            <w:shd w:val="clear" w:color="auto" w:fill="F0FFFF"/>
          </w:tcPr>
          <w:p>
            <w:pPr>
              <w:jc w:val="right"/>
              <w:ind w:right="180"/>
              <w:spacing w:after="0" w:line="149" w:lineRule="exact"/>
              <w:rPr>
                <w:sz w:val="20"/>
                <w:szCs w:val="20"/>
                <w:color w:val="auto"/>
              </w:rPr>
            </w:pPr>
            <w:r>
              <w:rPr>
                <w:rFonts w:ascii="Arial" w:cs="Arial" w:eastAsia="Arial" w:hAnsi="Arial"/>
                <w:sz w:val="14"/>
                <w:szCs w:val="14"/>
                <w:color w:val="auto"/>
              </w:rPr>
              <w:t>(13)</w:t>
            </w:r>
          </w:p>
        </w:tc>
        <w:tc>
          <w:tcPr>
            <w:tcW w:w="120" w:type="dxa"/>
            <w:vAlign w:val="bottom"/>
            <w:shd w:val="clear" w:color="auto" w:fill="F0FFFF"/>
          </w:tcPr>
          <w:p>
            <w:pPr>
              <w:spacing w:after="0"/>
              <w:rPr>
                <w:sz w:val="12"/>
                <w:szCs w:val="12"/>
                <w:color w:val="auto"/>
              </w:rPr>
            </w:pPr>
          </w:p>
        </w:tc>
        <w:tc>
          <w:tcPr>
            <w:tcW w:w="780" w:type="dxa"/>
            <w:vAlign w:val="bottom"/>
            <w:tcBorders>
              <w:right w:val="single" w:sz="8" w:color="F0FFFF"/>
            </w:tcBorders>
            <w:gridSpan w:val="2"/>
            <w:shd w:val="clear" w:color="auto" w:fill="F0FFFF"/>
          </w:tcPr>
          <w:p>
            <w:pPr>
              <w:jc w:val="right"/>
              <w:ind w:right="240"/>
              <w:spacing w:after="0" w:line="149" w:lineRule="exact"/>
              <w:rPr>
                <w:sz w:val="20"/>
                <w:szCs w:val="20"/>
                <w:color w:val="auto"/>
              </w:rPr>
            </w:pPr>
            <w:r>
              <w:rPr>
                <w:rFonts w:ascii="Arial" w:cs="Arial" w:eastAsia="Arial" w:hAnsi="Arial"/>
                <w:sz w:val="14"/>
                <w:szCs w:val="14"/>
                <w:color w:val="auto"/>
              </w:rPr>
              <w:t>722</w:t>
            </w:r>
          </w:p>
        </w:tc>
        <w:tc>
          <w:tcPr>
            <w:tcW w:w="140" w:type="dxa"/>
            <w:vAlign w:val="bottom"/>
            <w:shd w:val="clear" w:color="auto" w:fill="F0FFFF"/>
          </w:tcPr>
          <w:p>
            <w:pPr>
              <w:spacing w:after="0"/>
              <w:rPr>
                <w:sz w:val="12"/>
                <w:szCs w:val="12"/>
                <w:color w:val="auto"/>
              </w:rPr>
            </w:pPr>
          </w:p>
        </w:tc>
        <w:tc>
          <w:tcPr>
            <w:tcW w:w="760" w:type="dxa"/>
            <w:vAlign w:val="bottom"/>
            <w:gridSpan w:val="2"/>
            <w:shd w:val="clear" w:color="auto" w:fill="F0FFFF"/>
          </w:tcPr>
          <w:p>
            <w:pPr>
              <w:jc w:val="right"/>
              <w:ind w:right="220"/>
              <w:spacing w:after="0" w:line="149" w:lineRule="exact"/>
              <w:rPr>
                <w:sz w:val="20"/>
                <w:szCs w:val="20"/>
                <w:color w:val="auto"/>
              </w:rPr>
            </w:pPr>
            <w:r>
              <w:rPr>
                <w:rFonts w:ascii="Arial" w:cs="Arial" w:eastAsia="Arial" w:hAnsi="Arial"/>
                <w:sz w:val="14"/>
                <w:szCs w:val="14"/>
                <w:color w:val="auto"/>
              </w:rPr>
              <w:t>829</w:t>
            </w:r>
          </w:p>
        </w:tc>
        <w:tc>
          <w:tcPr>
            <w:tcW w:w="800" w:type="dxa"/>
            <w:vAlign w:val="bottom"/>
            <w:gridSpan w:val="2"/>
            <w:shd w:val="clear" w:color="auto" w:fill="F0FFFF"/>
          </w:tcPr>
          <w:p>
            <w:pPr>
              <w:jc w:val="right"/>
              <w:ind w:right="8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3160" w:type="dxa"/>
            <w:vAlign w:val="bottom"/>
          </w:tcPr>
          <w:p>
            <w:pPr>
              <w:ind w:left="60"/>
              <w:spacing w:after="0"/>
              <w:rPr>
                <w:sz w:val="20"/>
                <w:szCs w:val="20"/>
                <w:color w:val="auto"/>
              </w:rPr>
            </w:pPr>
            <w:r>
              <w:rPr>
                <w:rFonts w:ascii="Arial" w:cs="Arial" w:eastAsia="Arial" w:hAnsi="Arial"/>
                <w:sz w:val="14"/>
                <w:szCs w:val="14"/>
                <w:color w:val="auto"/>
              </w:rPr>
              <w:t xml:space="preserve">Common shares outstanding </w:t>
            </w:r>
            <w:r>
              <w:rPr>
                <w:rFonts w:ascii="Arial" w:cs="Arial" w:eastAsia="Arial" w:hAnsi="Arial"/>
                <w:sz w:val="14"/>
                <w:szCs w:val="14"/>
                <w:i w:val="1"/>
                <w:iCs w:val="1"/>
                <w:color w:val="auto"/>
              </w:rPr>
              <w:t>(thousands)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60,139</w:t>
            </w:r>
          </w:p>
        </w:tc>
        <w:tc>
          <w:tcPr>
            <w:tcW w:w="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60,092</w:t>
            </w:r>
          </w:p>
        </w:tc>
        <w:tc>
          <w:tcPr>
            <w:tcW w:w="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59,432</w:t>
            </w:r>
          </w:p>
        </w:tc>
        <w:tc>
          <w:tcPr>
            <w:tcW w:w="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59,412</w:t>
            </w: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57,831</w:t>
            </w: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60,139</w:t>
            </w: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57,831</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60" w:right="260" w:hanging="352"/>
        <w:spacing w:after="0" w:line="217" w:lineRule="auto"/>
        <w:tabs>
          <w:tab w:leader="none" w:pos="360" w:val="left"/>
        </w:tabs>
        <w:numPr>
          <w:ilvl w:val="0"/>
          <w:numId w:val="4"/>
        </w:numPr>
        <w:rPr>
          <w:rFonts w:ascii="Arial" w:cs="Arial" w:eastAsia="Arial" w:hAnsi="Arial"/>
          <w:sz w:val="14"/>
          <w:szCs w:val="14"/>
          <w:color w:val="auto"/>
        </w:rPr>
      </w:pPr>
      <w:r>
        <w:rPr>
          <w:rFonts w:ascii="Arial" w:cs="Arial" w:eastAsia="Arial" w:hAnsi="Arial"/>
          <w:sz w:val="18"/>
          <w:szCs w:val="18"/>
          <w:color w:val="auto"/>
        </w:rPr>
        <w:t xml:space="preserve">Net income available to common shareholders, which is net of preferred stock dividends, divided by average realized common equity, which excludes accumulated other comprehensive income (loss). </w:t>
      </w:r>
      <w:r>
        <w:rPr>
          <w:rFonts w:ascii="Arial" w:cs="Arial" w:eastAsia="Arial" w:hAnsi="Arial"/>
          <w:sz w:val="25"/>
          <w:szCs w:val="25"/>
          <w:color w:val="auto"/>
          <w:vertAlign w:val="superscript"/>
        </w:rPr>
        <w:t>(2)</w:t>
      </w:r>
      <w:r>
        <w:rPr>
          <w:rFonts w:ascii="Arial" w:cs="Arial" w:eastAsia="Arial" w:hAnsi="Arial"/>
          <w:sz w:val="18"/>
          <w:szCs w:val="18"/>
          <w:color w:val="auto"/>
        </w:rPr>
        <w:t xml:space="preserve"> Excludes effect of acquisition related intangibles and associated</w:t>
      </w:r>
    </w:p>
    <w:p>
      <w:pPr>
        <w:spacing w:after="0" w:line="1" w:lineRule="exact"/>
        <w:rPr>
          <w:rFonts w:ascii="Arial" w:cs="Arial" w:eastAsia="Arial" w:hAnsi="Arial"/>
          <w:sz w:val="14"/>
          <w:szCs w:val="14"/>
          <w:color w:val="auto"/>
        </w:rPr>
      </w:pPr>
    </w:p>
    <w:p>
      <w:pPr>
        <w:ind w:left="360"/>
        <w:spacing w:after="0"/>
        <w:rPr>
          <w:rFonts w:ascii="Arial" w:cs="Arial" w:eastAsia="Arial" w:hAnsi="Arial"/>
          <w:sz w:val="14"/>
          <w:szCs w:val="14"/>
          <w:color w:val="auto"/>
        </w:rPr>
      </w:pPr>
      <w:r>
        <w:rPr>
          <w:rFonts w:ascii="Arial" w:cs="Arial" w:eastAsia="Arial" w:hAnsi="Arial"/>
          <w:sz w:val="18"/>
          <w:szCs w:val="18"/>
          <w:color w:val="auto"/>
        </w:rPr>
        <w:t xml:space="preserve">amortization. </w:t>
      </w:r>
      <w:r>
        <w:rPr>
          <w:rFonts w:ascii="Arial" w:cs="Arial" w:eastAsia="Arial" w:hAnsi="Arial"/>
          <w:sz w:val="25"/>
          <w:szCs w:val="25"/>
          <w:color w:val="auto"/>
          <w:vertAlign w:val="superscript"/>
        </w:rPr>
        <w:t>(3)</w:t>
      </w:r>
      <w:r>
        <w:rPr>
          <w:rFonts w:ascii="Arial" w:cs="Arial" w:eastAsia="Arial" w:hAnsi="Arial"/>
          <w:sz w:val="18"/>
          <w:szCs w:val="18"/>
          <w:color w:val="auto"/>
        </w:rPr>
        <w:t xml:space="preserve"> Annualized. </w:t>
      </w:r>
      <w:r>
        <w:rPr>
          <w:rFonts w:ascii="Arial" w:cs="Arial" w:eastAsia="Arial" w:hAnsi="Arial"/>
          <w:sz w:val="25"/>
          <w:szCs w:val="25"/>
          <w:color w:val="auto"/>
          <w:vertAlign w:val="superscript"/>
        </w:rPr>
        <w:t>(4)</w:t>
      </w:r>
      <w:r>
        <w:rPr>
          <w:rFonts w:ascii="Arial" w:cs="Arial" w:eastAsia="Arial" w:hAnsi="Arial"/>
          <w:sz w:val="18"/>
          <w:szCs w:val="18"/>
          <w:color w:val="auto"/>
        </w:rPr>
        <w:t xml:space="preserve">  Calculated as of period-end.</w:t>
      </w:r>
    </w:p>
    <w:p>
      <w:pPr>
        <w:spacing w:after="0" w:line="129" w:lineRule="exact"/>
        <w:rPr>
          <w:sz w:val="20"/>
          <w:szCs w:val="20"/>
          <w:color w:val="auto"/>
        </w:rPr>
      </w:pPr>
    </w:p>
    <w:p>
      <w:pPr>
        <w:ind w:left="5620" w:right="4380" w:hanging="5612"/>
        <w:spacing w:after="0" w:line="810" w:lineRule="auto"/>
        <w:tabs>
          <w:tab w:leader="none" w:pos="355"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Excludes loans and foreclosed properties covered by loss sharing agreements with the FDIC.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34" w:right="239" w:bottom="1440" w:gutter="0" w:footer="0" w:header="0"/>
        </w:sectPr>
      </w:pPr>
    </w:p>
    <w:bookmarkStart w:id="44" w:name="page45"/>
    <w:bookmarkEnd w:id="44"/>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 Continued - Non-GAAP Performance Measures Reconciliation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437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3750" cy="1714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2014</w:t>
            </w:r>
          </w:p>
        </w:tc>
        <w:tc>
          <w:tcPr>
            <w:tcW w:w="8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2013</w:t>
            </w: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7"/>
              </w:rPr>
              <w:t>For the Six Months</w:t>
            </w:r>
          </w:p>
        </w:tc>
        <w:tc>
          <w:tcPr>
            <w:tcW w:w="0" w:type="dxa"/>
            <w:vAlign w:val="bottom"/>
          </w:tcPr>
          <w:p>
            <w:pPr>
              <w:spacing w:after="0"/>
              <w:rPr>
                <w:sz w:val="1"/>
                <w:szCs w:val="1"/>
                <w:color w:val="auto"/>
              </w:rPr>
            </w:pPr>
          </w:p>
        </w:tc>
      </w:tr>
      <w:tr>
        <w:trPr>
          <w:trHeight w:val="223"/>
        </w:trPr>
        <w:tc>
          <w:tcPr>
            <w:tcW w:w="3360" w:type="dxa"/>
            <w:vAlign w:val="bottom"/>
            <w:gridSpan w:val="3"/>
          </w:tcPr>
          <w:p>
            <w:pPr>
              <w:spacing w:after="0"/>
              <w:rPr>
                <w:sz w:val="20"/>
                <w:szCs w:val="20"/>
                <w:color w:val="auto"/>
              </w:rPr>
            </w:pPr>
            <w:r>
              <w:rPr>
                <w:rFonts w:ascii="Arial" w:cs="Arial" w:eastAsia="Arial" w:hAnsi="Arial"/>
                <w:sz w:val="18"/>
                <w:szCs w:val="18"/>
                <w:i w:val="1"/>
                <w:iCs w:val="1"/>
                <w:color w:val="auto"/>
              </w:rPr>
              <w:t>(in thousands, except per share</w:t>
            </w:r>
          </w:p>
        </w:tc>
        <w:tc>
          <w:tcPr>
            <w:tcW w:w="100" w:type="dxa"/>
            <w:vAlign w:val="bottom"/>
          </w:tcPr>
          <w:p>
            <w:pPr>
              <w:spacing w:after="0"/>
              <w:rPr>
                <w:sz w:val="19"/>
                <w:szCs w:val="19"/>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2"/>
              </w:rPr>
              <w:t>Second</w:t>
            </w:r>
          </w:p>
        </w:tc>
        <w:tc>
          <w:tcPr>
            <w:tcW w:w="100" w:type="dxa"/>
            <w:vAlign w:val="bottom"/>
          </w:tcPr>
          <w:p>
            <w:pPr>
              <w:spacing w:after="0"/>
              <w:rPr>
                <w:sz w:val="19"/>
                <w:szCs w:val="19"/>
                <w:color w:val="auto"/>
              </w:rPr>
            </w:pPr>
          </w:p>
        </w:tc>
        <w:tc>
          <w:tcPr>
            <w:tcW w:w="800" w:type="dxa"/>
            <w:vAlign w:val="bottom"/>
          </w:tcPr>
          <w:p>
            <w:pPr>
              <w:jc w:val="right"/>
              <w:ind w:right="190"/>
              <w:spacing w:after="0"/>
              <w:rPr>
                <w:sz w:val="20"/>
                <w:szCs w:val="20"/>
                <w:color w:val="auto"/>
              </w:rPr>
            </w:pPr>
            <w:r>
              <w:rPr>
                <w:rFonts w:ascii="Arial" w:cs="Arial" w:eastAsia="Arial" w:hAnsi="Arial"/>
                <w:sz w:val="18"/>
                <w:szCs w:val="18"/>
                <w:b w:val="1"/>
                <w:bCs w:val="1"/>
                <w:color w:val="auto"/>
              </w:rPr>
              <w:t>First</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Fourth</w:t>
            </w:r>
          </w:p>
        </w:tc>
        <w:tc>
          <w:tcPr>
            <w:tcW w:w="120" w:type="dxa"/>
            <w:vAlign w:val="bottom"/>
          </w:tcPr>
          <w:p>
            <w:pPr>
              <w:spacing w:after="0"/>
              <w:rPr>
                <w:sz w:val="19"/>
                <w:szCs w:val="19"/>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Third</w:t>
            </w:r>
          </w:p>
        </w:tc>
        <w:tc>
          <w:tcPr>
            <w:tcW w:w="120" w:type="dxa"/>
            <w:vAlign w:val="bottom"/>
          </w:tcPr>
          <w:p>
            <w:pPr>
              <w:spacing w:after="0"/>
              <w:rPr>
                <w:sz w:val="19"/>
                <w:szCs w:val="19"/>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Second</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Ended June 30,</w:t>
            </w:r>
          </w:p>
        </w:tc>
        <w:tc>
          <w:tcPr>
            <w:tcW w:w="0" w:type="dxa"/>
            <w:vAlign w:val="bottom"/>
          </w:tcPr>
          <w:p>
            <w:pPr>
              <w:spacing w:after="0"/>
              <w:rPr>
                <w:sz w:val="1"/>
                <w:szCs w:val="1"/>
                <w:color w:val="auto"/>
              </w:rPr>
            </w:pPr>
          </w:p>
        </w:tc>
      </w:tr>
      <w:tr>
        <w:trPr>
          <w:trHeight w:val="223"/>
        </w:trPr>
        <w:tc>
          <w:tcPr>
            <w:tcW w:w="3360" w:type="dxa"/>
            <w:vAlign w:val="bottom"/>
            <w:gridSpan w:val="3"/>
          </w:tcPr>
          <w:p>
            <w:pPr>
              <w:spacing w:after="0"/>
              <w:rPr>
                <w:sz w:val="20"/>
                <w:szCs w:val="20"/>
                <w:color w:val="auto"/>
              </w:rPr>
            </w:pPr>
            <w:r>
              <w:rPr>
                <w:rFonts w:ascii="Arial" w:cs="Arial" w:eastAsia="Arial" w:hAnsi="Arial"/>
                <w:sz w:val="18"/>
                <w:szCs w:val="18"/>
                <w:i w:val="1"/>
                <w:iCs w:val="1"/>
                <w:color w:val="auto"/>
              </w:rPr>
              <w:t>data; taxable equivalent)</w:t>
            </w:r>
          </w:p>
        </w:tc>
        <w:tc>
          <w:tcPr>
            <w:tcW w:w="10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8"/>
              </w:rPr>
              <w:t>Quarter</w:t>
            </w:r>
          </w:p>
        </w:tc>
        <w:tc>
          <w:tcPr>
            <w:tcW w:w="10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8"/>
              </w:rPr>
              <w:t>Quarter</w:t>
            </w:r>
          </w:p>
        </w:tc>
        <w:tc>
          <w:tcPr>
            <w:tcW w:w="12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Quarter</w:t>
            </w:r>
          </w:p>
        </w:tc>
        <w:tc>
          <w:tcPr>
            <w:tcW w:w="120" w:type="dxa"/>
            <w:vAlign w:val="bottom"/>
          </w:tcPr>
          <w:p>
            <w:pPr>
              <w:spacing w:after="0"/>
              <w:rPr>
                <w:sz w:val="19"/>
                <w:szCs w:val="19"/>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Quarter</w:t>
            </w:r>
          </w:p>
        </w:tc>
        <w:tc>
          <w:tcPr>
            <w:tcW w:w="120" w:type="dxa"/>
            <w:vAlign w:val="bottom"/>
          </w:tcPr>
          <w:p>
            <w:pPr>
              <w:spacing w:after="0"/>
              <w:rPr>
                <w:sz w:val="19"/>
                <w:szCs w:val="19"/>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8"/>
              </w:rPr>
              <w:t>Quarter</w:t>
            </w: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2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b w:val="1"/>
                <w:bCs w:val="1"/>
                <w:color w:val="auto"/>
              </w:rPr>
              <w:t>Interest revenue reconciliation</w:t>
            </w:r>
          </w:p>
        </w:tc>
        <w:tc>
          <w:tcPr>
            <w:tcW w:w="120" w:type="dxa"/>
            <w:vAlign w:val="bottom"/>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780" w:type="dxa"/>
            <w:vAlign w:val="bottom"/>
            <w:tcBorders>
              <w:top w:val="single" w:sz="8" w:color="auto"/>
            </w:tcBorders>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800" w:type="dxa"/>
            <w:vAlign w:val="bottom"/>
            <w:tcBorders>
              <w:top w:val="single" w:sz="8" w:color="auto"/>
            </w:tcBorders>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780" w:type="dxa"/>
            <w:vAlign w:val="bottom"/>
            <w:tcBorders>
              <w:top w:val="single" w:sz="8" w:color="auto"/>
            </w:tcBorders>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780" w:type="dxa"/>
            <w:vAlign w:val="bottom"/>
            <w:tcBorders>
              <w:top w:val="single" w:sz="8" w:color="auto"/>
            </w:tcBorders>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20" w:type="dxa"/>
            <w:vAlign w:val="bottom"/>
            <w:tcBorders>
              <w:top w:val="single" w:sz="8" w:color="auto"/>
            </w:tcBorders>
            <w:shd w:val="clear" w:color="auto" w:fill="F0FFFF"/>
          </w:tcPr>
          <w:p>
            <w:pPr>
              <w:spacing w:after="0"/>
              <w:rPr>
                <w:sz w:val="18"/>
                <w:szCs w:val="18"/>
                <w:color w:val="auto"/>
              </w:rPr>
            </w:pPr>
          </w:p>
        </w:tc>
        <w:tc>
          <w:tcPr>
            <w:tcW w:w="780" w:type="dxa"/>
            <w:vAlign w:val="bottom"/>
            <w:tcBorders>
              <w:top w:val="single" w:sz="8" w:color="auto"/>
            </w:tcBorders>
            <w:shd w:val="clear" w:color="auto" w:fill="F0FFFF"/>
          </w:tcPr>
          <w:p>
            <w:pPr>
              <w:spacing w:after="0"/>
              <w:rPr>
                <w:sz w:val="18"/>
                <w:szCs w:val="18"/>
                <w:color w:val="auto"/>
              </w:rPr>
            </w:pPr>
          </w:p>
        </w:tc>
        <w:tc>
          <w:tcPr>
            <w:tcW w:w="280" w:type="dxa"/>
            <w:vAlign w:val="bottom"/>
            <w:tcBorders>
              <w:right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720" w:type="dxa"/>
            <w:vAlign w:val="bottom"/>
            <w:tcBorders>
              <w:top w:val="single" w:sz="8" w:color="auto"/>
            </w:tcBorders>
            <w:shd w:val="clear" w:color="auto" w:fill="F0FFFF"/>
          </w:tcPr>
          <w:p>
            <w:pPr>
              <w:spacing w:after="0"/>
              <w:rPr>
                <w:sz w:val="18"/>
                <w:szCs w:val="18"/>
                <w:color w:val="auto"/>
              </w:rPr>
            </w:pPr>
          </w:p>
        </w:tc>
        <w:tc>
          <w:tcPr>
            <w:tcW w:w="280" w:type="dxa"/>
            <w:vAlign w:val="bottom"/>
            <w:tcBorders>
              <w:right w:val="single" w:sz="8" w:color="F0FFFF"/>
            </w:tcBorders>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740" w:type="dxa"/>
            <w:vAlign w:val="bottom"/>
            <w:tcBorders>
              <w:top w:val="single" w:sz="8" w:color="auto"/>
            </w:tcBorders>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Interest revenue - taxable equivalent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61,783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60,495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61,695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61,426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62,088</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122,278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124,202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Taxable equivalent adjustment</w:t>
            </w:r>
          </w:p>
        </w:tc>
        <w:tc>
          <w:tcPr>
            <w:tcW w:w="1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F0FFFF"/>
          </w:tcPr>
          <w:p>
            <w:pPr>
              <w:spacing w:after="0"/>
              <w:rPr>
                <w:sz w:val="18"/>
                <w:szCs w:val="18"/>
                <w:color w:val="auto"/>
              </w:rPr>
            </w:pPr>
          </w:p>
        </w:tc>
        <w:tc>
          <w:tcPr>
            <w:tcW w:w="1060" w:type="dxa"/>
            <w:vAlign w:val="bottom"/>
            <w:tcBorders>
              <w:right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F0FFFF"/>
          </w:tcPr>
          <w:p>
            <w:pPr>
              <w:spacing w:after="0"/>
              <w:rPr>
                <w:sz w:val="18"/>
                <w:szCs w:val="18"/>
                <w:color w:val="auto"/>
              </w:rPr>
            </w:pPr>
          </w:p>
        </w:tc>
        <w:tc>
          <w:tcPr>
            <w:tcW w:w="1040" w:type="dxa"/>
            <w:vAlign w:val="bottom"/>
            <w:tcBorders>
              <w:right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F0FFFF"/>
          </w:tcPr>
          <w:p>
            <w:pPr>
              <w:spacing w:after="0"/>
              <w:rPr>
                <w:sz w:val="18"/>
                <w:szCs w:val="18"/>
                <w:color w:val="auto"/>
              </w:rPr>
            </w:pPr>
          </w:p>
        </w:tc>
        <w:tc>
          <w:tcPr>
            <w:tcW w:w="10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(368)</w:t>
            </w:r>
          </w:p>
        </w:tc>
        <w:tc>
          <w:tcPr>
            <w:tcW w:w="180" w:type="dxa"/>
            <w:vAlign w:val="bottom"/>
            <w:shd w:val="clear" w:color="auto" w:fill="F0FFFF"/>
          </w:tcPr>
          <w:p>
            <w:pPr>
              <w:spacing w:after="0"/>
              <w:rPr>
                <w:sz w:val="18"/>
                <w:szCs w:val="18"/>
                <w:color w:val="auto"/>
              </w:rPr>
            </w:pPr>
          </w:p>
        </w:tc>
        <w:tc>
          <w:tcPr>
            <w:tcW w:w="100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(734)</w:t>
            </w:r>
          </w:p>
        </w:tc>
        <w:tc>
          <w:tcPr>
            <w:tcW w:w="16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Borders>
              <w:right w:val="single" w:sz="8" w:color="F0FFFF"/>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Borders>
              <w:right w:val="single" w:sz="8" w:color="F0FFFF"/>
            </w:tcBorders>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160"/>
              <w:spacing w:after="0"/>
              <w:rPr>
                <w:sz w:val="20"/>
                <w:szCs w:val="20"/>
                <w:color w:val="auto"/>
              </w:rPr>
            </w:pPr>
            <w:r>
              <w:rPr>
                <w:rFonts w:ascii="Arial" w:cs="Arial" w:eastAsia="Arial" w:hAnsi="Arial"/>
                <w:sz w:val="18"/>
                <w:szCs w:val="18"/>
                <w:color w:val="auto"/>
              </w:rPr>
              <w:t>Interest revenue (GAAP)</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61,406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60,138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61,315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61,056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61,720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121,544</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123,469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80" w:type="dxa"/>
            <w:vAlign w:val="bottom"/>
            <w:tcBorders>
              <w:right w:val="single" w:sz="8" w:color="F0FFFF"/>
            </w:tcBorders>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280" w:type="dxa"/>
            <w:vAlign w:val="bottom"/>
            <w:tcBorders>
              <w:right w:val="single" w:sz="8" w:color="F0FFFF"/>
            </w:tcBorders>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Net interest revenue reconciliation</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Net interest revenue - taxable equivalent</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54,950</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54,169</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55,879</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54,257</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54,931</w:t>
            </w: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109,119</w:t>
            </w: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109,505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Taxable equivalent adjustment</w:t>
            </w: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(368)</w:t>
            </w:r>
          </w:p>
        </w:tc>
        <w:tc>
          <w:tcPr>
            <w:tcW w:w="1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(734)</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34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Net interest revenue (GAAP)</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54,573</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53,812</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55,499</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53,887</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54,563</w:t>
            </w: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108,385</w:t>
            </w: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108,772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Borders>
              <w:top w:val="single" w:sz="8" w:color="F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80" w:type="dxa"/>
            <w:vAlign w:val="bottom"/>
            <w:tcBorders>
              <w:top w:val="single" w:sz="8" w:color="F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shd w:val="clear" w:color="auto" w:fill="F0FFFF"/>
          </w:tcPr>
          <w:p>
            <w:pPr>
              <w:spacing w:after="0"/>
              <w:rPr>
                <w:sz w:val="20"/>
                <w:szCs w:val="20"/>
                <w:color w:val="auto"/>
              </w:rPr>
            </w:pPr>
            <w:r>
              <w:rPr>
                <w:rFonts w:ascii="Arial" w:cs="Arial" w:eastAsia="Arial" w:hAnsi="Arial"/>
                <w:sz w:val="18"/>
                <w:szCs w:val="18"/>
                <w:b w:val="1"/>
                <w:bCs w:val="1"/>
                <w:color w:val="auto"/>
              </w:rPr>
              <w:t>Total revenue reconciliation</w:t>
            </w:r>
          </w:p>
        </w:tc>
        <w:tc>
          <w:tcPr>
            <w:tcW w:w="10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80" w:type="dxa"/>
            <w:vAlign w:val="bottom"/>
            <w:tcBorders>
              <w:right w:val="single" w:sz="8" w:color="F0FFFF"/>
            </w:tcBorders>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280" w:type="dxa"/>
            <w:vAlign w:val="bottom"/>
            <w:tcBorders>
              <w:right w:val="single" w:sz="8" w:color="F0FFFF"/>
            </w:tcBorders>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Total operating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66,893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63,845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66,398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65,482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22,374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130,738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78,859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Taxable equivalent adjustment</w:t>
            </w:r>
          </w:p>
        </w:tc>
        <w:tc>
          <w:tcPr>
            <w:tcW w:w="1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F0FFFF"/>
          </w:tcPr>
          <w:p>
            <w:pPr>
              <w:spacing w:after="0"/>
              <w:rPr>
                <w:sz w:val="18"/>
                <w:szCs w:val="18"/>
                <w:color w:val="auto"/>
              </w:rPr>
            </w:pPr>
          </w:p>
        </w:tc>
        <w:tc>
          <w:tcPr>
            <w:tcW w:w="1060" w:type="dxa"/>
            <w:vAlign w:val="bottom"/>
            <w:tcBorders>
              <w:right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F0FFFF"/>
          </w:tcPr>
          <w:p>
            <w:pPr>
              <w:spacing w:after="0"/>
              <w:rPr>
                <w:sz w:val="18"/>
                <w:szCs w:val="18"/>
                <w:color w:val="auto"/>
              </w:rPr>
            </w:pPr>
          </w:p>
        </w:tc>
        <w:tc>
          <w:tcPr>
            <w:tcW w:w="1040" w:type="dxa"/>
            <w:vAlign w:val="bottom"/>
            <w:tcBorders>
              <w:right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F0FFFF"/>
          </w:tcPr>
          <w:p>
            <w:pPr>
              <w:spacing w:after="0"/>
              <w:rPr>
                <w:sz w:val="18"/>
                <w:szCs w:val="18"/>
                <w:color w:val="auto"/>
              </w:rPr>
            </w:pPr>
          </w:p>
        </w:tc>
        <w:tc>
          <w:tcPr>
            <w:tcW w:w="10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(368)</w:t>
            </w:r>
          </w:p>
        </w:tc>
        <w:tc>
          <w:tcPr>
            <w:tcW w:w="180" w:type="dxa"/>
            <w:vAlign w:val="bottom"/>
            <w:shd w:val="clear" w:color="auto" w:fill="F0FFFF"/>
          </w:tcPr>
          <w:p>
            <w:pPr>
              <w:spacing w:after="0"/>
              <w:rPr>
                <w:sz w:val="18"/>
                <w:szCs w:val="18"/>
                <w:color w:val="auto"/>
              </w:rPr>
            </w:pPr>
          </w:p>
        </w:tc>
        <w:tc>
          <w:tcPr>
            <w:tcW w:w="100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(734)</w:t>
            </w:r>
          </w:p>
        </w:tc>
        <w:tc>
          <w:tcPr>
            <w:tcW w:w="16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Borders>
              <w:right w:val="single" w:sz="8" w:color="F0FFFF"/>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Borders>
              <w:right w:val="single" w:sz="8" w:color="F0FFFF"/>
            </w:tcBorders>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160"/>
              <w:spacing w:after="0"/>
              <w:rPr>
                <w:sz w:val="20"/>
                <w:szCs w:val="20"/>
                <w:color w:val="auto"/>
              </w:rPr>
            </w:pPr>
            <w:r>
              <w:rPr>
                <w:rFonts w:ascii="Arial" w:cs="Arial" w:eastAsia="Arial" w:hAnsi="Arial"/>
                <w:sz w:val="18"/>
                <w:szCs w:val="18"/>
                <w:color w:val="auto"/>
              </w:rPr>
              <w:t>Total revenue (GAAP)</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66,516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63,488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66,018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65,112</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22,006</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130,004</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78,126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80" w:type="dxa"/>
            <w:vAlign w:val="bottom"/>
            <w:tcBorders>
              <w:right w:val="single" w:sz="8" w:color="F0FFFF"/>
            </w:tcBorders>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280" w:type="dxa"/>
            <w:vAlign w:val="bottom"/>
            <w:tcBorders>
              <w:right w:val="single" w:sz="8" w:color="F0FFFF"/>
            </w:tcBorders>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b w:val="1"/>
                <w:bCs w:val="1"/>
                <w:color w:val="auto"/>
                <w:w w:val="95"/>
              </w:rPr>
              <w:t>Income (loss) before taxes reconciliation</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Income (loss) before taxes</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26,361</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24,795</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24,784</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25,385</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(26,449)</w:t>
            </w: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51,156</w:t>
            </w: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(13,734)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Taxable equivalent adjustment</w:t>
            </w: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(368)</w:t>
            </w:r>
          </w:p>
        </w:tc>
        <w:tc>
          <w:tcPr>
            <w:tcW w:w="1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(734)</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34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Income (loss) before taxes (GAAP)</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25,984</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24,438</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24,404</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25,015</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(26,817)</w:t>
            </w: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50,422</w:t>
            </w: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(14,467)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Borders>
              <w:top w:val="single" w:sz="8" w:color="F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80" w:type="dxa"/>
            <w:vAlign w:val="bottom"/>
            <w:tcBorders>
              <w:top w:val="single" w:sz="8" w:color="F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340" w:type="dxa"/>
            <w:vAlign w:val="bottom"/>
            <w:gridSpan w:val="2"/>
            <w:shd w:val="clear" w:color="auto" w:fill="F0FFFF"/>
          </w:tcPr>
          <w:p>
            <w:pPr>
              <w:spacing w:after="0" w:line="198" w:lineRule="exact"/>
              <w:rPr>
                <w:sz w:val="20"/>
                <w:szCs w:val="20"/>
                <w:color w:val="auto"/>
              </w:rPr>
            </w:pPr>
            <w:r>
              <w:rPr>
                <w:rFonts w:ascii="Arial" w:cs="Arial" w:eastAsia="Arial" w:hAnsi="Arial"/>
                <w:sz w:val="18"/>
                <w:szCs w:val="18"/>
                <w:b w:val="1"/>
                <w:bCs w:val="1"/>
                <w:color w:val="auto"/>
              </w:rPr>
              <w:t>Income tax expense (benefit)</w:t>
            </w:r>
          </w:p>
        </w:tc>
        <w:tc>
          <w:tcPr>
            <w:tcW w:w="10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260" w:type="dxa"/>
            <w:vAlign w:val="bottom"/>
            <w:tcBorders>
              <w:right w:val="single" w:sz="8" w:color="F0FFFF"/>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260" w:type="dxa"/>
            <w:vAlign w:val="bottom"/>
            <w:tcBorders>
              <w:right w:val="single" w:sz="8" w:color="F0FFFF"/>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28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280" w:type="dxa"/>
            <w:vAlign w:val="bottom"/>
            <w:tcBorders>
              <w:right w:val="single" w:sz="8" w:color="F0FFFF"/>
            </w:tcBorders>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40" w:type="dxa"/>
            <w:vAlign w:val="bottom"/>
            <w:gridSpan w:val="2"/>
            <w:shd w:val="clear" w:color="auto" w:fill="F0FFFF"/>
          </w:tcPr>
          <w:p>
            <w:pPr>
              <w:spacing w:after="0"/>
              <w:rPr>
                <w:sz w:val="20"/>
                <w:szCs w:val="20"/>
                <w:color w:val="auto"/>
              </w:rPr>
            </w:pPr>
            <w:r>
              <w:rPr>
                <w:rFonts w:ascii="Arial" w:cs="Arial" w:eastAsia="Arial" w:hAnsi="Arial"/>
                <w:sz w:val="18"/>
                <w:szCs w:val="18"/>
                <w:b w:val="1"/>
                <w:bCs w:val="1"/>
                <w:color w:val="auto"/>
              </w:rPr>
              <w:t>reconciliation</w:t>
            </w:r>
          </w:p>
        </w:tc>
        <w:tc>
          <w:tcPr>
            <w:tcW w:w="100" w:type="dxa"/>
            <w:vAlign w:val="bottom"/>
            <w:shd w:val="clear" w:color="auto" w:fill="F0FFFF"/>
          </w:tcPr>
          <w:p>
            <w:pPr>
              <w:spacing w:after="0"/>
              <w:rPr>
                <w:sz w:val="20"/>
                <w:szCs w:val="20"/>
                <w:color w:val="auto"/>
              </w:rPr>
            </w:pPr>
          </w:p>
        </w:tc>
        <w:tc>
          <w:tcPr>
            <w:tcW w:w="780" w:type="dxa"/>
            <w:vAlign w:val="bottom"/>
            <w:shd w:val="clear" w:color="auto" w:fill="F0FFFF"/>
          </w:tcPr>
          <w:p>
            <w:pPr>
              <w:spacing w:after="0"/>
              <w:rPr>
                <w:sz w:val="20"/>
                <w:szCs w:val="20"/>
                <w:color w:val="auto"/>
              </w:rPr>
            </w:pPr>
          </w:p>
        </w:tc>
        <w:tc>
          <w:tcPr>
            <w:tcW w:w="28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800" w:type="dxa"/>
            <w:vAlign w:val="bottom"/>
            <w:shd w:val="clear" w:color="auto" w:fill="F0FFFF"/>
          </w:tcPr>
          <w:p>
            <w:pPr>
              <w:spacing w:after="0"/>
              <w:rPr>
                <w:sz w:val="20"/>
                <w:szCs w:val="20"/>
                <w:color w:val="auto"/>
              </w:rPr>
            </w:pPr>
          </w:p>
        </w:tc>
        <w:tc>
          <w:tcPr>
            <w:tcW w:w="260" w:type="dxa"/>
            <w:vAlign w:val="bottom"/>
            <w:tcBorders>
              <w:right w:val="single" w:sz="8" w:color="F0FFFF"/>
            </w:tcBorders>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780" w:type="dxa"/>
            <w:vAlign w:val="bottom"/>
            <w:shd w:val="clear" w:color="auto" w:fill="F0FFFF"/>
          </w:tcPr>
          <w:p>
            <w:pPr>
              <w:spacing w:after="0"/>
              <w:rPr>
                <w:sz w:val="20"/>
                <w:szCs w:val="20"/>
                <w:color w:val="auto"/>
              </w:rPr>
            </w:pPr>
          </w:p>
        </w:tc>
        <w:tc>
          <w:tcPr>
            <w:tcW w:w="260" w:type="dxa"/>
            <w:vAlign w:val="bottom"/>
            <w:tcBorders>
              <w:right w:val="single" w:sz="8" w:color="F0FFFF"/>
            </w:tcBorders>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780" w:type="dxa"/>
            <w:vAlign w:val="bottom"/>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780" w:type="dxa"/>
            <w:vAlign w:val="bottom"/>
            <w:shd w:val="clear" w:color="auto" w:fill="F0FFFF"/>
          </w:tcPr>
          <w:p>
            <w:pPr>
              <w:spacing w:after="0"/>
              <w:rPr>
                <w:sz w:val="20"/>
                <w:szCs w:val="20"/>
                <w:color w:val="auto"/>
              </w:rPr>
            </w:pPr>
          </w:p>
        </w:tc>
        <w:tc>
          <w:tcPr>
            <w:tcW w:w="280" w:type="dxa"/>
            <w:vAlign w:val="bottom"/>
            <w:tcBorders>
              <w:right w:val="single" w:sz="8" w:color="F0FFFF"/>
            </w:tcBorders>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720" w:type="dxa"/>
            <w:vAlign w:val="bottom"/>
            <w:shd w:val="clear" w:color="auto" w:fill="F0FFFF"/>
          </w:tcPr>
          <w:p>
            <w:pPr>
              <w:spacing w:after="0"/>
              <w:rPr>
                <w:sz w:val="20"/>
                <w:szCs w:val="20"/>
                <w:color w:val="auto"/>
              </w:rPr>
            </w:pPr>
          </w:p>
        </w:tc>
        <w:tc>
          <w:tcPr>
            <w:tcW w:w="280" w:type="dxa"/>
            <w:vAlign w:val="bottom"/>
            <w:tcBorders>
              <w:right w:val="single" w:sz="8" w:color="F0FFFF"/>
            </w:tcBorders>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74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10,004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9,395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8,873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9,885</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(256,413)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19,399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(255,463)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Taxable equivalent adjustment</w:t>
            </w:r>
          </w:p>
        </w:tc>
        <w:tc>
          <w:tcPr>
            <w:tcW w:w="1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F0FFFF"/>
          </w:tcPr>
          <w:p>
            <w:pPr>
              <w:spacing w:after="0"/>
              <w:rPr>
                <w:sz w:val="18"/>
                <w:szCs w:val="18"/>
                <w:color w:val="auto"/>
              </w:rPr>
            </w:pPr>
          </w:p>
        </w:tc>
        <w:tc>
          <w:tcPr>
            <w:tcW w:w="1060" w:type="dxa"/>
            <w:vAlign w:val="bottom"/>
            <w:tcBorders>
              <w:right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(357)</w:t>
            </w:r>
          </w:p>
        </w:tc>
        <w:tc>
          <w:tcPr>
            <w:tcW w:w="120" w:type="dxa"/>
            <w:vAlign w:val="bottom"/>
            <w:shd w:val="clear" w:color="auto" w:fill="F0FFFF"/>
          </w:tcPr>
          <w:p>
            <w:pPr>
              <w:spacing w:after="0"/>
              <w:rPr>
                <w:sz w:val="18"/>
                <w:szCs w:val="18"/>
                <w:color w:val="auto"/>
              </w:rPr>
            </w:pPr>
          </w:p>
        </w:tc>
        <w:tc>
          <w:tcPr>
            <w:tcW w:w="1040" w:type="dxa"/>
            <w:vAlign w:val="bottom"/>
            <w:tcBorders>
              <w:right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(370)</w:t>
            </w:r>
          </w:p>
        </w:tc>
        <w:tc>
          <w:tcPr>
            <w:tcW w:w="120" w:type="dxa"/>
            <w:vAlign w:val="bottom"/>
            <w:shd w:val="clear" w:color="auto" w:fill="F0FFFF"/>
          </w:tcPr>
          <w:p>
            <w:pPr>
              <w:spacing w:after="0"/>
              <w:rPr>
                <w:sz w:val="18"/>
                <w:szCs w:val="18"/>
                <w:color w:val="auto"/>
              </w:rPr>
            </w:pPr>
          </w:p>
        </w:tc>
        <w:tc>
          <w:tcPr>
            <w:tcW w:w="10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(368)</w:t>
            </w:r>
          </w:p>
        </w:tc>
        <w:tc>
          <w:tcPr>
            <w:tcW w:w="180" w:type="dxa"/>
            <w:vAlign w:val="bottom"/>
            <w:shd w:val="clear" w:color="auto" w:fill="F0FFFF"/>
          </w:tcPr>
          <w:p>
            <w:pPr>
              <w:spacing w:after="0"/>
              <w:rPr>
                <w:sz w:val="18"/>
                <w:szCs w:val="18"/>
                <w:color w:val="auto"/>
              </w:rPr>
            </w:pPr>
          </w:p>
        </w:tc>
        <w:tc>
          <w:tcPr>
            <w:tcW w:w="100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(734)</w:t>
            </w:r>
          </w:p>
        </w:tc>
        <w:tc>
          <w:tcPr>
            <w:tcW w:w="16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Borders>
              <w:right w:val="single" w:sz="8" w:color="F0FFFF"/>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Borders>
              <w:right w:val="single" w:sz="8" w:color="F0FFFF"/>
            </w:tcBorders>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160"/>
              <w:spacing w:after="0"/>
              <w:rPr>
                <w:sz w:val="20"/>
                <w:szCs w:val="20"/>
                <w:color w:val="auto"/>
              </w:rPr>
            </w:pPr>
            <w:r>
              <w:rPr>
                <w:rFonts w:ascii="Arial" w:cs="Arial" w:eastAsia="Arial" w:hAnsi="Arial"/>
                <w:sz w:val="18"/>
                <w:szCs w:val="18"/>
                <w:color w:val="auto"/>
              </w:rPr>
              <w:t>Income tax expense (benefit) (GAAP)</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9,627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9,038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8,493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9,515</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(256,781)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18,665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(256,196)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80" w:type="dxa"/>
            <w:vAlign w:val="bottom"/>
            <w:tcBorders>
              <w:right w:val="single" w:sz="8" w:color="F0FFFF"/>
            </w:tcBorders>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280" w:type="dxa"/>
            <w:vAlign w:val="bottom"/>
            <w:tcBorders>
              <w:right w:val="single" w:sz="8" w:color="F0FFFF"/>
            </w:tcBorders>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34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Book value per common share</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60" w:type="dxa"/>
            <w:vAlign w:val="bottom"/>
            <w:gridSpan w:val="3"/>
          </w:tcPr>
          <w:p>
            <w:pPr>
              <w:spacing w:after="0"/>
              <w:rPr>
                <w:sz w:val="20"/>
                <w:szCs w:val="20"/>
                <w:color w:val="auto"/>
              </w:rPr>
            </w:pPr>
            <w:r>
              <w:rPr>
                <w:rFonts w:ascii="Arial" w:cs="Arial" w:eastAsia="Arial" w:hAnsi="Arial"/>
                <w:sz w:val="18"/>
                <w:szCs w:val="18"/>
                <w:b w:val="1"/>
                <w:bCs w:val="1"/>
                <w:color w:val="auto"/>
              </w:rPr>
              <w:t>reconciliation</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Tangible book value per common share</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11.91</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11.63</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11.26</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10.95</w:t>
            </w:r>
          </w:p>
        </w:tc>
        <w:tc>
          <w:tcPr>
            <w:tcW w:w="260" w:type="dxa"/>
            <w:vAlign w:val="bottom"/>
            <w:shd w:val="clear" w:color="auto" w:fill="F0FFFF"/>
          </w:tcPr>
          <w:p>
            <w:pPr>
              <w:spacing w:after="0"/>
              <w:rPr>
                <w:sz w:val="18"/>
                <w:szCs w:val="18"/>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10.82</w:t>
            </w: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11.91</w:t>
            </w: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Effect of goodwill and other intangibles</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340" w:type="dxa"/>
            <w:vAlign w:val="bottom"/>
            <w:gridSpan w:val="2"/>
            <w:shd w:val="clear" w:color="auto" w:fill="F0FFFF"/>
          </w:tcPr>
          <w:p>
            <w:pPr>
              <w:ind w:left="120"/>
              <w:spacing w:after="0"/>
              <w:rPr>
                <w:sz w:val="20"/>
                <w:szCs w:val="20"/>
                <w:color w:val="auto"/>
              </w:rPr>
            </w:pPr>
            <w:r>
              <w:rPr>
                <w:rFonts w:ascii="Arial" w:cs="Arial" w:eastAsia="Arial" w:hAnsi="Arial"/>
                <w:sz w:val="18"/>
                <w:szCs w:val="18"/>
                <w:color w:val="auto"/>
              </w:rPr>
              <w:t>Book value per common share (GAAP)</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11.94</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11.66</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11.30</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10.99</w:t>
            </w:r>
          </w:p>
        </w:tc>
        <w:tc>
          <w:tcPr>
            <w:tcW w:w="260" w:type="dxa"/>
            <w:vAlign w:val="bottom"/>
            <w:shd w:val="clear" w:color="auto" w:fill="F0FFFF"/>
          </w:tcPr>
          <w:p>
            <w:pPr>
              <w:spacing w:after="0"/>
              <w:rPr>
                <w:sz w:val="22"/>
                <w:szCs w:val="22"/>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10.90</w:t>
            </w:r>
          </w:p>
        </w:tc>
        <w:tc>
          <w:tcPr>
            <w:tcW w:w="180" w:type="dxa"/>
            <w:vAlign w:val="bottom"/>
            <w:shd w:val="clear" w:color="auto" w:fill="F0FFFF"/>
          </w:tcPr>
          <w:p>
            <w:pPr>
              <w:jc w:val="right"/>
              <w:ind w:right="25"/>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11.94</w:t>
            </w: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20" w:type="dxa"/>
            <w:vAlign w:val="bottom"/>
            <w:tcBorders>
              <w:top w:val="single" w:sz="8" w:color="F0FFFF"/>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Borders>
              <w:top w:val="single" w:sz="8" w:color="F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80" w:type="dxa"/>
            <w:vAlign w:val="bottom"/>
            <w:tcBorders>
              <w:top w:val="single" w:sz="8" w:color="F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shd w:val="clear" w:color="auto" w:fill="F0FFFF"/>
          </w:tcPr>
          <w:p>
            <w:pPr>
              <w:spacing w:after="0"/>
              <w:rPr>
                <w:sz w:val="20"/>
                <w:szCs w:val="20"/>
                <w:color w:val="auto"/>
              </w:rPr>
            </w:pPr>
            <w:r>
              <w:rPr>
                <w:rFonts w:ascii="Arial" w:cs="Arial" w:eastAsia="Arial" w:hAnsi="Arial"/>
                <w:sz w:val="18"/>
                <w:szCs w:val="18"/>
                <w:b w:val="1"/>
                <w:bCs w:val="1"/>
                <w:color w:val="auto"/>
                <w:w w:val="99"/>
              </w:rPr>
              <w:t>Average equity to assets reconciliation</w:t>
            </w:r>
          </w:p>
        </w:tc>
        <w:tc>
          <w:tcPr>
            <w:tcW w:w="10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80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80" w:type="dxa"/>
            <w:vAlign w:val="bottom"/>
            <w:tcBorders>
              <w:right w:val="single" w:sz="8" w:color="F0FFFF"/>
            </w:tcBorders>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280" w:type="dxa"/>
            <w:vAlign w:val="bottom"/>
            <w:tcBorders>
              <w:right w:val="single" w:sz="8" w:color="F0FFFF"/>
            </w:tcBorders>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Tangible common equity to assets</w:t>
            </w: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9.22%</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8.99%</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9.02%</w:t>
            </w: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8.79%</w:t>
            </w:r>
          </w:p>
        </w:tc>
        <w:tc>
          <w:tcPr>
            <w:tcW w:w="1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9.40%</w:t>
            </w: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Effect of preferred equity</w:t>
            </w:r>
          </w:p>
        </w:tc>
        <w:tc>
          <w:tcPr>
            <w:tcW w:w="1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06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F0FFFF"/>
          </w:tcPr>
          <w:p>
            <w:pPr>
              <w:spacing w:after="0"/>
              <w:rPr>
                <w:sz w:val="18"/>
                <w:szCs w:val="18"/>
                <w:color w:val="auto"/>
              </w:rPr>
            </w:pPr>
          </w:p>
        </w:tc>
        <w:tc>
          <w:tcPr>
            <w:tcW w:w="10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F0FFFF"/>
          </w:tcPr>
          <w:p>
            <w:pPr>
              <w:spacing w:after="0"/>
              <w:rPr>
                <w:sz w:val="18"/>
                <w:szCs w:val="18"/>
                <w:color w:val="auto"/>
              </w:rPr>
            </w:pPr>
          </w:p>
        </w:tc>
        <w:tc>
          <w:tcPr>
            <w:tcW w:w="1060" w:type="dxa"/>
            <w:vAlign w:val="bottom"/>
            <w:tcBorders>
              <w:right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2.74</w:t>
            </w:r>
          </w:p>
        </w:tc>
        <w:tc>
          <w:tcPr>
            <w:tcW w:w="180" w:type="dxa"/>
            <w:vAlign w:val="bottom"/>
            <w:shd w:val="clear" w:color="auto" w:fill="F0FFFF"/>
          </w:tcPr>
          <w:p>
            <w:pPr>
              <w:spacing w:after="0"/>
              <w:rPr>
                <w:sz w:val="18"/>
                <w:szCs w:val="18"/>
                <w:color w:val="auto"/>
              </w:rPr>
            </w:pPr>
          </w:p>
        </w:tc>
        <w:tc>
          <w:tcPr>
            <w:tcW w:w="1000" w:type="dxa"/>
            <w:vAlign w:val="bottom"/>
            <w:tcBorders>
              <w:right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.14</w:t>
            </w:r>
          </w:p>
        </w:tc>
        <w:tc>
          <w:tcPr>
            <w:tcW w:w="16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Borders>
              <w:right w:val="single" w:sz="8" w:color="F0FFFF"/>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Borders>
              <w:right w:val="single" w:sz="8" w:color="F0FFFF"/>
            </w:tcBorders>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160"/>
              <w:spacing w:after="0"/>
              <w:rPr>
                <w:sz w:val="20"/>
                <w:szCs w:val="20"/>
                <w:color w:val="auto"/>
              </w:rPr>
            </w:pPr>
            <w:r>
              <w:rPr>
                <w:rFonts w:ascii="Arial" w:cs="Arial" w:eastAsia="Arial" w:hAnsi="Arial"/>
                <w:sz w:val="18"/>
                <w:szCs w:val="18"/>
                <w:color w:val="auto"/>
              </w:rPr>
              <w:t>Tangible equity to assets</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9.58</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9.50</w:t>
            </w: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11.59</w:t>
            </w: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11.76</w:t>
            </w:r>
          </w:p>
        </w:tc>
        <w:tc>
          <w:tcPr>
            <w:tcW w:w="1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11.53</w:t>
            </w:r>
          </w:p>
        </w:tc>
        <w:tc>
          <w:tcPr>
            <w:tcW w:w="1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9.54</w:t>
            </w: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Effect of goodwill and other intangibles</w:t>
            </w:r>
          </w:p>
        </w:tc>
        <w:tc>
          <w:tcPr>
            <w:tcW w:w="1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F0FFFF"/>
          </w:tcPr>
          <w:p>
            <w:pPr>
              <w:spacing w:after="0"/>
              <w:rPr>
                <w:sz w:val="18"/>
                <w:szCs w:val="18"/>
                <w:color w:val="auto"/>
              </w:rPr>
            </w:pPr>
          </w:p>
        </w:tc>
        <w:tc>
          <w:tcPr>
            <w:tcW w:w="106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F0FFFF"/>
          </w:tcPr>
          <w:p>
            <w:pPr>
              <w:spacing w:after="0"/>
              <w:rPr>
                <w:sz w:val="18"/>
                <w:szCs w:val="18"/>
                <w:color w:val="auto"/>
              </w:rPr>
            </w:pPr>
          </w:p>
        </w:tc>
        <w:tc>
          <w:tcPr>
            <w:tcW w:w="10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F0FFFF"/>
          </w:tcPr>
          <w:p>
            <w:pPr>
              <w:spacing w:after="0"/>
              <w:rPr>
                <w:sz w:val="18"/>
                <w:szCs w:val="18"/>
                <w:color w:val="auto"/>
              </w:rPr>
            </w:pPr>
          </w:p>
        </w:tc>
        <w:tc>
          <w:tcPr>
            <w:tcW w:w="7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.04</w:t>
            </w:r>
          </w:p>
        </w:tc>
        <w:tc>
          <w:tcPr>
            <w:tcW w:w="2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60" w:type="dxa"/>
            <w:vAlign w:val="bottom"/>
            <w:tcBorders>
              <w:right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F0FFFF"/>
          </w:tcPr>
          <w:p>
            <w:pPr>
              <w:spacing w:after="0"/>
              <w:rPr>
                <w:sz w:val="18"/>
                <w:szCs w:val="18"/>
                <w:color w:val="auto"/>
              </w:rPr>
            </w:pPr>
          </w:p>
        </w:tc>
        <w:tc>
          <w:tcPr>
            <w:tcW w:w="1000" w:type="dxa"/>
            <w:vAlign w:val="bottom"/>
            <w:tcBorders>
              <w:right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.02</w:t>
            </w:r>
          </w:p>
        </w:tc>
        <w:tc>
          <w:tcPr>
            <w:tcW w:w="16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Borders>
              <w:right w:val="single" w:sz="8" w:color="F0FFFF"/>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Borders>
              <w:right w:val="single" w:sz="8" w:color="F0FFFF"/>
            </w:tcBorders>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160"/>
              <w:spacing w:after="0"/>
              <w:rPr>
                <w:sz w:val="20"/>
                <w:szCs w:val="20"/>
                <w:color w:val="auto"/>
              </w:rPr>
            </w:pPr>
            <w:r>
              <w:rPr>
                <w:rFonts w:ascii="Arial" w:cs="Arial" w:eastAsia="Arial" w:hAnsi="Arial"/>
                <w:sz w:val="18"/>
                <w:szCs w:val="18"/>
                <w:color w:val="auto"/>
              </w:rPr>
              <w:t>Equity to assets (GAAP)</w:t>
            </w: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9.52%</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11.62%</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11.80%</w:t>
            </w: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11.57%</w:t>
            </w:r>
          </w:p>
        </w:tc>
        <w:tc>
          <w:tcPr>
            <w:tcW w:w="1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9.56%</w:t>
            </w: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20" w:type="dxa"/>
            <w:vAlign w:val="bottom"/>
            <w:shd w:val="clear" w:color="auto" w:fill="F0FFFF"/>
          </w:tcPr>
          <w:p>
            <w:pPr>
              <w:spacing w:after="0"/>
              <w:rPr>
                <w:sz w:val="18"/>
                <w:szCs w:val="18"/>
                <w:color w:val="auto"/>
              </w:rPr>
            </w:pPr>
          </w:p>
        </w:tc>
        <w:tc>
          <w:tcPr>
            <w:tcW w:w="1000" w:type="dxa"/>
            <w:vAlign w:val="bottom"/>
            <w:gridSpan w:val="3"/>
            <w:shd w:val="clear" w:color="auto" w:fill="F0FFFF"/>
          </w:tcPr>
          <w:p>
            <w:pPr>
              <w:spacing w:after="0"/>
              <w:rPr>
                <w:sz w:val="18"/>
                <w:szCs w:val="18"/>
                <w:color w:val="auto"/>
              </w:rPr>
            </w:pPr>
          </w:p>
        </w:tc>
        <w:tc>
          <w:tcPr>
            <w:tcW w:w="1180" w:type="dxa"/>
            <w:vAlign w:val="bottom"/>
            <w:gridSpan w:val="3"/>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780" w:type="dxa"/>
            <w:vAlign w:val="bottom"/>
            <w:shd w:val="clear" w:color="auto" w:fill="F0FFFF"/>
          </w:tcPr>
          <w:p>
            <w:pPr>
              <w:spacing w:after="0"/>
              <w:rPr>
                <w:sz w:val="18"/>
                <w:szCs w:val="18"/>
                <w:color w:val="auto"/>
              </w:rPr>
            </w:pPr>
          </w:p>
        </w:tc>
        <w:tc>
          <w:tcPr>
            <w:tcW w:w="280" w:type="dxa"/>
            <w:vAlign w:val="bottom"/>
            <w:tcBorders>
              <w:right w:val="single" w:sz="8" w:color="F0FFFF"/>
            </w:tcBorders>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280" w:type="dxa"/>
            <w:vAlign w:val="bottom"/>
            <w:tcBorders>
              <w:right w:val="single" w:sz="8" w:color="F0FFFF"/>
            </w:tcBorders>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gridSpan w:val="8"/>
          </w:tcPr>
          <w:p>
            <w:pPr>
              <w:spacing w:after="0"/>
              <w:rPr>
                <w:sz w:val="20"/>
                <w:szCs w:val="20"/>
                <w:color w:val="auto"/>
              </w:rPr>
            </w:pPr>
            <w:r>
              <w:rPr>
                <w:rFonts w:ascii="Arial" w:cs="Arial" w:eastAsia="Arial" w:hAnsi="Arial"/>
                <w:sz w:val="18"/>
                <w:szCs w:val="18"/>
                <w:b w:val="1"/>
                <w:bCs w:val="1"/>
                <w:color w:val="auto"/>
              </w:rPr>
              <w:t>Tangible common equity to risk-weighted assets reconciliation</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40" w:type="dxa"/>
            <w:vAlign w:val="bottom"/>
            <w:gridSpan w:val="2"/>
            <w:shd w:val="clear" w:color="auto" w:fill="F0FFFF"/>
          </w:tcPr>
          <w:p>
            <w:pPr>
              <w:spacing w:after="0" w:line="201" w:lineRule="exact"/>
              <w:rPr>
                <w:sz w:val="20"/>
                <w:szCs w:val="20"/>
                <w:color w:val="auto"/>
              </w:rPr>
            </w:pPr>
            <w:r>
              <w:rPr>
                <w:rFonts w:ascii="Arial" w:cs="Arial" w:eastAsia="Arial" w:hAnsi="Arial"/>
                <w:sz w:val="18"/>
                <w:szCs w:val="18"/>
                <w:color w:val="auto"/>
              </w:rPr>
              <w:t>Tangible common equity to risk-weighted</w:t>
            </w:r>
          </w:p>
        </w:tc>
        <w:tc>
          <w:tcPr>
            <w:tcW w:w="10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260" w:type="dxa"/>
            <w:vAlign w:val="bottom"/>
            <w:tcBorders>
              <w:right w:val="single" w:sz="8" w:color="F0FFFF"/>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260" w:type="dxa"/>
            <w:vAlign w:val="bottom"/>
            <w:tcBorders>
              <w:right w:val="single" w:sz="8" w:color="F0FFFF"/>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28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280" w:type="dxa"/>
            <w:vAlign w:val="bottom"/>
            <w:tcBorders>
              <w:right w:val="single" w:sz="8" w:color="F0FFFF"/>
            </w:tcBorders>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F0FFFF"/>
          </w:tcPr>
          <w:p>
            <w:pPr>
              <w:spacing w:after="0"/>
              <w:rPr>
                <w:sz w:val="20"/>
                <w:szCs w:val="20"/>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13.92%</w:t>
            </w:r>
          </w:p>
        </w:tc>
        <w:tc>
          <w:tcPr>
            <w:tcW w:w="100" w:type="dxa"/>
            <w:vAlign w:val="bottom"/>
            <w:shd w:val="clear" w:color="auto" w:fill="F0FFFF"/>
          </w:tcPr>
          <w:p>
            <w:pPr>
              <w:spacing w:after="0"/>
              <w:rPr>
                <w:sz w:val="20"/>
                <w:szCs w:val="20"/>
                <w:color w:val="auto"/>
              </w:rPr>
            </w:pPr>
          </w:p>
        </w:tc>
        <w:tc>
          <w:tcPr>
            <w:tcW w:w="1060" w:type="dxa"/>
            <w:vAlign w:val="bottom"/>
            <w:tcBorders>
              <w:righ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13.63%</w:t>
            </w:r>
          </w:p>
        </w:tc>
        <w:tc>
          <w:tcPr>
            <w:tcW w:w="120" w:type="dxa"/>
            <w:vAlign w:val="bottom"/>
            <w:shd w:val="clear" w:color="auto" w:fill="F0FFFF"/>
          </w:tcPr>
          <w:p>
            <w:pPr>
              <w:spacing w:after="0"/>
              <w:rPr>
                <w:sz w:val="20"/>
                <w:szCs w:val="20"/>
                <w:color w:val="auto"/>
              </w:rPr>
            </w:pPr>
          </w:p>
        </w:tc>
        <w:tc>
          <w:tcPr>
            <w:tcW w:w="1040" w:type="dxa"/>
            <w:vAlign w:val="bottom"/>
            <w:tcBorders>
              <w:righ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13.18%</w:t>
            </w:r>
          </w:p>
        </w:tc>
        <w:tc>
          <w:tcPr>
            <w:tcW w:w="120" w:type="dxa"/>
            <w:vAlign w:val="bottom"/>
            <w:shd w:val="clear" w:color="auto" w:fill="F0FFFF"/>
          </w:tcPr>
          <w:p>
            <w:pPr>
              <w:spacing w:after="0"/>
              <w:rPr>
                <w:sz w:val="20"/>
                <w:szCs w:val="20"/>
                <w:color w:val="auto"/>
              </w:rPr>
            </w:pPr>
          </w:p>
        </w:tc>
        <w:tc>
          <w:tcPr>
            <w:tcW w:w="10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13.34%</w:t>
            </w:r>
          </w:p>
        </w:tc>
        <w:tc>
          <w:tcPr>
            <w:tcW w:w="120" w:type="dxa"/>
            <w:vAlign w:val="bottom"/>
            <w:shd w:val="clear" w:color="auto" w:fill="F0FFFF"/>
          </w:tcPr>
          <w:p>
            <w:pPr>
              <w:spacing w:after="0"/>
              <w:rPr>
                <w:sz w:val="20"/>
                <w:szCs w:val="20"/>
                <w:color w:val="auto"/>
              </w:rPr>
            </w:pPr>
          </w:p>
        </w:tc>
        <w:tc>
          <w:tcPr>
            <w:tcW w:w="1060" w:type="dxa"/>
            <w:vAlign w:val="bottom"/>
            <w:tcBorders>
              <w:righ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13.16%</w:t>
            </w:r>
          </w:p>
        </w:tc>
        <w:tc>
          <w:tcPr>
            <w:tcW w:w="180" w:type="dxa"/>
            <w:vAlign w:val="bottom"/>
            <w:shd w:val="clear" w:color="auto" w:fill="F0FFFF"/>
          </w:tcPr>
          <w:p>
            <w:pPr>
              <w:spacing w:after="0"/>
              <w:rPr>
                <w:sz w:val="20"/>
                <w:szCs w:val="20"/>
                <w:color w:val="auto"/>
              </w:rPr>
            </w:pPr>
          </w:p>
        </w:tc>
        <w:tc>
          <w:tcPr>
            <w:tcW w:w="1000" w:type="dxa"/>
            <w:vAlign w:val="bottom"/>
            <w:tcBorders>
              <w:righ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13.92%</w:t>
            </w:r>
          </w:p>
        </w:tc>
        <w:tc>
          <w:tcPr>
            <w:tcW w:w="160" w:type="dxa"/>
            <w:vAlign w:val="bottom"/>
            <w:shd w:val="clear" w:color="auto" w:fill="F0FFFF"/>
          </w:tcPr>
          <w:p>
            <w:pPr>
              <w:spacing w:after="0"/>
              <w:rPr>
                <w:sz w:val="20"/>
                <w:szCs w:val="20"/>
                <w:color w:val="auto"/>
              </w:rPr>
            </w:pPr>
          </w:p>
        </w:tc>
        <w:tc>
          <w:tcPr>
            <w:tcW w:w="9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Effect of other comprehensive income</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Effect of deferred tax limitation</w:t>
            </w:r>
          </w:p>
        </w:tc>
        <w:tc>
          <w:tcPr>
            <w:tcW w:w="1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F0FFFF"/>
          </w:tcPr>
          <w:p>
            <w:pPr>
              <w:spacing w:after="0"/>
              <w:rPr>
                <w:sz w:val="18"/>
                <w:szCs w:val="18"/>
                <w:color w:val="auto"/>
              </w:rPr>
            </w:pPr>
          </w:p>
        </w:tc>
        <w:tc>
          <w:tcPr>
            <w:tcW w:w="1060" w:type="dxa"/>
            <w:vAlign w:val="bottom"/>
            <w:tcBorders>
              <w:right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F0FFFF"/>
          </w:tcPr>
          <w:p>
            <w:pPr>
              <w:spacing w:after="0"/>
              <w:rPr>
                <w:sz w:val="18"/>
                <w:szCs w:val="18"/>
                <w:color w:val="auto"/>
              </w:rPr>
            </w:pPr>
          </w:p>
        </w:tc>
        <w:tc>
          <w:tcPr>
            <w:tcW w:w="1040" w:type="dxa"/>
            <w:vAlign w:val="bottom"/>
            <w:tcBorders>
              <w:right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(4.26)</w:t>
            </w:r>
          </w:p>
        </w:tc>
        <w:tc>
          <w:tcPr>
            <w:tcW w:w="1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(4.72)</w:t>
            </w:r>
          </w:p>
        </w:tc>
        <w:tc>
          <w:tcPr>
            <w:tcW w:w="120" w:type="dxa"/>
            <w:vAlign w:val="bottom"/>
            <w:shd w:val="clear" w:color="auto" w:fill="F0FFFF"/>
          </w:tcPr>
          <w:p>
            <w:pPr>
              <w:spacing w:after="0"/>
              <w:rPr>
                <w:sz w:val="18"/>
                <w:szCs w:val="18"/>
                <w:color w:val="auto"/>
              </w:rPr>
            </w:pPr>
          </w:p>
        </w:tc>
        <w:tc>
          <w:tcPr>
            <w:tcW w:w="106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(4.99)</w:t>
            </w:r>
          </w:p>
        </w:tc>
        <w:tc>
          <w:tcPr>
            <w:tcW w:w="180" w:type="dxa"/>
            <w:vAlign w:val="bottom"/>
            <w:shd w:val="clear" w:color="auto" w:fill="F0FFFF"/>
          </w:tcPr>
          <w:p>
            <w:pPr>
              <w:spacing w:after="0"/>
              <w:rPr>
                <w:sz w:val="18"/>
                <w:szCs w:val="18"/>
                <w:color w:val="auto"/>
              </w:rPr>
            </w:pPr>
          </w:p>
        </w:tc>
        <w:tc>
          <w:tcPr>
            <w:tcW w:w="100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(3.74)</w:t>
            </w:r>
          </w:p>
        </w:tc>
        <w:tc>
          <w:tcPr>
            <w:tcW w:w="16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spacing w:after="0"/>
              <w:rPr>
                <w:sz w:val="20"/>
                <w:szCs w:val="20"/>
                <w:color w:val="auto"/>
              </w:rPr>
            </w:pPr>
            <w:r>
              <w:rPr>
                <w:rFonts w:ascii="Arial" w:cs="Arial" w:eastAsia="Arial" w:hAnsi="Arial"/>
                <w:sz w:val="18"/>
                <w:szCs w:val="18"/>
                <w:color w:val="auto"/>
              </w:rPr>
              <w:t>Effect of trust preferred</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1.11</w:t>
            </w:r>
          </w:p>
        </w:tc>
        <w:tc>
          <w:tcPr>
            <w:tcW w:w="1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Effect of preferred equity</w:t>
            </w:r>
          </w:p>
        </w:tc>
        <w:tc>
          <w:tcPr>
            <w:tcW w:w="10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06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0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F0FFFF"/>
          </w:tcPr>
          <w:p>
            <w:pPr>
              <w:spacing w:after="0"/>
              <w:rPr>
                <w:sz w:val="18"/>
                <w:szCs w:val="18"/>
                <w:color w:val="auto"/>
              </w:rPr>
            </w:pPr>
          </w:p>
        </w:tc>
        <w:tc>
          <w:tcPr>
            <w:tcW w:w="1060" w:type="dxa"/>
            <w:vAlign w:val="bottom"/>
            <w:tcBorders>
              <w:right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4.11</w:t>
            </w:r>
          </w:p>
        </w:tc>
        <w:tc>
          <w:tcPr>
            <w:tcW w:w="180" w:type="dxa"/>
            <w:vAlign w:val="bottom"/>
            <w:shd w:val="clear" w:color="auto" w:fill="F0FFFF"/>
          </w:tcPr>
          <w:p>
            <w:pPr>
              <w:spacing w:after="0"/>
              <w:rPr>
                <w:sz w:val="18"/>
                <w:szCs w:val="18"/>
                <w:color w:val="auto"/>
              </w:rPr>
            </w:pPr>
          </w:p>
        </w:tc>
        <w:tc>
          <w:tcPr>
            <w:tcW w:w="1000" w:type="dxa"/>
            <w:vAlign w:val="bottom"/>
            <w:tcBorders>
              <w:right w:val="single" w:sz="8" w:color="F0FFFF"/>
            </w:tcBorders>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F0FFFF"/>
          </w:tcPr>
          <w:p>
            <w:pPr>
              <w:spacing w:after="0"/>
              <w:rPr>
                <w:sz w:val="18"/>
                <w:szCs w:val="18"/>
                <w:color w:val="auto"/>
              </w:rPr>
            </w:pPr>
          </w:p>
        </w:tc>
        <w:tc>
          <w:tcPr>
            <w:tcW w:w="90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Borders>
              <w:right w:val="single" w:sz="8" w:color="F0FFFF"/>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Borders>
              <w:right w:val="single" w:sz="8" w:color="F0FFFF"/>
            </w:tcBorders>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160"/>
              <w:spacing w:after="0"/>
              <w:rPr>
                <w:sz w:val="20"/>
                <w:szCs w:val="20"/>
                <w:color w:val="auto"/>
              </w:rPr>
            </w:pPr>
            <w:r>
              <w:rPr>
                <w:rFonts w:ascii="Arial" w:cs="Arial" w:eastAsia="Arial" w:hAnsi="Arial"/>
                <w:sz w:val="18"/>
                <w:szCs w:val="18"/>
                <w:color w:val="auto"/>
              </w:rPr>
              <w:t>Tier I capital ratio (Regulatory)</w:t>
            </w: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11.10%</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12.74%</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14.21%</w:t>
            </w: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13.68%</w:t>
            </w:r>
          </w:p>
        </w:tc>
        <w:tc>
          <w:tcPr>
            <w:tcW w:w="1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11.75%</w:t>
            </w: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Revenue (Taxable Equivalent)</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Net interest revenue (the difference between the interest earned on assets and the interest paid on deposits and borrowed funds) is the single largest component of total revenue. United actively manages this revenue source to provide optimal levels of revenue while balancing interest rate, credit and liquidity risks. Taxable equivalent net interest revenue for the three months ended June 30, 2014 was $55.0 million, equal to the second quarter of 2013. Lower revenue on the loan portfolio and higher costs on borrowed funds were offset partially by higher investment securities interest revenue and lower deposit costs. United continues to focus on loan and deposit pricing in an effort to maintain a steady level of net interest revenue.</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average loans increased $123 million, or 3%, from the second quarter of last year, the yield on loans decreased 35 basis points, reflecting the continuing effect of the low interest rate environment and pricing competition for a limited number of quality lending opportunities.</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Average interest-earning assets for the second quarter of 2014 increased $253 million, or 4%, from the same period in 2013, due primarily to the increase in loans and securities. Average investment securities for the second quarter of 2014 increased $165 million from a year ago consistent with general growth in the balance sheet as management has maintained the investment portfolio at approximately 30 percent of total assets over the last year. The average yield on</w:t>
      </w:r>
    </w:p>
    <w:p>
      <w:pPr>
        <w:sectPr>
          <w:pgSz w:w="11900" w:h="16966" w:orient="portrait"/>
          <w:cols w:equalWidth="0" w:num="1">
            <w:col w:w="11420"/>
          </w:cols>
          <w:pgMar w:left="240" w:top="1134" w:right="239" w:bottom="0" w:gutter="0" w:footer="0" w:header="0"/>
        </w:sectPr>
      </w:pPr>
    </w:p>
    <w:bookmarkStart w:id="45" w:name="page46"/>
    <w:bookmarkEnd w:id="45"/>
    <w:p>
      <w:pPr>
        <w:jc w:val="both"/>
        <w:spacing w:after="0" w:line="264" w:lineRule="auto"/>
        <w:rPr>
          <w:sz w:val="20"/>
          <w:szCs w:val="20"/>
          <w:color w:val="auto"/>
        </w:rPr>
      </w:pPr>
      <w:r>
        <w:rPr>
          <w:rFonts w:ascii="Arial" w:cs="Arial" w:eastAsia="Arial" w:hAnsi="Arial"/>
          <w:sz w:val="18"/>
          <w:szCs w:val="18"/>
          <w:color w:val="auto"/>
        </w:rPr>
        <w:t>the investment portfolio increased 24 basis points from a year ago, partially due to changes in the asset mix but also due to slowing prepayment activity in the mortgage backed securities portfolio which was mostly purchased at a premium. Generally, prepayment activity resulting from low mortgage rates accelerates the amortization of premiums causing a reduction in the yield on the bonds.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jc w:val="both"/>
        <w:spacing w:after="0" w:line="297" w:lineRule="auto"/>
        <w:rPr>
          <w:sz w:val="20"/>
          <w:szCs w:val="20"/>
          <w:color w:val="auto"/>
        </w:rPr>
      </w:pPr>
      <w:r>
        <w:rPr>
          <w:rFonts w:ascii="Arial" w:cs="Arial" w:eastAsia="Arial" w:hAnsi="Arial"/>
          <w:sz w:val="16"/>
          <w:szCs w:val="16"/>
          <w:color w:val="auto"/>
        </w:rPr>
        <w:t>During the second quarter United sold approximately $237 million in securities which were mostly low-yielding variable-rate collateralized mortgage obligations (“CMOs”) and fixed rate corporate bonds that had been swapped to a floating rate. Improvement in the credit spreads on the corporate bonds allowed United to sell the securities at an attractive gain that was used to repay $44 million in costly structured repurchase agreements that were paying a 4% interest rate. About $120 million of the proceeds from the sales of securities were reinvested in fixed rate mortgage-backed securities (“MBS”) securities and higher yielding floating rate collateralized loan obligations (“CLOs”) to offset the impact of the decrease in interest revenue on the sold securities.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Also as a result of improvement in the interest sensitivity position, United effectively terminated $300 million notional in pay fixed forward starting swaps that were serving as cash flow hedges of LIBOR based wholesale borrowings and indexed money market deposits. The swaps were entered into in 2012 in anticipation of rising interest rates and became effective in the first and second quarters of 2014. Changes in United’s balance sheet since that time made the hedges no longer necessary to achieve a neutral interest sensitivity position.</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securities transactions, along with slowing prepayment activity in United’s mortgage backed securities, which were mostly purchased at a premium, increased the overall yield in the investment portfolio. The higher investment securities yields did not completely offset the decline in loan yields, which drove the average yield on interest-earning assets for the second quarter of 2014 to 3.61%, down 16 basis points from 3.77% in the second quarter of 2013. The yield on other interest-earning assets increased 46 basis points although the average balance declined from the second quarter of 2013. United utilizes reverse repurchase agreements, including collateral swap transactions, where the company enters into a repurchase agreement and reverse repurchase agreement simultaneously with the same counterparty subject to a master netting agreement. In these transactions, the offsetting balances are netted on the balance sheet.</w:t>
      </w:r>
    </w:p>
    <w:p>
      <w:pPr>
        <w:spacing w:after="0" w:line="2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Average interest-bearing liabilities increased $179 million, or 4%, from the second quarter of 2013. Average noninterest bearing deposits increased $162 million from the second quarter of 2013 to the second quarter of 2014. The average cost of interest-bearing liabilities for the second quarter of 2014 was</w:t>
      </w:r>
    </w:p>
    <w:p>
      <w:pPr>
        <w:jc w:val="both"/>
        <w:spacing w:after="0" w:line="254" w:lineRule="auto"/>
        <w:rPr>
          <w:sz w:val="20"/>
          <w:szCs w:val="20"/>
          <w:color w:val="auto"/>
        </w:rPr>
      </w:pPr>
      <w:r>
        <w:rPr>
          <w:rFonts w:ascii="Arial" w:cs="Arial" w:eastAsia="Arial" w:hAnsi="Arial"/>
          <w:sz w:val="18"/>
          <w:szCs w:val="18"/>
          <w:color w:val="auto"/>
        </w:rPr>
        <w:t>.54% compared to .58% for the same period of 2013, reflecting United’s concerted efforts to reduce deposit pricing. During the second quarter of 2014, in conjunction with balance sheet restructuring activities, United prepaid approximately $44 million in other borrowings that were costing approximately 4%. Also contributing to the overall lower rate on interest-bearing liabilities was a shift in the mix of deposits away from more expensive time deposits toward lower-rate transaction deposits.</w:t>
      </w:r>
    </w:p>
    <w:p>
      <w:pPr>
        <w:spacing w:after="0" w:line="2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banking industry uses two ratios to measure relative profitability of net interest revenue. The net interest spread measures the difference between the average yield on interest-earning assets and the average rate paid on interest-bearing liabilities. The interest rate spread eliminates the effect of non-interest-bearing deposits and gives a direct perspective on the effect of market interest rate movements. The net interest margin is an indication of the profitability of a company’s balance sheet, and is defined as net interest revenue as a percent of average total interest-earning assets, which includes the positive effect of funding a portion of interest-earning assets with customers’ non-interest-bearing deposits and stockholders’ equity.</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months ended June 30, 2014 and 2013, the net interest spread was 3.07% and 3.19%, respectively, while the net interest margin was 3.21% and 3.33%, respectively. The decline in both ratios is due to lower yields on loans, which were not completely offset by the higher securities yield and lower rates paid for deposits and other interest bearing liabilities.</w:t>
      </w:r>
    </w:p>
    <w:p>
      <w:pPr>
        <w:spacing w:after="0" w:line="20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the first six months of 2014, net interest revenue was $109 million, a decrease of $386,000, or less than 1%, from the first six months of 2013. Average earning assets increased $266 million, or 4%, during the first six months of 2014, compared to the same period a year ago. The yield on earning assets decreased 20 basis points from 3.80% for the six months ended June 30, 2013, to 3.60% for the six months ended June 30, 2014, due to declining loan yields. The lower loan portfolio yield reflects competitive pricing pressure on new and renewed loans. Investment yields increased 18 basis points for the first six months of 2014 compared to the first six months of 2013, which helped offset some of the decrease on loan yields. The rate on interest bearing liabilities over the same period decreased 8 basis points. The combined effect of the lower yield on interest earning assets, which was not completely offset by the increase in securities yield and the reduction in rates paid on interest bearing liabilities, resulted in the net interest margin decreasing 14 basis points from the six months ended June 30, 2013 to the six months ended June 30, 2014.</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47" w:name="page48"/>
    <w:bookmarkEnd w:id="47"/>
    <w:p>
      <w:pPr>
        <w:spacing w:after="0" w:line="277" w:lineRule="auto"/>
        <w:rPr>
          <w:sz w:val="20"/>
          <w:szCs w:val="20"/>
          <w:color w:val="auto"/>
        </w:rPr>
      </w:pPr>
      <w:r>
        <w:rPr>
          <w:rFonts w:ascii="Arial" w:cs="Arial" w:eastAsia="Arial" w:hAnsi="Arial"/>
          <w:sz w:val="18"/>
          <w:szCs w:val="18"/>
          <w:color w:val="auto"/>
        </w:rPr>
        <w:t>The following table shows the relationship between interest revenue and expense, and the average amounts of interest-earning assets and interest-bearing liabilities for the three months ended June 30, 2014 and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2 - Average Consolidated Balance Sheets and Net Interest Analysis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3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440"/>
              <w:spacing w:after="0" w:line="198" w:lineRule="exact"/>
              <w:rPr>
                <w:sz w:val="20"/>
                <w:szCs w:val="20"/>
                <w:color w:val="auto"/>
              </w:rPr>
            </w:pPr>
            <w:r>
              <w:rPr>
                <w:rFonts w:ascii="Arial" w:cs="Arial" w:eastAsia="Arial" w:hAnsi="Arial"/>
                <w:sz w:val="18"/>
                <w:szCs w:val="18"/>
                <w:b w:val="1"/>
                <w:bCs w:val="1"/>
                <w:color w:val="auto"/>
                <w:w w:val="95"/>
              </w:rPr>
              <w:t>Average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290"/>
              <w:spacing w:after="0" w:line="198" w:lineRule="exact"/>
              <w:rPr>
                <w:sz w:val="20"/>
                <w:szCs w:val="20"/>
                <w:color w:val="auto"/>
              </w:rPr>
            </w:pPr>
            <w:r>
              <w:rPr>
                <w:rFonts w:ascii="Arial" w:cs="Arial" w:eastAsia="Arial" w:hAnsi="Arial"/>
                <w:sz w:val="18"/>
                <w:szCs w:val="18"/>
                <w:b w:val="1"/>
                <w:bCs w:val="1"/>
                <w:color w:val="auto"/>
              </w:rPr>
              <w:t>Avg.</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480"/>
              <w:spacing w:after="0" w:line="198" w:lineRule="exact"/>
              <w:rPr>
                <w:sz w:val="20"/>
                <w:szCs w:val="20"/>
                <w:color w:val="auto"/>
              </w:rPr>
            </w:pPr>
            <w:r>
              <w:rPr>
                <w:rFonts w:ascii="Arial" w:cs="Arial" w:eastAsia="Arial" w:hAnsi="Arial"/>
                <w:sz w:val="18"/>
                <w:szCs w:val="18"/>
                <w:b w:val="1"/>
                <w:bCs w:val="1"/>
                <w:color w:val="auto"/>
                <w:w w:val="95"/>
              </w:rPr>
              <w:t>Average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310"/>
              <w:spacing w:after="0" w:line="198" w:lineRule="exact"/>
              <w:rPr>
                <w:sz w:val="20"/>
                <w:szCs w:val="20"/>
                <w:color w:val="auto"/>
              </w:rPr>
            </w:pPr>
            <w:r>
              <w:rPr>
                <w:rFonts w:ascii="Arial" w:cs="Arial" w:eastAsia="Arial" w:hAnsi="Arial"/>
                <w:sz w:val="18"/>
                <w:szCs w:val="18"/>
                <w:b w:val="1"/>
                <w:bCs w:val="1"/>
                <w:color w:val="auto"/>
              </w:rPr>
              <w:t>Avg.</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340" w:type="dxa"/>
            <w:vAlign w:val="bottom"/>
            <w:gridSpan w:val="2"/>
          </w:tcPr>
          <w:p>
            <w:pPr>
              <w:spacing w:after="0"/>
              <w:rPr>
                <w:sz w:val="20"/>
                <w:szCs w:val="20"/>
                <w:color w:val="auto"/>
              </w:rPr>
            </w:pPr>
            <w:r>
              <w:rPr>
                <w:rFonts w:ascii="Arial" w:cs="Arial" w:eastAsia="Arial" w:hAnsi="Arial"/>
                <w:sz w:val="18"/>
                <w:szCs w:val="18"/>
                <w:i w:val="1"/>
                <w:iCs w:val="1"/>
                <w:color w:val="auto"/>
              </w:rPr>
              <w:t>(dollars in thousands, taxable equivalent)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5"/>
              </w:rPr>
              <w:t>Balance</w:t>
            </w:r>
          </w:p>
        </w:tc>
        <w:tc>
          <w:tcPr>
            <w:tcW w:w="18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Interest</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Rate</w:t>
            </w:r>
          </w:p>
        </w:tc>
        <w:tc>
          <w:tcPr>
            <w:tcW w:w="18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Balance</w:t>
            </w:r>
          </w:p>
        </w:tc>
        <w:tc>
          <w:tcPr>
            <w:tcW w:w="18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Interest</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Rate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00" w:type="dxa"/>
            <w:vAlign w:val="bottom"/>
            <w:tcBorders>
              <w:top w:val="single" w:sz="8" w:color="auto"/>
            </w:tcBorders>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tcBorders>
              <w:top w:val="single" w:sz="8" w:color="auto"/>
            </w:tcBorders>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Interest-earning assets: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ind w:left="80"/>
              <w:spacing w:after="0" w:line="216" w:lineRule="exact"/>
              <w:rPr>
                <w:sz w:val="20"/>
                <w:szCs w:val="20"/>
                <w:color w:val="auto"/>
              </w:rPr>
            </w:pPr>
            <w:r>
              <w:rPr>
                <w:rFonts w:ascii="Arial" w:cs="Arial" w:eastAsia="Arial" w:hAnsi="Arial"/>
                <w:sz w:val="18"/>
                <w:szCs w:val="18"/>
                <w:color w:val="auto"/>
              </w:rPr>
              <w:t xml:space="preserve">Loans, net of unearned income </w:t>
            </w:r>
            <w:r>
              <w:rPr>
                <w:rFonts w:ascii="Arial" w:cs="Arial" w:eastAsia="Arial" w:hAnsi="Arial"/>
                <w:sz w:val="25"/>
                <w:szCs w:val="25"/>
                <w:color w:val="auto"/>
                <w:vertAlign w:val="superscript"/>
              </w:rPr>
              <w:t>(1)(2)</w:t>
            </w:r>
          </w:p>
        </w:tc>
        <w:tc>
          <w:tcPr>
            <w:tcW w:w="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4,376,174</w:t>
            </w: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48,435</w:t>
            </w:r>
          </w:p>
        </w:tc>
        <w:tc>
          <w:tcPr>
            <w:tcW w:w="1360" w:type="dxa"/>
            <w:vAlign w:val="bottom"/>
            <w:tcBorders>
              <w:righ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4.44%</w:t>
            </w: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4,253,361</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50,808</w:t>
            </w:r>
          </w:p>
        </w:tc>
        <w:tc>
          <w:tcPr>
            <w:tcW w:w="12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80"/>
              <w:spacing w:after="0" w:line="216" w:lineRule="exact"/>
              <w:rPr>
                <w:sz w:val="20"/>
                <w:szCs w:val="20"/>
                <w:color w:val="auto"/>
              </w:rPr>
            </w:pPr>
            <w:r>
              <w:rPr>
                <w:rFonts w:ascii="Arial" w:cs="Arial" w:eastAsia="Arial" w:hAnsi="Arial"/>
                <w:sz w:val="18"/>
                <w:szCs w:val="18"/>
                <w:color w:val="auto"/>
              </w:rPr>
              <w:t xml:space="preserve">Taxable securities </w:t>
            </w:r>
            <w:r>
              <w:rPr>
                <w:rFonts w:ascii="Arial" w:cs="Arial" w:eastAsia="Arial" w:hAnsi="Arial"/>
                <w:sz w:val="25"/>
                <w:szCs w:val="25"/>
                <w:color w:val="auto"/>
                <w:vertAlign w:val="superscript"/>
              </w:rPr>
              <w:t>(3)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2,306,457</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11,972</w:t>
            </w:r>
          </w:p>
        </w:tc>
        <w:tc>
          <w:tcPr>
            <w:tcW w:w="2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2.08</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2,139,221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9,864</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ind w:left="80"/>
              <w:spacing w:after="0" w:line="216" w:lineRule="exact"/>
              <w:rPr>
                <w:sz w:val="20"/>
                <w:szCs w:val="20"/>
                <w:color w:val="auto"/>
              </w:rPr>
            </w:pPr>
            <w:r>
              <w:rPr>
                <w:rFonts w:ascii="Arial" w:cs="Arial" w:eastAsia="Arial" w:hAnsi="Arial"/>
                <w:sz w:val="18"/>
                <w:szCs w:val="18"/>
                <w:color w:val="auto"/>
              </w:rPr>
              <w:t xml:space="preserve">Tax-exempt securities </w:t>
            </w:r>
            <w:r>
              <w:rPr>
                <w:rFonts w:ascii="Arial" w:cs="Arial" w:eastAsia="Arial" w:hAnsi="Arial"/>
                <w:sz w:val="25"/>
                <w:szCs w:val="25"/>
                <w:color w:val="auto"/>
                <w:vertAlign w:val="superscript"/>
              </w:rPr>
              <w:t>(1)(3)</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19,592</w:t>
            </w:r>
          </w:p>
        </w:tc>
        <w:tc>
          <w:tcPr>
            <w:tcW w:w="18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316</w:t>
            </w:r>
          </w:p>
        </w:tc>
        <w:tc>
          <w:tcPr>
            <w:tcW w:w="136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6.45</w:t>
            </w:r>
          </w:p>
        </w:tc>
        <w:tc>
          <w:tcPr>
            <w:tcW w:w="1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21,597</w:t>
            </w:r>
          </w:p>
        </w:tc>
        <w:tc>
          <w:tcPr>
            <w:tcW w:w="18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344</w:t>
            </w:r>
          </w:p>
        </w:tc>
        <w:tc>
          <w:tcPr>
            <w:tcW w:w="12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80"/>
              <w:spacing w:after="0" w:line="201" w:lineRule="exact"/>
              <w:rPr>
                <w:sz w:val="20"/>
                <w:szCs w:val="20"/>
                <w:color w:val="auto"/>
              </w:rPr>
            </w:pPr>
            <w:r>
              <w:rPr>
                <w:rFonts w:ascii="Arial" w:cs="Arial" w:eastAsia="Arial" w:hAnsi="Arial"/>
                <w:sz w:val="18"/>
                <w:szCs w:val="18"/>
                <w:color w:val="auto"/>
                <w:w w:val="89"/>
              </w:rPr>
              <w:t>Federal funds sold and other interest-earning</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assets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158,418</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1,060</w:t>
            </w:r>
          </w:p>
        </w:tc>
        <w:tc>
          <w:tcPr>
            <w:tcW w:w="22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2.68</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193,370</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1,072</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200"/>
              <w:spacing w:after="0"/>
              <w:rPr>
                <w:sz w:val="20"/>
                <w:szCs w:val="20"/>
                <w:color w:val="auto"/>
              </w:rPr>
            </w:pPr>
            <w:r>
              <w:rPr>
                <w:rFonts w:ascii="Arial" w:cs="Arial" w:eastAsia="Arial" w:hAnsi="Arial"/>
                <w:sz w:val="18"/>
                <w:szCs w:val="18"/>
                <w:b w:val="1"/>
                <w:bCs w:val="1"/>
                <w:color w:val="auto"/>
              </w:rPr>
              <w:t>Total interest-earning assets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6,860,641</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61,783</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3.61</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6,607,549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62,088</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color w:val="auto"/>
              </w:rPr>
              <w:t>Non-interest-earning assets:</w:t>
            </w:r>
          </w:p>
        </w:tc>
        <w:tc>
          <w:tcPr>
            <w:tcW w:w="8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60"/>
              <w:spacing w:after="0"/>
              <w:rPr>
                <w:sz w:val="20"/>
                <w:szCs w:val="20"/>
                <w:color w:val="auto"/>
              </w:rPr>
            </w:pPr>
            <w:r>
              <w:rPr>
                <w:rFonts w:ascii="Arial" w:cs="Arial" w:eastAsia="Arial" w:hAnsi="Arial"/>
                <w:sz w:val="18"/>
                <w:szCs w:val="18"/>
                <w:color w:val="auto"/>
              </w:rPr>
              <w:t>Allowance for loan losses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(76,843)</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(106,417)</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ind w:left="80"/>
              <w:spacing w:after="0"/>
              <w:rPr>
                <w:sz w:val="20"/>
                <w:szCs w:val="20"/>
                <w:color w:val="auto"/>
              </w:rPr>
            </w:pPr>
            <w:r>
              <w:rPr>
                <w:rFonts w:ascii="Arial" w:cs="Arial" w:eastAsia="Arial" w:hAnsi="Arial"/>
                <w:sz w:val="18"/>
                <w:szCs w:val="18"/>
                <w:color w:val="auto"/>
              </w:rPr>
              <w:t>Cash and due from banks</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63,853</w:t>
            </w: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63,457</w:t>
            </w: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Premises and equipment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161,443</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168,272</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shd w:val="clear" w:color="auto" w:fill="F0FFFF"/>
          </w:tcPr>
          <w:p>
            <w:pPr>
              <w:ind w:left="80"/>
              <w:spacing w:after="0" w:line="216" w:lineRule="exact"/>
              <w:rPr>
                <w:sz w:val="20"/>
                <w:szCs w:val="20"/>
                <w:color w:val="auto"/>
              </w:rPr>
            </w:pPr>
            <w:r>
              <w:rPr>
                <w:rFonts w:ascii="Arial" w:cs="Arial" w:eastAsia="Arial" w:hAnsi="Arial"/>
                <w:sz w:val="18"/>
                <w:szCs w:val="18"/>
                <w:color w:val="auto"/>
              </w:rPr>
              <w:t xml:space="preserve">Other assets </w:t>
            </w:r>
            <w:r>
              <w:rPr>
                <w:rFonts w:ascii="Arial" w:cs="Arial" w:eastAsia="Arial" w:hAnsi="Arial"/>
                <w:sz w:val="25"/>
                <w:szCs w:val="25"/>
                <w:color w:val="auto"/>
                <w:vertAlign w:val="superscript"/>
              </w:rPr>
              <w:t>(3)</w:t>
            </w:r>
          </w:p>
        </w:tc>
        <w:tc>
          <w:tcPr>
            <w:tcW w:w="8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408,768</w:t>
            </w:r>
          </w:p>
        </w:tc>
        <w:tc>
          <w:tcPr>
            <w:tcW w:w="20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94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100" w:type="dxa"/>
            <w:vAlign w:val="bottom"/>
            <w:shd w:val="clear" w:color="auto" w:fill="F0FFFF"/>
          </w:tcPr>
          <w:p>
            <w:pPr>
              <w:spacing w:after="0"/>
              <w:rPr>
                <w:sz w:val="19"/>
                <w:szCs w:val="19"/>
                <w:color w:val="auto"/>
              </w:rPr>
            </w:pPr>
          </w:p>
        </w:tc>
        <w:tc>
          <w:tcPr>
            <w:tcW w:w="260" w:type="dxa"/>
            <w:vAlign w:val="bottom"/>
            <w:tcBorders>
              <w:right w:val="single" w:sz="8" w:color="F0FFFF"/>
            </w:tcBorders>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181,987</w:t>
            </w:r>
          </w:p>
        </w:tc>
        <w:tc>
          <w:tcPr>
            <w:tcW w:w="180" w:type="dxa"/>
            <w:vAlign w:val="bottom"/>
            <w:shd w:val="clear" w:color="auto" w:fill="F0FFFF"/>
          </w:tcPr>
          <w:p>
            <w:pPr>
              <w:spacing w:after="0"/>
              <w:rPr>
                <w:sz w:val="19"/>
                <w:szCs w:val="19"/>
                <w:color w:val="auto"/>
              </w:rPr>
            </w:pPr>
          </w:p>
        </w:tc>
        <w:tc>
          <w:tcPr>
            <w:tcW w:w="94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120" w:type="dxa"/>
            <w:vAlign w:val="bottom"/>
            <w:shd w:val="clear" w:color="auto" w:fill="F0FFFF"/>
          </w:tcPr>
          <w:p>
            <w:pPr>
              <w:spacing w:after="0"/>
              <w:rPr>
                <w:sz w:val="19"/>
                <w:szCs w:val="19"/>
                <w:color w:val="auto"/>
              </w:rPr>
            </w:pPr>
          </w:p>
        </w:tc>
        <w:tc>
          <w:tcPr>
            <w:tcW w:w="160" w:type="dxa"/>
            <w:vAlign w:val="bottom"/>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top w:val="single" w:sz="8" w:color="F0FFFF"/>
            </w:tcBorders>
          </w:tcPr>
          <w:p>
            <w:pPr>
              <w:ind w:left="200"/>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Borders>
              <w:top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7,417,862</w:t>
            </w:r>
          </w:p>
        </w:tc>
        <w:tc>
          <w:tcPr>
            <w:tcW w:w="20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94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6,914,848</w:t>
            </w:r>
          </w:p>
        </w:tc>
        <w:tc>
          <w:tcPr>
            <w:tcW w:w="22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94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120" w:type="dxa"/>
            <w:vAlign w:val="bottom"/>
            <w:tcBorders>
              <w:top w:val="single" w:sz="8" w:color="F0FFFF"/>
            </w:tcBorders>
          </w:tcPr>
          <w:p>
            <w:pPr>
              <w:spacing w:after="0"/>
              <w:rPr>
                <w:sz w:val="18"/>
                <w:szCs w:val="18"/>
                <w:color w:val="auto"/>
              </w:rPr>
            </w:pPr>
          </w:p>
        </w:tc>
        <w:tc>
          <w:tcPr>
            <w:tcW w:w="16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color w:val="auto"/>
              </w:rPr>
              <w:t>Interest-bearing liabilities:</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Interest-bearing deposits: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ind w:left="220"/>
              <w:spacing w:after="0"/>
              <w:rPr>
                <w:sz w:val="20"/>
                <w:szCs w:val="20"/>
                <w:color w:val="auto"/>
              </w:rPr>
            </w:pPr>
            <w:r>
              <w:rPr>
                <w:rFonts w:ascii="Arial" w:cs="Arial" w:eastAsia="Arial" w:hAnsi="Arial"/>
                <w:sz w:val="18"/>
                <w:szCs w:val="18"/>
                <w:color w:val="auto"/>
              </w:rPr>
              <w:t>NOW</w:t>
            </w:r>
          </w:p>
        </w:tc>
        <w:tc>
          <w:tcPr>
            <w:tcW w:w="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1,356,141</w:t>
            </w:r>
          </w:p>
        </w:tc>
        <w:tc>
          <w:tcPr>
            <w:tcW w:w="18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411</w:t>
            </w:r>
          </w:p>
        </w:tc>
        <w:tc>
          <w:tcPr>
            <w:tcW w:w="136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1,245,301</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419</w:t>
            </w:r>
          </w:p>
        </w:tc>
        <w:tc>
          <w:tcPr>
            <w:tcW w:w="12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Money market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1,361,045</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757</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1,306,522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534</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ind w:left="220"/>
              <w:spacing w:after="0"/>
              <w:rPr>
                <w:sz w:val="20"/>
                <w:szCs w:val="20"/>
                <w:color w:val="auto"/>
              </w:rPr>
            </w:pPr>
            <w:r>
              <w:rPr>
                <w:rFonts w:ascii="Arial" w:cs="Arial" w:eastAsia="Arial" w:hAnsi="Arial"/>
                <w:sz w:val="18"/>
                <w:szCs w:val="18"/>
                <w:color w:val="auto"/>
              </w:rPr>
              <w:t>Savings</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275,540</w:t>
            </w: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F0FFFF"/>
          </w:tcPr>
          <w:p>
            <w:pPr>
              <w:spacing w:after="0"/>
              <w:rPr>
                <w:sz w:val="18"/>
                <w:szCs w:val="18"/>
                <w:color w:val="auto"/>
              </w:rPr>
            </w:pPr>
          </w:p>
        </w:tc>
        <w:tc>
          <w:tcPr>
            <w:tcW w:w="136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245,211</w:t>
            </w: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Time less than $100,000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818,048</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933</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1,000,511</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1,568</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ind w:left="220"/>
              <w:spacing w:after="0"/>
              <w:rPr>
                <w:sz w:val="20"/>
                <w:szCs w:val="20"/>
                <w:color w:val="auto"/>
              </w:rPr>
            </w:pPr>
            <w:r>
              <w:rPr>
                <w:rFonts w:ascii="Arial" w:cs="Arial" w:eastAsia="Arial" w:hAnsi="Arial"/>
                <w:sz w:val="18"/>
                <w:szCs w:val="18"/>
                <w:color w:val="auto"/>
              </w:rPr>
              <w:t>Time greater than $100,000</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563,489</w:t>
            </w:r>
          </w:p>
        </w:tc>
        <w:tc>
          <w:tcPr>
            <w:tcW w:w="18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865</w:t>
            </w:r>
          </w:p>
        </w:tc>
        <w:tc>
          <w:tcPr>
            <w:tcW w:w="136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.62</w:t>
            </w:r>
          </w:p>
        </w:tc>
        <w:tc>
          <w:tcPr>
            <w:tcW w:w="1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674,200</w:t>
            </w:r>
          </w:p>
        </w:tc>
        <w:tc>
          <w:tcPr>
            <w:tcW w:w="18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1,380</w:t>
            </w:r>
          </w:p>
        </w:tc>
        <w:tc>
          <w:tcPr>
            <w:tcW w:w="12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Brokered time deposits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334,919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220</w:t>
            </w:r>
          </w:p>
        </w:tc>
        <w:tc>
          <w:tcPr>
            <w:tcW w:w="2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195,182</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shd w:val="clear" w:color="auto" w:fill="F0FFFF"/>
          </w:tcPr>
          <w:p>
            <w:pPr>
              <w:ind w:left="320"/>
              <w:spacing w:after="0"/>
              <w:rPr>
                <w:sz w:val="20"/>
                <w:szCs w:val="20"/>
                <w:color w:val="auto"/>
              </w:rPr>
            </w:pPr>
            <w:r>
              <w:rPr>
                <w:rFonts w:ascii="Arial" w:cs="Arial" w:eastAsia="Arial" w:hAnsi="Arial"/>
                <w:sz w:val="18"/>
                <w:szCs w:val="18"/>
                <w:color w:val="auto"/>
              </w:rPr>
              <w:t>Total interest-bearing deposits</w:t>
            </w:r>
          </w:p>
        </w:tc>
        <w:tc>
          <w:tcPr>
            <w:tcW w:w="8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4,709,182</w:t>
            </w:r>
          </w:p>
        </w:tc>
        <w:tc>
          <w:tcPr>
            <w:tcW w:w="20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3,207</w:t>
            </w:r>
          </w:p>
        </w:tc>
        <w:tc>
          <w:tcPr>
            <w:tcW w:w="220" w:type="dxa"/>
            <w:vAlign w:val="bottom"/>
            <w:shd w:val="clear" w:color="auto" w:fill="F0FFFF"/>
          </w:tcPr>
          <w:p>
            <w:pPr>
              <w:spacing w:after="0"/>
              <w:rPr>
                <w:sz w:val="19"/>
                <w:szCs w:val="19"/>
                <w:color w:val="auto"/>
              </w:rPr>
            </w:pPr>
          </w:p>
        </w:tc>
        <w:tc>
          <w:tcPr>
            <w:tcW w:w="136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.27</w:t>
            </w:r>
          </w:p>
        </w:tc>
        <w:tc>
          <w:tcPr>
            <w:tcW w:w="180" w:type="dxa"/>
            <w:vAlign w:val="bottom"/>
            <w:shd w:val="clear" w:color="auto" w:fill="F0FFFF"/>
          </w:tcPr>
          <w:p>
            <w:pPr>
              <w:spacing w:after="0"/>
              <w:rPr>
                <w:sz w:val="19"/>
                <w:szCs w:val="19"/>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4,666,927</w:t>
            </w:r>
          </w:p>
        </w:tc>
        <w:tc>
          <w:tcPr>
            <w:tcW w:w="22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3,939</w:t>
            </w:r>
          </w:p>
        </w:tc>
        <w:tc>
          <w:tcPr>
            <w:tcW w:w="12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120" w:type="dxa"/>
            <w:vAlign w:val="bottom"/>
            <w:tcBorders>
              <w:top w:val="single" w:sz="8" w:color="F0FFFF"/>
            </w:tcBorders>
          </w:tcPr>
          <w:p>
            <w:pPr>
              <w:spacing w:after="0"/>
              <w:rPr>
                <w:sz w:val="18"/>
                <w:szCs w:val="18"/>
                <w:color w:val="auto"/>
              </w:rPr>
            </w:pPr>
          </w:p>
        </w:tc>
        <w:tc>
          <w:tcPr>
            <w:tcW w:w="16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Federal funds purchased and other</w:t>
            </w:r>
          </w:p>
        </w:tc>
        <w:tc>
          <w:tcPr>
            <w:tcW w:w="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26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1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borrowings</w:t>
            </w:r>
          </w:p>
        </w:tc>
        <w:tc>
          <w:tcPr>
            <w:tcW w:w="8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108,311</w:t>
            </w:r>
          </w:p>
        </w:tc>
        <w:tc>
          <w:tcPr>
            <w:tcW w:w="180" w:type="dxa"/>
            <w:vAlign w:val="bottom"/>
            <w:shd w:val="clear" w:color="auto" w:fill="F0FFFF"/>
          </w:tcPr>
          <w:p>
            <w:pPr>
              <w:spacing w:after="0"/>
              <w:rPr>
                <w:sz w:val="20"/>
                <w:szCs w:val="20"/>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908</w:t>
            </w:r>
          </w:p>
        </w:tc>
        <w:tc>
          <w:tcPr>
            <w:tcW w:w="136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3.36</w:t>
            </w:r>
          </w:p>
        </w:tc>
        <w:tc>
          <w:tcPr>
            <w:tcW w:w="180" w:type="dxa"/>
            <w:vAlign w:val="bottom"/>
            <w:shd w:val="clear" w:color="auto" w:fill="F0FFFF"/>
          </w:tcPr>
          <w:p>
            <w:pPr>
              <w:spacing w:after="0"/>
              <w:rPr>
                <w:sz w:val="20"/>
                <w:szCs w:val="20"/>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72,139</w:t>
            </w:r>
          </w:p>
        </w:tc>
        <w:tc>
          <w:tcPr>
            <w:tcW w:w="180" w:type="dxa"/>
            <w:vAlign w:val="bottom"/>
            <w:shd w:val="clear" w:color="auto" w:fill="F0FFFF"/>
          </w:tcPr>
          <w:p>
            <w:pPr>
              <w:spacing w:after="0"/>
              <w:rPr>
                <w:sz w:val="20"/>
                <w:szCs w:val="20"/>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522</w:t>
            </w:r>
          </w:p>
        </w:tc>
        <w:tc>
          <w:tcPr>
            <w:tcW w:w="12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Federal Home Loan Bank advances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154,795</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58,916</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ind w:left="220"/>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129,865</w:t>
            </w:r>
          </w:p>
        </w:tc>
        <w:tc>
          <w:tcPr>
            <w:tcW w:w="2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2,638</w:t>
            </w:r>
          </w:p>
        </w:tc>
        <w:tc>
          <w:tcPr>
            <w:tcW w:w="220" w:type="dxa"/>
            <w:vAlign w:val="bottom"/>
            <w:shd w:val="clear" w:color="auto" w:fill="F0FFFF"/>
          </w:tcPr>
          <w:p>
            <w:pPr>
              <w:spacing w:after="0"/>
              <w:rPr>
                <w:sz w:val="18"/>
                <w:szCs w:val="18"/>
                <w:color w:val="auto"/>
              </w:rPr>
            </w:pPr>
          </w:p>
        </w:tc>
        <w:tc>
          <w:tcPr>
            <w:tcW w:w="136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8.15</w:t>
            </w:r>
          </w:p>
        </w:tc>
        <w:tc>
          <w:tcPr>
            <w:tcW w:w="1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124,838</w:t>
            </w:r>
          </w:p>
        </w:tc>
        <w:tc>
          <w:tcPr>
            <w:tcW w:w="18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2,666</w:t>
            </w:r>
          </w:p>
        </w:tc>
        <w:tc>
          <w:tcPr>
            <w:tcW w:w="12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100" w:type="dxa"/>
            <w:vAlign w:val="bottom"/>
            <w:shd w:val="clear" w:color="auto" w:fill="F0FFFF"/>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120" w:type="dxa"/>
            <w:vAlign w:val="bottom"/>
            <w:shd w:val="clear" w:color="auto" w:fill="F0FFFF"/>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Total borrowed funds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392,971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3,626</w:t>
            </w:r>
          </w:p>
        </w:tc>
        <w:tc>
          <w:tcPr>
            <w:tcW w:w="22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3.70</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255,893</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3,218</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320"/>
              <w:spacing w:after="0"/>
              <w:rPr>
                <w:sz w:val="20"/>
                <w:szCs w:val="20"/>
                <w:color w:val="auto"/>
              </w:rPr>
            </w:pPr>
            <w:r>
              <w:rPr>
                <w:rFonts w:ascii="Arial" w:cs="Arial" w:eastAsia="Arial" w:hAnsi="Arial"/>
                <w:sz w:val="18"/>
                <w:szCs w:val="18"/>
                <w:b w:val="1"/>
                <w:bCs w:val="1"/>
                <w:color w:val="auto"/>
              </w:rPr>
              <w:t>Total interest-bearing liabilities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5,102,153</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6,833</w:t>
            </w:r>
          </w:p>
        </w:tc>
        <w:tc>
          <w:tcPr>
            <w:tcW w:w="22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4,922,820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7,157</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color w:val="auto"/>
              </w:rPr>
              <w:t>Non-interest-bearing liabilities:</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Non-interest-bearing deposits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1,477,849</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1,315,812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shd w:val="clear" w:color="auto" w:fill="F0FFFF"/>
          </w:tcPr>
          <w:p>
            <w:pPr>
              <w:ind w:left="80"/>
              <w:spacing w:after="0"/>
              <w:rPr>
                <w:sz w:val="20"/>
                <w:szCs w:val="20"/>
                <w:color w:val="auto"/>
              </w:rPr>
            </w:pPr>
            <w:r>
              <w:rPr>
                <w:rFonts w:ascii="Arial" w:cs="Arial" w:eastAsia="Arial" w:hAnsi="Arial"/>
                <w:sz w:val="18"/>
                <w:szCs w:val="18"/>
                <w:color w:val="auto"/>
              </w:rPr>
              <w:t>Other liabilities</w:t>
            </w:r>
          </w:p>
        </w:tc>
        <w:tc>
          <w:tcPr>
            <w:tcW w:w="8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125,173</w:t>
            </w:r>
          </w:p>
        </w:tc>
        <w:tc>
          <w:tcPr>
            <w:tcW w:w="20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94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100" w:type="dxa"/>
            <w:vAlign w:val="bottom"/>
            <w:shd w:val="clear" w:color="auto" w:fill="F0FFFF"/>
          </w:tcPr>
          <w:p>
            <w:pPr>
              <w:spacing w:after="0"/>
              <w:rPr>
                <w:sz w:val="19"/>
                <w:szCs w:val="19"/>
                <w:color w:val="auto"/>
              </w:rPr>
            </w:pPr>
          </w:p>
        </w:tc>
        <w:tc>
          <w:tcPr>
            <w:tcW w:w="260" w:type="dxa"/>
            <w:vAlign w:val="bottom"/>
            <w:tcBorders>
              <w:right w:val="single" w:sz="8" w:color="F0FFFF"/>
            </w:tcBorders>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40,603</w:t>
            </w:r>
          </w:p>
        </w:tc>
        <w:tc>
          <w:tcPr>
            <w:tcW w:w="180" w:type="dxa"/>
            <w:vAlign w:val="bottom"/>
            <w:shd w:val="clear" w:color="auto" w:fill="F0FFFF"/>
          </w:tcPr>
          <w:p>
            <w:pPr>
              <w:spacing w:after="0"/>
              <w:rPr>
                <w:sz w:val="19"/>
                <w:szCs w:val="19"/>
                <w:color w:val="auto"/>
              </w:rPr>
            </w:pPr>
          </w:p>
        </w:tc>
        <w:tc>
          <w:tcPr>
            <w:tcW w:w="94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120" w:type="dxa"/>
            <w:vAlign w:val="bottom"/>
            <w:shd w:val="clear" w:color="auto" w:fill="F0FFFF"/>
          </w:tcPr>
          <w:p>
            <w:pPr>
              <w:spacing w:after="0"/>
              <w:rPr>
                <w:sz w:val="19"/>
                <w:szCs w:val="19"/>
                <w:color w:val="auto"/>
              </w:rPr>
            </w:pPr>
          </w:p>
        </w:tc>
        <w:tc>
          <w:tcPr>
            <w:tcW w:w="160" w:type="dxa"/>
            <w:vAlign w:val="bottom"/>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top w:val="single" w:sz="8" w:color="F0FFFF"/>
            </w:tcBorders>
          </w:tcPr>
          <w:p>
            <w:pPr>
              <w:ind w:left="200"/>
              <w:spacing w:after="0"/>
              <w:rPr>
                <w:sz w:val="20"/>
                <w:szCs w:val="20"/>
                <w:color w:val="auto"/>
              </w:rPr>
            </w:pPr>
            <w:r>
              <w:rPr>
                <w:rFonts w:ascii="Arial" w:cs="Arial" w:eastAsia="Arial" w:hAnsi="Arial"/>
                <w:sz w:val="18"/>
                <w:szCs w:val="18"/>
                <w:color w:val="auto"/>
              </w:rPr>
              <w:t>Total liabilities</w:t>
            </w:r>
          </w:p>
        </w:tc>
        <w:tc>
          <w:tcPr>
            <w:tcW w:w="80" w:type="dxa"/>
            <w:vAlign w:val="bottom"/>
            <w:tcBorders>
              <w:top w:val="single" w:sz="8" w:color="F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6,705,175</w:t>
            </w:r>
          </w:p>
        </w:tc>
        <w:tc>
          <w:tcPr>
            <w:tcW w:w="20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94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6,279,235</w:t>
            </w:r>
          </w:p>
        </w:tc>
        <w:tc>
          <w:tcPr>
            <w:tcW w:w="22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94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120" w:type="dxa"/>
            <w:vAlign w:val="bottom"/>
            <w:tcBorders>
              <w:top w:val="single" w:sz="8" w:color="F0FFFF"/>
            </w:tcBorders>
          </w:tcPr>
          <w:p>
            <w:pPr>
              <w:spacing w:after="0"/>
              <w:rPr>
                <w:sz w:val="18"/>
                <w:szCs w:val="18"/>
                <w:color w:val="auto"/>
              </w:rPr>
            </w:pPr>
          </w:p>
        </w:tc>
        <w:tc>
          <w:tcPr>
            <w:tcW w:w="16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color w:val="auto"/>
              </w:rPr>
              <w:t>Shareholders’ equity</w:t>
            </w:r>
          </w:p>
        </w:tc>
        <w:tc>
          <w:tcPr>
            <w:tcW w:w="8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712,687</w:t>
            </w:r>
          </w:p>
        </w:tc>
        <w:tc>
          <w:tcPr>
            <w:tcW w:w="20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94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100" w:type="dxa"/>
            <w:vAlign w:val="bottom"/>
            <w:shd w:val="clear" w:color="auto" w:fill="F0FFFF"/>
          </w:tcPr>
          <w:p>
            <w:pPr>
              <w:spacing w:after="0"/>
              <w:rPr>
                <w:sz w:val="19"/>
                <w:szCs w:val="19"/>
                <w:color w:val="auto"/>
              </w:rPr>
            </w:pPr>
          </w:p>
        </w:tc>
        <w:tc>
          <w:tcPr>
            <w:tcW w:w="260" w:type="dxa"/>
            <w:vAlign w:val="bottom"/>
            <w:tcBorders>
              <w:right w:val="single" w:sz="8" w:color="F0FFFF"/>
            </w:tcBorders>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635,613</w:t>
            </w:r>
          </w:p>
        </w:tc>
        <w:tc>
          <w:tcPr>
            <w:tcW w:w="180" w:type="dxa"/>
            <w:vAlign w:val="bottom"/>
            <w:shd w:val="clear" w:color="auto" w:fill="F0FFFF"/>
          </w:tcPr>
          <w:p>
            <w:pPr>
              <w:spacing w:after="0"/>
              <w:rPr>
                <w:sz w:val="19"/>
                <w:szCs w:val="19"/>
                <w:color w:val="auto"/>
              </w:rPr>
            </w:pPr>
          </w:p>
        </w:tc>
        <w:tc>
          <w:tcPr>
            <w:tcW w:w="94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120" w:type="dxa"/>
            <w:vAlign w:val="bottom"/>
            <w:shd w:val="clear" w:color="auto" w:fill="F0FFFF"/>
          </w:tcPr>
          <w:p>
            <w:pPr>
              <w:spacing w:after="0"/>
              <w:rPr>
                <w:sz w:val="19"/>
                <w:szCs w:val="19"/>
                <w:color w:val="auto"/>
              </w:rPr>
            </w:pPr>
          </w:p>
        </w:tc>
        <w:tc>
          <w:tcPr>
            <w:tcW w:w="160" w:type="dxa"/>
            <w:vAlign w:val="bottom"/>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top w:val="single" w:sz="8" w:color="F0FFFF"/>
            </w:tcBorders>
          </w:tcPr>
          <w:p>
            <w:pPr>
              <w:ind w:left="200"/>
              <w:spacing w:after="0"/>
              <w:rPr>
                <w:sz w:val="20"/>
                <w:szCs w:val="20"/>
                <w:color w:val="auto"/>
              </w:rPr>
            </w:pPr>
            <w:r>
              <w:rPr>
                <w:rFonts w:ascii="Arial" w:cs="Arial" w:eastAsia="Arial" w:hAnsi="Arial"/>
                <w:sz w:val="18"/>
                <w:szCs w:val="18"/>
                <w:b w:val="1"/>
                <w:bCs w:val="1"/>
                <w:color w:val="auto"/>
                <w:w w:val="90"/>
              </w:rPr>
              <w:t>Total liabilities and shareholders’ equity</w:t>
            </w:r>
          </w:p>
        </w:tc>
        <w:tc>
          <w:tcPr>
            <w:tcW w:w="80" w:type="dxa"/>
            <w:vAlign w:val="bottom"/>
            <w:tcBorders>
              <w:top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7,417,862</w:t>
            </w:r>
          </w:p>
        </w:tc>
        <w:tc>
          <w:tcPr>
            <w:tcW w:w="20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94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6,914,848</w:t>
            </w:r>
          </w:p>
        </w:tc>
        <w:tc>
          <w:tcPr>
            <w:tcW w:w="22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94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120" w:type="dxa"/>
            <w:vAlign w:val="bottom"/>
            <w:tcBorders>
              <w:top w:val="single" w:sz="8" w:color="F0FFFF"/>
            </w:tcBorders>
          </w:tcPr>
          <w:p>
            <w:pPr>
              <w:spacing w:after="0"/>
              <w:rPr>
                <w:sz w:val="18"/>
                <w:szCs w:val="18"/>
                <w:color w:val="auto"/>
              </w:rPr>
            </w:pPr>
          </w:p>
        </w:tc>
        <w:tc>
          <w:tcPr>
            <w:tcW w:w="16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Net interest revenue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54,950</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54,931</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color w:val="auto"/>
              </w:rPr>
              <w:t>Net interest-rate spread</w:t>
            </w:r>
          </w:p>
        </w:tc>
        <w:tc>
          <w:tcPr>
            <w:tcW w:w="8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94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94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360" w:type="dxa"/>
            <w:vAlign w:val="bottom"/>
            <w:tcBorders>
              <w:righ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3.07%</w:t>
            </w:r>
          </w:p>
        </w:tc>
        <w:tc>
          <w:tcPr>
            <w:tcW w:w="180" w:type="dxa"/>
            <w:vAlign w:val="bottom"/>
            <w:shd w:val="clear" w:color="auto" w:fill="F0FFFF"/>
          </w:tcPr>
          <w:p>
            <w:pPr>
              <w:spacing w:after="0"/>
              <w:rPr>
                <w:sz w:val="21"/>
                <w:szCs w:val="21"/>
                <w:color w:val="auto"/>
              </w:rPr>
            </w:pPr>
          </w:p>
        </w:tc>
        <w:tc>
          <w:tcPr>
            <w:tcW w:w="96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94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2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940" w:type="dxa"/>
            <w:vAlign w:val="bottom"/>
            <w:tcBorders>
              <w:top w:val="single" w:sz="8" w:color="F0FFFF"/>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94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96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94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320" w:type="dxa"/>
            <w:vAlign w:val="bottom"/>
            <w:shd w:val="clear" w:color="auto" w:fill="F0FFFF"/>
          </w:tcPr>
          <w:p>
            <w:pPr>
              <w:spacing w:after="0" w:line="216" w:lineRule="exact"/>
              <w:rPr>
                <w:sz w:val="20"/>
                <w:szCs w:val="20"/>
                <w:color w:val="auto"/>
              </w:rPr>
            </w:pPr>
            <w:r>
              <w:rPr>
                <w:rFonts w:ascii="Arial" w:cs="Arial" w:eastAsia="Arial" w:hAnsi="Arial"/>
                <w:sz w:val="18"/>
                <w:szCs w:val="18"/>
                <w:b w:val="1"/>
                <w:bCs w:val="1"/>
                <w:color w:val="auto"/>
              </w:rPr>
              <w:t xml:space="preserve">Net interest margin </w:t>
            </w:r>
            <w:r>
              <w:rPr>
                <w:rFonts w:ascii="Arial" w:cs="Arial" w:eastAsia="Arial" w:hAnsi="Arial"/>
                <w:sz w:val="25"/>
                <w:szCs w:val="25"/>
                <w:color w:val="auto"/>
                <w:vertAlign w:val="superscript"/>
              </w:rPr>
              <w:t>(4)</w:t>
            </w:r>
          </w:p>
        </w:tc>
        <w:tc>
          <w:tcPr>
            <w:tcW w:w="8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94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94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360" w:type="dxa"/>
            <w:vAlign w:val="bottom"/>
            <w:tcBorders>
              <w:righ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3.21%</w:t>
            </w:r>
          </w:p>
        </w:tc>
        <w:tc>
          <w:tcPr>
            <w:tcW w:w="180" w:type="dxa"/>
            <w:vAlign w:val="bottom"/>
            <w:shd w:val="clear" w:color="auto" w:fill="F0FFFF"/>
          </w:tcPr>
          <w:p>
            <w:pPr>
              <w:spacing w:after="0"/>
              <w:rPr>
                <w:sz w:val="20"/>
                <w:szCs w:val="20"/>
                <w:color w:val="auto"/>
              </w:rPr>
            </w:pPr>
          </w:p>
        </w:tc>
        <w:tc>
          <w:tcPr>
            <w:tcW w:w="96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94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2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94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94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96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94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60" w:right="160" w:hanging="352"/>
        <w:spacing w:after="0" w:line="216" w:lineRule="auto"/>
        <w:tabs>
          <w:tab w:leader="none" w:pos="3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Interest revenue on tax-exempt securities and loans has been increased to reflect comparable interest on taxable securities and loans. The rate used was 39%, reflecting the statutory federal income tax rate and the federal tax adjusted state income tax rate.</w:t>
      </w:r>
    </w:p>
    <w:p>
      <w:pPr>
        <w:spacing w:after="0" w:line="1" w:lineRule="exact"/>
        <w:rPr>
          <w:rFonts w:ascii="Arial" w:cs="Arial" w:eastAsia="Arial" w:hAnsi="Arial"/>
          <w:sz w:val="25"/>
          <w:szCs w:val="25"/>
          <w:color w:val="auto"/>
          <w:vertAlign w:val="superscript"/>
        </w:rPr>
      </w:pPr>
    </w:p>
    <w:p>
      <w:pPr>
        <w:ind w:left="360" w:hanging="352"/>
        <w:spacing w:after="0" w:line="205" w:lineRule="auto"/>
        <w:tabs>
          <w:tab w:leader="none" w:pos="360"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Included in the average balance of loans outstanding are loans where the accrual of interest has been discontinued and loans that are held for sale.</w:t>
      </w:r>
    </w:p>
    <w:p>
      <w:pPr>
        <w:spacing w:after="0" w:line="1" w:lineRule="exact"/>
        <w:rPr>
          <w:rFonts w:ascii="Arial" w:cs="Arial" w:eastAsia="Arial" w:hAnsi="Arial"/>
          <w:sz w:val="22"/>
          <w:szCs w:val="22"/>
          <w:color w:val="auto"/>
          <w:vertAlign w:val="superscript"/>
        </w:rPr>
      </w:pPr>
    </w:p>
    <w:p>
      <w:pPr>
        <w:ind w:left="360" w:right="180" w:hanging="352"/>
        <w:spacing w:after="0" w:line="208" w:lineRule="auto"/>
        <w:tabs>
          <w:tab w:leader="none" w:pos="3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Securities available for sale are shown at amortized cost. Pretax unrealized gains of $1.86 million in 2014 and pretax unrealized gains of $17.7 million in 2013 are included in other assets for purposes of this presentation.</w:t>
      </w:r>
    </w:p>
    <w:p>
      <w:pPr>
        <w:spacing w:after="0" w:line="1" w:lineRule="exact"/>
        <w:rPr>
          <w:rFonts w:ascii="Arial" w:cs="Arial" w:eastAsia="Arial" w:hAnsi="Arial"/>
          <w:sz w:val="25"/>
          <w:szCs w:val="25"/>
          <w:color w:val="auto"/>
          <w:vertAlign w:val="superscript"/>
        </w:rPr>
      </w:pPr>
    </w:p>
    <w:p>
      <w:pPr>
        <w:ind w:left="360" w:hanging="352"/>
        <w:spacing w:after="0" w:line="180" w:lineRule="auto"/>
        <w:tabs>
          <w:tab w:leader="none" w:pos="3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Net interest margin is taxable equivalent net-interest revenue divided by average interest-earning assets.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072" w:gutter="0" w:footer="0" w:header="0"/>
        </w:sectPr>
      </w:pPr>
    </w:p>
    <w:bookmarkStart w:id="48" w:name="page49"/>
    <w:bookmarkEnd w:id="48"/>
    <w:p>
      <w:pPr>
        <w:spacing w:after="0" w:line="277" w:lineRule="auto"/>
        <w:rPr>
          <w:sz w:val="20"/>
          <w:szCs w:val="20"/>
          <w:color w:val="auto"/>
        </w:rPr>
      </w:pPr>
      <w:r>
        <w:rPr>
          <w:rFonts w:ascii="Arial" w:cs="Arial" w:eastAsia="Arial" w:hAnsi="Arial"/>
          <w:sz w:val="18"/>
          <w:szCs w:val="18"/>
          <w:color w:val="auto"/>
        </w:rPr>
        <w:t>The following table shows the relationship between interest revenue and expense, and the average amounts of interest-earning assets and interest-bearing liabilities for the six months ended June 30, 2014 and 2013.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3 - Average Consolidated Balance Sheets and Net Interest Analysis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3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440"/>
              <w:spacing w:after="0" w:line="198" w:lineRule="exact"/>
              <w:rPr>
                <w:sz w:val="20"/>
                <w:szCs w:val="20"/>
                <w:color w:val="auto"/>
              </w:rPr>
            </w:pPr>
            <w:r>
              <w:rPr>
                <w:rFonts w:ascii="Arial" w:cs="Arial" w:eastAsia="Arial" w:hAnsi="Arial"/>
                <w:sz w:val="18"/>
                <w:szCs w:val="18"/>
                <w:b w:val="1"/>
                <w:bCs w:val="1"/>
                <w:color w:val="auto"/>
                <w:w w:val="95"/>
              </w:rPr>
              <w:t>Average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290"/>
              <w:spacing w:after="0" w:line="198" w:lineRule="exact"/>
              <w:rPr>
                <w:sz w:val="20"/>
                <w:szCs w:val="20"/>
                <w:color w:val="auto"/>
              </w:rPr>
            </w:pPr>
            <w:r>
              <w:rPr>
                <w:rFonts w:ascii="Arial" w:cs="Arial" w:eastAsia="Arial" w:hAnsi="Arial"/>
                <w:sz w:val="18"/>
                <w:szCs w:val="18"/>
                <w:b w:val="1"/>
                <w:bCs w:val="1"/>
                <w:color w:val="auto"/>
              </w:rPr>
              <w:t>Avg.</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480"/>
              <w:spacing w:after="0" w:line="198" w:lineRule="exact"/>
              <w:rPr>
                <w:sz w:val="20"/>
                <w:szCs w:val="20"/>
                <w:color w:val="auto"/>
              </w:rPr>
            </w:pPr>
            <w:r>
              <w:rPr>
                <w:rFonts w:ascii="Arial" w:cs="Arial" w:eastAsia="Arial" w:hAnsi="Arial"/>
                <w:sz w:val="18"/>
                <w:szCs w:val="18"/>
                <w:b w:val="1"/>
                <w:bCs w:val="1"/>
                <w:color w:val="auto"/>
                <w:w w:val="95"/>
              </w:rPr>
              <w:t>Average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310"/>
              <w:spacing w:after="0" w:line="198" w:lineRule="exact"/>
              <w:rPr>
                <w:sz w:val="20"/>
                <w:szCs w:val="20"/>
                <w:color w:val="auto"/>
              </w:rPr>
            </w:pPr>
            <w:r>
              <w:rPr>
                <w:rFonts w:ascii="Arial" w:cs="Arial" w:eastAsia="Arial" w:hAnsi="Arial"/>
                <w:sz w:val="18"/>
                <w:szCs w:val="18"/>
                <w:b w:val="1"/>
                <w:bCs w:val="1"/>
                <w:color w:val="auto"/>
              </w:rPr>
              <w:t>Avg.</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340" w:type="dxa"/>
            <w:vAlign w:val="bottom"/>
            <w:gridSpan w:val="2"/>
          </w:tcPr>
          <w:p>
            <w:pPr>
              <w:spacing w:after="0"/>
              <w:rPr>
                <w:sz w:val="20"/>
                <w:szCs w:val="20"/>
                <w:color w:val="auto"/>
              </w:rPr>
            </w:pPr>
            <w:r>
              <w:rPr>
                <w:rFonts w:ascii="Arial" w:cs="Arial" w:eastAsia="Arial" w:hAnsi="Arial"/>
                <w:sz w:val="18"/>
                <w:szCs w:val="18"/>
                <w:i w:val="1"/>
                <w:iCs w:val="1"/>
                <w:color w:val="auto"/>
              </w:rPr>
              <w:t>(dollars in thousands, taxable equivalent)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5"/>
              </w:rPr>
              <w:t>Balance</w:t>
            </w:r>
          </w:p>
        </w:tc>
        <w:tc>
          <w:tcPr>
            <w:tcW w:w="18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Interest</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Rate</w:t>
            </w:r>
          </w:p>
        </w:tc>
        <w:tc>
          <w:tcPr>
            <w:tcW w:w="18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Balance</w:t>
            </w:r>
          </w:p>
        </w:tc>
        <w:tc>
          <w:tcPr>
            <w:tcW w:w="18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Interest</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Rate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00" w:type="dxa"/>
            <w:vAlign w:val="bottom"/>
            <w:tcBorders>
              <w:top w:val="single" w:sz="8" w:color="auto"/>
            </w:tcBorders>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tcBorders>
              <w:top w:val="single" w:sz="8" w:color="auto"/>
            </w:tcBorders>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Interest-earning assets: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ind w:left="80"/>
              <w:spacing w:after="0" w:line="216" w:lineRule="exact"/>
              <w:rPr>
                <w:sz w:val="20"/>
                <w:szCs w:val="20"/>
                <w:color w:val="auto"/>
              </w:rPr>
            </w:pPr>
            <w:r>
              <w:rPr>
                <w:rFonts w:ascii="Arial" w:cs="Arial" w:eastAsia="Arial" w:hAnsi="Arial"/>
                <w:sz w:val="18"/>
                <w:szCs w:val="18"/>
                <w:color w:val="auto"/>
              </w:rPr>
              <w:t xml:space="preserve">Loans, net of unearned income </w:t>
            </w:r>
            <w:r>
              <w:rPr>
                <w:rFonts w:ascii="Arial" w:cs="Arial" w:eastAsia="Arial" w:hAnsi="Arial"/>
                <w:sz w:val="25"/>
                <w:szCs w:val="25"/>
                <w:color w:val="auto"/>
                <w:vertAlign w:val="superscript"/>
              </w:rPr>
              <w:t>(1)(2)</w:t>
            </w:r>
          </w:p>
        </w:tc>
        <w:tc>
          <w:tcPr>
            <w:tcW w:w="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4,365,930</w:t>
            </w: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96,303</w:t>
            </w:r>
          </w:p>
        </w:tc>
        <w:tc>
          <w:tcPr>
            <w:tcW w:w="1360" w:type="dxa"/>
            <w:vAlign w:val="bottom"/>
            <w:tcBorders>
              <w:righ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4.45%</w:t>
            </w: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4,225,215</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101,808</w:t>
            </w:r>
          </w:p>
        </w:tc>
        <w:tc>
          <w:tcPr>
            <w:tcW w:w="12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80"/>
              <w:spacing w:after="0" w:line="216" w:lineRule="exact"/>
              <w:rPr>
                <w:sz w:val="20"/>
                <w:szCs w:val="20"/>
                <w:color w:val="auto"/>
              </w:rPr>
            </w:pPr>
            <w:r>
              <w:rPr>
                <w:rFonts w:ascii="Arial" w:cs="Arial" w:eastAsia="Arial" w:hAnsi="Arial"/>
                <w:sz w:val="18"/>
                <w:szCs w:val="18"/>
                <w:color w:val="auto"/>
              </w:rPr>
              <w:t xml:space="preserve">Taxable securities </w:t>
            </w:r>
            <w:r>
              <w:rPr>
                <w:rFonts w:ascii="Arial" w:cs="Arial" w:eastAsia="Arial" w:hAnsi="Arial"/>
                <w:sz w:val="25"/>
                <w:szCs w:val="25"/>
                <w:color w:val="auto"/>
                <w:vertAlign w:val="superscript"/>
              </w:rPr>
              <w:t>(3)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2,303,404</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23,391</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2.03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2,129,208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19,596</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ind w:left="80"/>
              <w:spacing w:after="0" w:line="216" w:lineRule="exact"/>
              <w:rPr>
                <w:sz w:val="20"/>
                <w:szCs w:val="20"/>
                <w:color w:val="auto"/>
              </w:rPr>
            </w:pPr>
            <w:r>
              <w:rPr>
                <w:rFonts w:ascii="Arial" w:cs="Arial" w:eastAsia="Arial" w:hAnsi="Arial"/>
                <w:sz w:val="18"/>
                <w:szCs w:val="18"/>
                <w:color w:val="auto"/>
              </w:rPr>
              <w:t xml:space="preserve">Tax-exempt securities </w:t>
            </w:r>
            <w:r>
              <w:rPr>
                <w:rFonts w:ascii="Arial" w:cs="Arial" w:eastAsia="Arial" w:hAnsi="Arial"/>
                <w:sz w:val="25"/>
                <w:szCs w:val="25"/>
                <w:color w:val="auto"/>
                <w:vertAlign w:val="superscript"/>
              </w:rPr>
              <w:t>(1)(3)</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19,881</w:t>
            </w:r>
          </w:p>
        </w:tc>
        <w:tc>
          <w:tcPr>
            <w:tcW w:w="18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624</w:t>
            </w:r>
          </w:p>
        </w:tc>
        <w:tc>
          <w:tcPr>
            <w:tcW w:w="136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6.28</w:t>
            </w:r>
          </w:p>
        </w:tc>
        <w:tc>
          <w:tcPr>
            <w:tcW w:w="1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21,665</w:t>
            </w:r>
          </w:p>
        </w:tc>
        <w:tc>
          <w:tcPr>
            <w:tcW w:w="18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691</w:t>
            </w:r>
          </w:p>
        </w:tc>
        <w:tc>
          <w:tcPr>
            <w:tcW w:w="12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80"/>
              <w:spacing w:after="0" w:line="201" w:lineRule="exact"/>
              <w:rPr>
                <w:sz w:val="20"/>
                <w:szCs w:val="20"/>
                <w:color w:val="auto"/>
              </w:rPr>
            </w:pPr>
            <w:r>
              <w:rPr>
                <w:rFonts w:ascii="Arial" w:cs="Arial" w:eastAsia="Arial" w:hAnsi="Arial"/>
                <w:sz w:val="18"/>
                <w:szCs w:val="18"/>
                <w:color w:val="auto"/>
                <w:w w:val="89"/>
              </w:rPr>
              <w:t>Federal funds sold and other interest-earning</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assets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154,651</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1,960</w:t>
            </w:r>
          </w:p>
        </w:tc>
        <w:tc>
          <w:tcPr>
            <w:tcW w:w="22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2.53</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201,478</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2,107</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200"/>
              <w:spacing w:after="0"/>
              <w:rPr>
                <w:sz w:val="20"/>
                <w:szCs w:val="20"/>
                <w:color w:val="auto"/>
              </w:rPr>
            </w:pPr>
            <w:r>
              <w:rPr>
                <w:rFonts w:ascii="Arial" w:cs="Arial" w:eastAsia="Arial" w:hAnsi="Arial"/>
                <w:sz w:val="18"/>
                <w:szCs w:val="18"/>
                <w:b w:val="1"/>
                <w:bCs w:val="1"/>
                <w:color w:val="auto"/>
              </w:rPr>
              <w:t>Total interest-earning assets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6,843,866</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122,278</w:t>
            </w:r>
          </w:p>
        </w:tc>
        <w:tc>
          <w:tcPr>
            <w:tcW w:w="22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3.60</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6,577,566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124,202</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color w:val="auto"/>
              </w:rPr>
              <w:t>Non-interest-earning assets:</w:t>
            </w:r>
          </w:p>
        </w:tc>
        <w:tc>
          <w:tcPr>
            <w:tcW w:w="8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60"/>
              <w:spacing w:after="0"/>
              <w:rPr>
                <w:sz w:val="20"/>
                <w:szCs w:val="20"/>
                <w:color w:val="auto"/>
              </w:rPr>
            </w:pPr>
            <w:r>
              <w:rPr>
                <w:rFonts w:ascii="Arial" w:cs="Arial" w:eastAsia="Arial" w:hAnsi="Arial"/>
                <w:sz w:val="18"/>
                <w:szCs w:val="18"/>
                <w:color w:val="auto"/>
              </w:rPr>
              <w:t>Allowance for loan losses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(77,165)</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(108,667)</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ind w:left="80"/>
              <w:spacing w:after="0"/>
              <w:rPr>
                <w:sz w:val="20"/>
                <w:szCs w:val="20"/>
                <w:color w:val="auto"/>
              </w:rPr>
            </w:pPr>
            <w:r>
              <w:rPr>
                <w:rFonts w:ascii="Arial" w:cs="Arial" w:eastAsia="Arial" w:hAnsi="Arial"/>
                <w:sz w:val="18"/>
                <w:szCs w:val="18"/>
                <w:color w:val="auto"/>
              </w:rPr>
              <w:t>Cash and due from banks</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62,958</w:t>
            </w: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63,873</w:t>
            </w: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Premises and equipment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162,112</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168,773</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shd w:val="clear" w:color="auto" w:fill="F0FFFF"/>
          </w:tcPr>
          <w:p>
            <w:pPr>
              <w:ind w:left="80"/>
              <w:spacing w:after="0" w:line="216" w:lineRule="exact"/>
              <w:rPr>
                <w:sz w:val="20"/>
                <w:szCs w:val="20"/>
                <w:color w:val="auto"/>
              </w:rPr>
            </w:pPr>
            <w:r>
              <w:rPr>
                <w:rFonts w:ascii="Arial" w:cs="Arial" w:eastAsia="Arial" w:hAnsi="Arial"/>
                <w:sz w:val="18"/>
                <w:szCs w:val="18"/>
                <w:color w:val="auto"/>
              </w:rPr>
              <w:t xml:space="preserve">Other assets </w:t>
            </w:r>
            <w:r>
              <w:rPr>
                <w:rFonts w:ascii="Arial" w:cs="Arial" w:eastAsia="Arial" w:hAnsi="Arial"/>
                <w:sz w:val="25"/>
                <w:szCs w:val="25"/>
                <w:color w:val="auto"/>
                <w:vertAlign w:val="superscript"/>
              </w:rPr>
              <w:t>(3)</w:t>
            </w:r>
          </w:p>
        </w:tc>
        <w:tc>
          <w:tcPr>
            <w:tcW w:w="8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409,466</w:t>
            </w:r>
          </w:p>
        </w:tc>
        <w:tc>
          <w:tcPr>
            <w:tcW w:w="20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94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100" w:type="dxa"/>
            <w:vAlign w:val="bottom"/>
            <w:shd w:val="clear" w:color="auto" w:fill="F0FFFF"/>
          </w:tcPr>
          <w:p>
            <w:pPr>
              <w:spacing w:after="0"/>
              <w:rPr>
                <w:sz w:val="19"/>
                <w:szCs w:val="19"/>
                <w:color w:val="auto"/>
              </w:rPr>
            </w:pPr>
          </w:p>
        </w:tc>
        <w:tc>
          <w:tcPr>
            <w:tcW w:w="260" w:type="dxa"/>
            <w:vAlign w:val="bottom"/>
            <w:tcBorders>
              <w:right w:val="single" w:sz="8" w:color="F0FFFF"/>
            </w:tcBorders>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173,168</w:t>
            </w:r>
          </w:p>
        </w:tc>
        <w:tc>
          <w:tcPr>
            <w:tcW w:w="180" w:type="dxa"/>
            <w:vAlign w:val="bottom"/>
            <w:shd w:val="clear" w:color="auto" w:fill="F0FFFF"/>
          </w:tcPr>
          <w:p>
            <w:pPr>
              <w:spacing w:after="0"/>
              <w:rPr>
                <w:sz w:val="19"/>
                <w:szCs w:val="19"/>
                <w:color w:val="auto"/>
              </w:rPr>
            </w:pPr>
          </w:p>
        </w:tc>
        <w:tc>
          <w:tcPr>
            <w:tcW w:w="94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120" w:type="dxa"/>
            <w:vAlign w:val="bottom"/>
            <w:shd w:val="clear" w:color="auto" w:fill="F0FFFF"/>
          </w:tcPr>
          <w:p>
            <w:pPr>
              <w:spacing w:after="0"/>
              <w:rPr>
                <w:sz w:val="19"/>
                <w:szCs w:val="19"/>
                <w:color w:val="auto"/>
              </w:rPr>
            </w:pPr>
          </w:p>
        </w:tc>
        <w:tc>
          <w:tcPr>
            <w:tcW w:w="160" w:type="dxa"/>
            <w:vAlign w:val="bottom"/>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top w:val="single" w:sz="8" w:color="F0FFFF"/>
            </w:tcBorders>
          </w:tcPr>
          <w:p>
            <w:pPr>
              <w:ind w:left="200"/>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Borders>
              <w:top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7,401,237</w:t>
            </w:r>
          </w:p>
        </w:tc>
        <w:tc>
          <w:tcPr>
            <w:tcW w:w="20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94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6,874,713</w:t>
            </w:r>
          </w:p>
        </w:tc>
        <w:tc>
          <w:tcPr>
            <w:tcW w:w="22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94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120" w:type="dxa"/>
            <w:vAlign w:val="bottom"/>
            <w:tcBorders>
              <w:top w:val="single" w:sz="8" w:color="F0FFFF"/>
            </w:tcBorders>
          </w:tcPr>
          <w:p>
            <w:pPr>
              <w:spacing w:after="0"/>
              <w:rPr>
                <w:sz w:val="18"/>
                <w:szCs w:val="18"/>
                <w:color w:val="auto"/>
              </w:rPr>
            </w:pPr>
          </w:p>
        </w:tc>
        <w:tc>
          <w:tcPr>
            <w:tcW w:w="16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color w:val="auto"/>
              </w:rPr>
              <w:t>Interest-bearing liabilities:</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Interest-bearing deposits: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ind w:left="220"/>
              <w:spacing w:after="0"/>
              <w:rPr>
                <w:sz w:val="20"/>
                <w:szCs w:val="20"/>
                <w:color w:val="auto"/>
              </w:rPr>
            </w:pPr>
            <w:r>
              <w:rPr>
                <w:rFonts w:ascii="Arial" w:cs="Arial" w:eastAsia="Arial" w:hAnsi="Arial"/>
                <w:sz w:val="18"/>
                <w:szCs w:val="18"/>
                <w:color w:val="auto"/>
              </w:rPr>
              <w:t>NOW</w:t>
            </w:r>
          </w:p>
        </w:tc>
        <w:tc>
          <w:tcPr>
            <w:tcW w:w="26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1,385,964</w:t>
            </w:r>
          </w:p>
        </w:tc>
        <w:tc>
          <w:tcPr>
            <w:tcW w:w="18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851</w:t>
            </w:r>
          </w:p>
        </w:tc>
        <w:tc>
          <w:tcPr>
            <w:tcW w:w="136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1,274,144</w:t>
            </w: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873</w:t>
            </w:r>
          </w:p>
        </w:tc>
        <w:tc>
          <w:tcPr>
            <w:tcW w:w="12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Money market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1,368,975</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1,320</w:t>
            </w:r>
          </w:p>
        </w:tc>
        <w:tc>
          <w:tcPr>
            <w:tcW w:w="2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1,282,101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1,096</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ind w:left="220"/>
              <w:spacing w:after="0"/>
              <w:rPr>
                <w:sz w:val="20"/>
                <w:szCs w:val="20"/>
                <w:color w:val="auto"/>
              </w:rPr>
            </w:pPr>
            <w:r>
              <w:rPr>
                <w:rFonts w:ascii="Arial" w:cs="Arial" w:eastAsia="Arial" w:hAnsi="Arial"/>
                <w:sz w:val="18"/>
                <w:szCs w:val="18"/>
                <w:color w:val="auto"/>
              </w:rPr>
              <w:t>Savings</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267,588</w:t>
            </w: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F0FFFF"/>
          </w:tcPr>
          <w:p>
            <w:pPr>
              <w:spacing w:after="0"/>
              <w:rPr>
                <w:sz w:val="18"/>
                <w:szCs w:val="18"/>
                <w:color w:val="auto"/>
              </w:rPr>
            </w:pPr>
          </w:p>
        </w:tc>
        <w:tc>
          <w:tcPr>
            <w:tcW w:w="136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239,691</w:t>
            </w: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72</w:t>
            </w:r>
          </w:p>
        </w:tc>
        <w:tc>
          <w:tcPr>
            <w:tcW w:w="22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Time less than $100,000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847,707</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1,946</w:t>
            </w:r>
          </w:p>
        </w:tc>
        <w:tc>
          <w:tcPr>
            <w:tcW w:w="2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1,020,000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3,317</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ind w:left="220"/>
              <w:spacing w:after="0"/>
              <w:rPr>
                <w:sz w:val="20"/>
                <w:szCs w:val="20"/>
                <w:color w:val="auto"/>
              </w:rPr>
            </w:pPr>
            <w:r>
              <w:rPr>
                <w:rFonts w:ascii="Arial" w:cs="Arial" w:eastAsia="Arial" w:hAnsi="Arial"/>
                <w:sz w:val="18"/>
                <w:szCs w:val="18"/>
                <w:color w:val="auto"/>
              </w:rPr>
              <w:t>Time greater than $100,000</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570,799</w:t>
            </w: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1,783</w:t>
            </w:r>
          </w:p>
        </w:tc>
        <w:tc>
          <w:tcPr>
            <w:tcW w:w="220" w:type="dxa"/>
            <w:vAlign w:val="bottom"/>
            <w:shd w:val="clear" w:color="auto" w:fill="F0FFFF"/>
          </w:tcPr>
          <w:p>
            <w:pPr>
              <w:spacing w:after="0"/>
              <w:rPr>
                <w:sz w:val="18"/>
                <w:szCs w:val="18"/>
                <w:color w:val="auto"/>
              </w:rPr>
            </w:pPr>
          </w:p>
        </w:tc>
        <w:tc>
          <w:tcPr>
            <w:tcW w:w="136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.63</w:t>
            </w:r>
          </w:p>
        </w:tc>
        <w:tc>
          <w:tcPr>
            <w:tcW w:w="1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684,320</w:t>
            </w:r>
          </w:p>
        </w:tc>
        <w:tc>
          <w:tcPr>
            <w:tcW w:w="18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2,857</w:t>
            </w:r>
          </w:p>
        </w:tc>
        <w:tc>
          <w:tcPr>
            <w:tcW w:w="12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Brokered time deposits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311,579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185,210</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shd w:val="clear" w:color="auto" w:fill="F0FFFF"/>
          </w:tcPr>
          <w:p>
            <w:pPr>
              <w:ind w:left="300"/>
              <w:spacing w:after="0"/>
              <w:rPr>
                <w:sz w:val="20"/>
                <w:szCs w:val="20"/>
                <w:color w:val="auto"/>
              </w:rPr>
            </w:pPr>
            <w:r>
              <w:rPr>
                <w:rFonts w:ascii="Arial" w:cs="Arial" w:eastAsia="Arial" w:hAnsi="Arial"/>
                <w:sz w:val="18"/>
                <w:szCs w:val="18"/>
                <w:color w:val="auto"/>
              </w:rPr>
              <w:t>Total interest-bearing deposits</w:t>
            </w:r>
          </w:p>
        </w:tc>
        <w:tc>
          <w:tcPr>
            <w:tcW w:w="8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4,752,612</w:t>
            </w:r>
          </w:p>
        </w:tc>
        <w:tc>
          <w:tcPr>
            <w:tcW w:w="20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6,001</w:t>
            </w:r>
          </w:p>
        </w:tc>
        <w:tc>
          <w:tcPr>
            <w:tcW w:w="220" w:type="dxa"/>
            <w:vAlign w:val="bottom"/>
            <w:shd w:val="clear" w:color="auto" w:fill="F0FFFF"/>
          </w:tcPr>
          <w:p>
            <w:pPr>
              <w:spacing w:after="0"/>
              <w:rPr>
                <w:sz w:val="19"/>
                <w:szCs w:val="19"/>
                <w:color w:val="auto"/>
              </w:rPr>
            </w:pPr>
          </w:p>
        </w:tc>
        <w:tc>
          <w:tcPr>
            <w:tcW w:w="136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F0FFFF"/>
          </w:tcPr>
          <w:p>
            <w:pPr>
              <w:spacing w:after="0"/>
              <w:rPr>
                <w:sz w:val="19"/>
                <w:szCs w:val="19"/>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4,685,466</w:t>
            </w:r>
          </w:p>
        </w:tc>
        <w:tc>
          <w:tcPr>
            <w:tcW w:w="22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8,282</w:t>
            </w:r>
          </w:p>
        </w:tc>
        <w:tc>
          <w:tcPr>
            <w:tcW w:w="12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120" w:type="dxa"/>
            <w:vAlign w:val="bottom"/>
            <w:tcBorders>
              <w:top w:val="single" w:sz="8" w:color="F0FFFF"/>
            </w:tcBorders>
          </w:tcPr>
          <w:p>
            <w:pPr>
              <w:spacing w:after="0"/>
              <w:rPr>
                <w:sz w:val="18"/>
                <w:szCs w:val="18"/>
                <w:color w:val="auto"/>
              </w:rPr>
            </w:pPr>
          </w:p>
        </w:tc>
        <w:tc>
          <w:tcPr>
            <w:tcW w:w="16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F0FFFF"/>
          </w:tcPr>
          <w:p>
            <w:pPr>
              <w:ind w:left="220"/>
              <w:spacing w:after="0" w:line="201" w:lineRule="exact"/>
              <w:rPr>
                <w:sz w:val="20"/>
                <w:szCs w:val="20"/>
                <w:color w:val="auto"/>
              </w:rPr>
            </w:pPr>
            <w:r>
              <w:rPr>
                <w:rFonts w:ascii="Arial" w:cs="Arial" w:eastAsia="Arial" w:hAnsi="Arial"/>
                <w:sz w:val="18"/>
                <w:szCs w:val="18"/>
                <w:color w:val="auto"/>
              </w:rPr>
              <w:t>Federal funds purchased and other</w:t>
            </w:r>
          </w:p>
        </w:tc>
        <w:tc>
          <w:tcPr>
            <w:tcW w:w="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260" w:type="dxa"/>
            <w:vAlign w:val="bottom"/>
            <w:tcBorders>
              <w:right w:val="single" w:sz="8" w:color="F0FFFF"/>
            </w:tcBorders>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1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F0FFFF"/>
          </w:tcPr>
          <w:p>
            <w:pPr>
              <w:ind w:left="320"/>
              <w:spacing w:after="0"/>
              <w:rPr>
                <w:sz w:val="20"/>
                <w:szCs w:val="20"/>
                <w:color w:val="auto"/>
              </w:rPr>
            </w:pPr>
            <w:r>
              <w:rPr>
                <w:rFonts w:ascii="Arial" w:cs="Arial" w:eastAsia="Arial" w:hAnsi="Arial"/>
                <w:sz w:val="18"/>
                <w:szCs w:val="18"/>
                <w:color w:val="auto"/>
              </w:rPr>
              <w:t>borrowings</w:t>
            </w:r>
          </w:p>
        </w:tc>
        <w:tc>
          <w:tcPr>
            <w:tcW w:w="8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110,436</w:t>
            </w:r>
          </w:p>
        </w:tc>
        <w:tc>
          <w:tcPr>
            <w:tcW w:w="180" w:type="dxa"/>
            <w:vAlign w:val="bottom"/>
            <w:shd w:val="clear" w:color="auto" w:fill="F0FFFF"/>
          </w:tcPr>
          <w:p>
            <w:pPr>
              <w:spacing w:after="0"/>
              <w:rPr>
                <w:sz w:val="20"/>
                <w:szCs w:val="20"/>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1,748</w:t>
            </w:r>
          </w:p>
        </w:tc>
        <w:tc>
          <w:tcPr>
            <w:tcW w:w="220" w:type="dxa"/>
            <w:vAlign w:val="bottom"/>
            <w:shd w:val="clear" w:color="auto" w:fill="F0FFFF"/>
          </w:tcPr>
          <w:p>
            <w:pPr>
              <w:spacing w:after="0"/>
              <w:rPr>
                <w:sz w:val="20"/>
                <w:szCs w:val="20"/>
                <w:color w:val="auto"/>
              </w:rPr>
            </w:pPr>
          </w:p>
        </w:tc>
        <w:tc>
          <w:tcPr>
            <w:tcW w:w="136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3.19</w:t>
            </w:r>
          </w:p>
        </w:tc>
        <w:tc>
          <w:tcPr>
            <w:tcW w:w="180" w:type="dxa"/>
            <w:vAlign w:val="bottom"/>
            <w:shd w:val="clear" w:color="auto" w:fill="F0FFFF"/>
          </w:tcPr>
          <w:p>
            <w:pPr>
              <w:spacing w:after="0"/>
              <w:rPr>
                <w:sz w:val="20"/>
                <w:szCs w:val="20"/>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72,148</w:t>
            </w:r>
          </w:p>
        </w:tc>
        <w:tc>
          <w:tcPr>
            <w:tcW w:w="180" w:type="dxa"/>
            <w:vAlign w:val="bottom"/>
            <w:shd w:val="clear" w:color="auto" w:fill="F0FFFF"/>
          </w:tcPr>
          <w:p>
            <w:pPr>
              <w:spacing w:after="0"/>
              <w:rPr>
                <w:sz w:val="20"/>
                <w:szCs w:val="20"/>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1,038</w:t>
            </w:r>
          </w:p>
        </w:tc>
        <w:tc>
          <w:tcPr>
            <w:tcW w:w="12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20"/>
              <w:spacing w:after="0"/>
              <w:rPr>
                <w:sz w:val="20"/>
                <w:szCs w:val="20"/>
                <w:color w:val="auto"/>
              </w:rPr>
            </w:pPr>
            <w:r>
              <w:rPr>
                <w:rFonts w:ascii="Arial" w:cs="Arial" w:eastAsia="Arial" w:hAnsi="Arial"/>
                <w:sz w:val="18"/>
                <w:szCs w:val="18"/>
                <w:color w:val="auto"/>
              </w:rPr>
              <w:t>Federal Home Loan Bank advances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140,014</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138</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46,064</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ind w:left="220"/>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129,865</w:t>
            </w:r>
          </w:p>
        </w:tc>
        <w:tc>
          <w:tcPr>
            <w:tcW w:w="2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5,272</w:t>
            </w:r>
          </w:p>
        </w:tc>
        <w:tc>
          <w:tcPr>
            <w:tcW w:w="220" w:type="dxa"/>
            <w:vAlign w:val="bottom"/>
            <w:shd w:val="clear" w:color="auto" w:fill="F0FFFF"/>
          </w:tcPr>
          <w:p>
            <w:pPr>
              <w:spacing w:after="0"/>
              <w:rPr>
                <w:sz w:val="18"/>
                <w:szCs w:val="18"/>
                <w:color w:val="auto"/>
              </w:rPr>
            </w:pPr>
          </w:p>
        </w:tc>
        <w:tc>
          <w:tcPr>
            <w:tcW w:w="136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8.19</w:t>
            </w:r>
          </w:p>
        </w:tc>
        <w:tc>
          <w:tcPr>
            <w:tcW w:w="18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124,827</w:t>
            </w:r>
          </w:p>
        </w:tc>
        <w:tc>
          <w:tcPr>
            <w:tcW w:w="18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5,328</w:t>
            </w:r>
          </w:p>
        </w:tc>
        <w:tc>
          <w:tcPr>
            <w:tcW w:w="12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100" w:type="dxa"/>
            <w:vAlign w:val="bottom"/>
            <w:shd w:val="clear" w:color="auto" w:fill="F0FFFF"/>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120" w:type="dxa"/>
            <w:vAlign w:val="bottom"/>
            <w:shd w:val="clear" w:color="auto" w:fill="F0FFFF"/>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Total borrowed funds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380,315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7,158</w:t>
            </w:r>
          </w:p>
        </w:tc>
        <w:tc>
          <w:tcPr>
            <w:tcW w:w="220" w:type="dxa"/>
            <w:vAlign w:val="bottom"/>
          </w:tcPr>
          <w:p>
            <w:pPr>
              <w:spacing w:after="0"/>
              <w:rPr>
                <w:sz w:val="19"/>
                <w:szCs w:val="19"/>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3.80</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243,039</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6,415</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320"/>
              <w:spacing w:after="0"/>
              <w:rPr>
                <w:sz w:val="20"/>
                <w:szCs w:val="20"/>
                <w:color w:val="auto"/>
              </w:rPr>
            </w:pPr>
            <w:r>
              <w:rPr>
                <w:rFonts w:ascii="Arial" w:cs="Arial" w:eastAsia="Arial" w:hAnsi="Arial"/>
                <w:sz w:val="18"/>
                <w:szCs w:val="18"/>
                <w:b w:val="1"/>
                <w:bCs w:val="1"/>
                <w:color w:val="auto"/>
              </w:rPr>
              <w:t>Total interest-bearing liabilities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5,132,927</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13,159</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4,928,505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14,697</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color w:val="auto"/>
              </w:rPr>
              <w:t>Non-interest-bearing liabilities:</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Arial" w:cs="Arial" w:eastAsia="Arial" w:hAnsi="Arial"/>
                <w:sz w:val="18"/>
                <w:szCs w:val="18"/>
                <w:color w:val="auto"/>
              </w:rPr>
              <w:t>Non-interest-bearing deposits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1,439,447</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1,278,875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shd w:val="clear" w:color="auto" w:fill="F0FFFF"/>
          </w:tcPr>
          <w:p>
            <w:pPr>
              <w:ind w:left="80"/>
              <w:spacing w:after="0"/>
              <w:rPr>
                <w:sz w:val="20"/>
                <w:szCs w:val="20"/>
                <w:color w:val="auto"/>
              </w:rPr>
            </w:pPr>
            <w:r>
              <w:rPr>
                <w:rFonts w:ascii="Arial" w:cs="Arial" w:eastAsia="Arial" w:hAnsi="Arial"/>
                <w:sz w:val="18"/>
                <w:szCs w:val="18"/>
                <w:color w:val="auto"/>
              </w:rPr>
              <w:t>Other liabilities</w:t>
            </w:r>
          </w:p>
        </w:tc>
        <w:tc>
          <w:tcPr>
            <w:tcW w:w="8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120,943</w:t>
            </w:r>
          </w:p>
        </w:tc>
        <w:tc>
          <w:tcPr>
            <w:tcW w:w="20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94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100" w:type="dxa"/>
            <w:vAlign w:val="bottom"/>
            <w:shd w:val="clear" w:color="auto" w:fill="F0FFFF"/>
          </w:tcPr>
          <w:p>
            <w:pPr>
              <w:spacing w:after="0"/>
              <w:rPr>
                <w:sz w:val="19"/>
                <w:szCs w:val="19"/>
                <w:color w:val="auto"/>
              </w:rPr>
            </w:pPr>
          </w:p>
        </w:tc>
        <w:tc>
          <w:tcPr>
            <w:tcW w:w="260" w:type="dxa"/>
            <w:vAlign w:val="bottom"/>
            <w:tcBorders>
              <w:right w:val="single" w:sz="8" w:color="F0FFFF"/>
            </w:tcBorders>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55,639</w:t>
            </w:r>
          </w:p>
        </w:tc>
        <w:tc>
          <w:tcPr>
            <w:tcW w:w="180" w:type="dxa"/>
            <w:vAlign w:val="bottom"/>
            <w:shd w:val="clear" w:color="auto" w:fill="F0FFFF"/>
          </w:tcPr>
          <w:p>
            <w:pPr>
              <w:spacing w:after="0"/>
              <w:rPr>
                <w:sz w:val="19"/>
                <w:szCs w:val="19"/>
                <w:color w:val="auto"/>
              </w:rPr>
            </w:pPr>
          </w:p>
        </w:tc>
        <w:tc>
          <w:tcPr>
            <w:tcW w:w="94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120" w:type="dxa"/>
            <w:vAlign w:val="bottom"/>
            <w:shd w:val="clear" w:color="auto" w:fill="F0FFFF"/>
          </w:tcPr>
          <w:p>
            <w:pPr>
              <w:spacing w:after="0"/>
              <w:rPr>
                <w:sz w:val="19"/>
                <w:szCs w:val="19"/>
                <w:color w:val="auto"/>
              </w:rPr>
            </w:pPr>
          </w:p>
        </w:tc>
        <w:tc>
          <w:tcPr>
            <w:tcW w:w="160" w:type="dxa"/>
            <w:vAlign w:val="bottom"/>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top w:val="single" w:sz="8" w:color="F0FFFF"/>
            </w:tcBorders>
          </w:tcPr>
          <w:p>
            <w:pPr>
              <w:ind w:left="200"/>
              <w:spacing w:after="0"/>
              <w:rPr>
                <w:sz w:val="20"/>
                <w:szCs w:val="20"/>
                <w:color w:val="auto"/>
              </w:rPr>
            </w:pPr>
            <w:r>
              <w:rPr>
                <w:rFonts w:ascii="Arial" w:cs="Arial" w:eastAsia="Arial" w:hAnsi="Arial"/>
                <w:sz w:val="18"/>
                <w:szCs w:val="18"/>
                <w:color w:val="auto"/>
              </w:rPr>
              <w:t>Total liabilities</w:t>
            </w:r>
          </w:p>
        </w:tc>
        <w:tc>
          <w:tcPr>
            <w:tcW w:w="80" w:type="dxa"/>
            <w:vAlign w:val="bottom"/>
            <w:tcBorders>
              <w:top w:val="single" w:sz="8" w:color="F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6,693,317</w:t>
            </w:r>
          </w:p>
        </w:tc>
        <w:tc>
          <w:tcPr>
            <w:tcW w:w="20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94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6,263,019</w:t>
            </w:r>
          </w:p>
        </w:tc>
        <w:tc>
          <w:tcPr>
            <w:tcW w:w="22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94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120" w:type="dxa"/>
            <w:vAlign w:val="bottom"/>
            <w:tcBorders>
              <w:top w:val="single" w:sz="8" w:color="F0FFFF"/>
            </w:tcBorders>
          </w:tcPr>
          <w:p>
            <w:pPr>
              <w:spacing w:after="0"/>
              <w:rPr>
                <w:sz w:val="18"/>
                <w:szCs w:val="18"/>
                <w:color w:val="auto"/>
              </w:rPr>
            </w:pPr>
          </w:p>
        </w:tc>
        <w:tc>
          <w:tcPr>
            <w:tcW w:w="16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color w:val="auto"/>
              </w:rPr>
              <w:t>Shareholders’ equity</w:t>
            </w:r>
          </w:p>
        </w:tc>
        <w:tc>
          <w:tcPr>
            <w:tcW w:w="8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707,920</w:t>
            </w:r>
          </w:p>
        </w:tc>
        <w:tc>
          <w:tcPr>
            <w:tcW w:w="20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94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100" w:type="dxa"/>
            <w:vAlign w:val="bottom"/>
            <w:shd w:val="clear" w:color="auto" w:fill="F0FFFF"/>
          </w:tcPr>
          <w:p>
            <w:pPr>
              <w:spacing w:after="0"/>
              <w:rPr>
                <w:sz w:val="19"/>
                <w:szCs w:val="19"/>
                <w:color w:val="auto"/>
              </w:rPr>
            </w:pPr>
          </w:p>
        </w:tc>
        <w:tc>
          <w:tcPr>
            <w:tcW w:w="260" w:type="dxa"/>
            <w:vAlign w:val="bottom"/>
            <w:tcBorders>
              <w:right w:val="single" w:sz="8" w:color="F0FFFF"/>
            </w:tcBorders>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611,694</w:t>
            </w:r>
          </w:p>
        </w:tc>
        <w:tc>
          <w:tcPr>
            <w:tcW w:w="180" w:type="dxa"/>
            <w:vAlign w:val="bottom"/>
            <w:shd w:val="clear" w:color="auto" w:fill="F0FFFF"/>
          </w:tcPr>
          <w:p>
            <w:pPr>
              <w:spacing w:after="0"/>
              <w:rPr>
                <w:sz w:val="19"/>
                <w:szCs w:val="19"/>
                <w:color w:val="auto"/>
              </w:rPr>
            </w:pPr>
          </w:p>
        </w:tc>
        <w:tc>
          <w:tcPr>
            <w:tcW w:w="94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120" w:type="dxa"/>
            <w:vAlign w:val="bottom"/>
            <w:shd w:val="clear" w:color="auto" w:fill="F0FFFF"/>
          </w:tcPr>
          <w:p>
            <w:pPr>
              <w:spacing w:after="0"/>
              <w:rPr>
                <w:sz w:val="19"/>
                <w:szCs w:val="19"/>
                <w:color w:val="auto"/>
              </w:rPr>
            </w:pPr>
          </w:p>
        </w:tc>
        <w:tc>
          <w:tcPr>
            <w:tcW w:w="160" w:type="dxa"/>
            <w:vAlign w:val="bottom"/>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top w:val="single" w:sz="8" w:color="F0FFFF"/>
            </w:tcBorders>
          </w:tcPr>
          <w:p>
            <w:pPr>
              <w:ind w:left="200"/>
              <w:spacing w:after="0"/>
              <w:rPr>
                <w:sz w:val="20"/>
                <w:szCs w:val="20"/>
                <w:color w:val="auto"/>
              </w:rPr>
            </w:pPr>
            <w:r>
              <w:rPr>
                <w:rFonts w:ascii="Arial" w:cs="Arial" w:eastAsia="Arial" w:hAnsi="Arial"/>
                <w:sz w:val="18"/>
                <w:szCs w:val="18"/>
                <w:b w:val="1"/>
                <w:bCs w:val="1"/>
                <w:color w:val="auto"/>
                <w:w w:val="90"/>
              </w:rPr>
              <w:t>Total liabilities and shareholders’ equity</w:t>
            </w:r>
          </w:p>
        </w:tc>
        <w:tc>
          <w:tcPr>
            <w:tcW w:w="80" w:type="dxa"/>
            <w:vAlign w:val="bottom"/>
            <w:tcBorders>
              <w:top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7,401,237</w:t>
            </w:r>
          </w:p>
        </w:tc>
        <w:tc>
          <w:tcPr>
            <w:tcW w:w="20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94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100" w:type="dxa"/>
            <w:vAlign w:val="bottom"/>
            <w:tcBorders>
              <w:top w:val="single" w:sz="8" w:color="F0FFFF"/>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6,874,713</w:t>
            </w:r>
          </w:p>
        </w:tc>
        <w:tc>
          <w:tcPr>
            <w:tcW w:w="22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94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120" w:type="dxa"/>
            <w:vAlign w:val="bottom"/>
            <w:tcBorders>
              <w:top w:val="single" w:sz="8" w:color="F0FFFF"/>
            </w:tcBorders>
          </w:tcPr>
          <w:p>
            <w:pPr>
              <w:spacing w:after="0"/>
              <w:rPr>
                <w:sz w:val="18"/>
                <w:szCs w:val="18"/>
                <w:color w:val="auto"/>
              </w:rPr>
            </w:pPr>
          </w:p>
        </w:tc>
        <w:tc>
          <w:tcPr>
            <w:tcW w:w="16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0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Net interest revenue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109,119</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109,505</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color w:val="auto"/>
              </w:rPr>
              <w:t>Net interest-rate spread</w:t>
            </w:r>
          </w:p>
        </w:tc>
        <w:tc>
          <w:tcPr>
            <w:tcW w:w="8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940" w:type="dxa"/>
            <w:vAlign w:val="bottom"/>
            <w:shd w:val="clear" w:color="auto" w:fill="F0FFFF"/>
          </w:tcPr>
          <w:p>
            <w:pPr>
              <w:spacing w:after="0"/>
              <w:rPr>
                <w:sz w:val="21"/>
                <w:szCs w:val="21"/>
                <w:color w:val="auto"/>
              </w:rPr>
            </w:pPr>
          </w:p>
        </w:tc>
        <w:tc>
          <w:tcPr>
            <w:tcW w:w="20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94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360" w:type="dxa"/>
            <w:vAlign w:val="bottom"/>
            <w:tcBorders>
              <w:righ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3.08%</w:t>
            </w:r>
          </w:p>
        </w:tc>
        <w:tc>
          <w:tcPr>
            <w:tcW w:w="180" w:type="dxa"/>
            <w:vAlign w:val="bottom"/>
            <w:shd w:val="clear" w:color="auto" w:fill="F0FFFF"/>
          </w:tcPr>
          <w:p>
            <w:pPr>
              <w:spacing w:after="0"/>
              <w:rPr>
                <w:sz w:val="21"/>
                <w:szCs w:val="21"/>
                <w:color w:val="auto"/>
              </w:rPr>
            </w:pPr>
          </w:p>
        </w:tc>
        <w:tc>
          <w:tcPr>
            <w:tcW w:w="96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80" w:type="dxa"/>
            <w:vAlign w:val="bottom"/>
            <w:shd w:val="clear" w:color="auto" w:fill="F0FFFF"/>
          </w:tcPr>
          <w:p>
            <w:pPr>
              <w:spacing w:after="0"/>
              <w:rPr>
                <w:sz w:val="21"/>
                <w:szCs w:val="21"/>
                <w:color w:val="auto"/>
              </w:rPr>
            </w:pPr>
          </w:p>
        </w:tc>
        <w:tc>
          <w:tcPr>
            <w:tcW w:w="940" w:type="dxa"/>
            <w:vAlign w:val="bottom"/>
            <w:shd w:val="clear" w:color="auto" w:fill="F0FFFF"/>
          </w:tcPr>
          <w:p>
            <w:pPr>
              <w:spacing w:after="0"/>
              <w:rPr>
                <w:sz w:val="21"/>
                <w:szCs w:val="21"/>
                <w:color w:val="auto"/>
              </w:rPr>
            </w:pPr>
          </w:p>
        </w:tc>
        <w:tc>
          <w:tcPr>
            <w:tcW w:w="220" w:type="dxa"/>
            <w:vAlign w:val="bottom"/>
            <w:shd w:val="clear" w:color="auto" w:fill="F0FFFF"/>
          </w:tcPr>
          <w:p>
            <w:pPr>
              <w:spacing w:after="0"/>
              <w:rPr>
                <w:sz w:val="21"/>
                <w:szCs w:val="21"/>
                <w:color w:val="auto"/>
              </w:rPr>
            </w:pPr>
          </w:p>
        </w:tc>
        <w:tc>
          <w:tcPr>
            <w:tcW w:w="12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940" w:type="dxa"/>
            <w:vAlign w:val="bottom"/>
            <w:tcBorders>
              <w:top w:val="single" w:sz="8" w:color="F0FFFF"/>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94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96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940" w:type="dxa"/>
            <w:vAlign w:val="bottom"/>
            <w:tcBorders>
              <w:top w:val="single" w:sz="8" w:color="F0FFFF"/>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320" w:type="dxa"/>
            <w:vAlign w:val="bottom"/>
            <w:shd w:val="clear" w:color="auto" w:fill="F0FFFF"/>
          </w:tcPr>
          <w:p>
            <w:pPr>
              <w:spacing w:after="0" w:line="216" w:lineRule="exact"/>
              <w:rPr>
                <w:sz w:val="20"/>
                <w:szCs w:val="20"/>
                <w:color w:val="auto"/>
              </w:rPr>
            </w:pPr>
            <w:r>
              <w:rPr>
                <w:rFonts w:ascii="Arial" w:cs="Arial" w:eastAsia="Arial" w:hAnsi="Arial"/>
                <w:sz w:val="18"/>
                <w:szCs w:val="18"/>
                <w:b w:val="1"/>
                <w:bCs w:val="1"/>
                <w:color w:val="auto"/>
              </w:rPr>
              <w:t xml:space="preserve">Net interest margin </w:t>
            </w:r>
            <w:r>
              <w:rPr>
                <w:rFonts w:ascii="Arial" w:cs="Arial" w:eastAsia="Arial" w:hAnsi="Arial"/>
                <w:sz w:val="25"/>
                <w:szCs w:val="25"/>
                <w:color w:val="auto"/>
                <w:vertAlign w:val="superscript"/>
              </w:rPr>
              <w:t>(4)</w:t>
            </w:r>
          </w:p>
        </w:tc>
        <w:tc>
          <w:tcPr>
            <w:tcW w:w="8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94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94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360" w:type="dxa"/>
            <w:vAlign w:val="bottom"/>
            <w:tcBorders>
              <w:righ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3.21%</w:t>
            </w:r>
          </w:p>
        </w:tc>
        <w:tc>
          <w:tcPr>
            <w:tcW w:w="180" w:type="dxa"/>
            <w:vAlign w:val="bottom"/>
            <w:shd w:val="clear" w:color="auto" w:fill="F0FFFF"/>
          </w:tcPr>
          <w:p>
            <w:pPr>
              <w:spacing w:after="0"/>
              <w:rPr>
                <w:sz w:val="20"/>
                <w:szCs w:val="20"/>
                <w:color w:val="auto"/>
              </w:rPr>
            </w:pPr>
          </w:p>
        </w:tc>
        <w:tc>
          <w:tcPr>
            <w:tcW w:w="96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94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28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94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94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96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94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60" w:right="160" w:hanging="352"/>
        <w:spacing w:after="0" w:line="216" w:lineRule="auto"/>
        <w:tabs>
          <w:tab w:leader="none" w:pos="3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Interest revenue on tax-exempt securities and loans has been increased to reflect comparable interest on taxable securities and loans. The rate used was 39%, reflecting the statutory federal income tax rate and the federal tax adjusted state income tax rate.</w:t>
      </w:r>
    </w:p>
    <w:p>
      <w:pPr>
        <w:spacing w:after="0" w:line="1" w:lineRule="exact"/>
        <w:rPr>
          <w:rFonts w:ascii="Arial" w:cs="Arial" w:eastAsia="Arial" w:hAnsi="Arial"/>
          <w:sz w:val="25"/>
          <w:szCs w:val="25"/>
          <w:color w:val="auto"/>
          <w:vertAlign w:val="superscript"/>
        </w:rPr>
      </w:pPr>
    </w:p>
    <w:p>
      <w:pPr>
        <w:ind w:left="360" w:hanging="352"/>
        <w:spacing w:after="0" w:line="205" w:lineRule="auto"/>
        <w:tabs>
          <w:tab w:leader="none" w:pos="36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Included in the average balance of loans outstanding are loans where the accrual of interest has been discontinued and loans that are held for sale.</w:t>
      </w:r>
    </w:p>
    <w:p>
      <w:pPr>
        <w:spacing w:after="0" w:line="1" w:lineRule="exact"/>
        <w:rPr>
          <w:rFonts w:ascii="Arial" w:cs="Arial" w:eastAsia="Arial" w:hAnsi="Arial"/>
          <w:sz w:val="22"/>
          <w:szCs w:val="22"/>
          <w:color w:val="auto"/>
          <w:vertAlign w:val="superscript"/>
        </w:rPr>
      </w:pPr>
    </w:p>
    <w:p>
      <w:pPr>
        <w:ind w:left="360" w:right="120" w:hanging="352"/>
        <w:spacing w:after="0" w:line="208" w:lineRule="auto"/>
        <w:tabs>
          <w:tab w:leader="none" w:pos="3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Securities available for sale are shown at amortized cost. Pretax unrealized losses of $1.37 million in 2014 and pretax unrealized gains of $17.4 million in 2013 are included in other assets for purposes of this presentation.</w:t>
      </w:r>
    </w:p>
    <w:p>
      <w:pPr>
        <w:spacing w:after="0" w:line="1" w:lineRule="exact"/>
        <w:rPr>
          <w:rFonts w:ascii="Arial" w:cs="Arial" w:eastAsia="Arial" w:hAnsi="Arial"/>
          <w:sz w:val="25"/>
          <w:szCs w:val="25"/>
          <w:color w:val="auto"/>
          <w:vertAlign w:val="superscript"/>
        </w:rPr>
      </w:pPr>
    </w:p>
    <w:p>
      <w:pPr>
        <w:ind w:left="360" w:hanging="352"/>
        <w:spacing w:after="0" w:line="180" w:lineRule="auto"/>
        <w:tabs>
          <w:tab w:leader="none" w:pos="3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Net interest margin is taxable equivalent net-interest revenue divided by average interest-earning assets.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072" w:gutter="0" w:footer="0" w:header="0"/>
        </w:sectPr>
      </w:pPr>
    </w:p>
    <w:bookmarkStart w:id="49" w:name="page50"/>
    <w:bookmarkEnd w:id="49"/>
    <w:p>
      <w:pPr>
        <w:jc w:val="both"/>
        <w:spacing w:after="0" w:line="264" w:lineRule="auto"/>
        <w:rPr>
          <w:sz w:val="20"/>
          <w:szCs w:val="20"/>
          <w:color w:val="auto"/>
        </w:rPr>
      </w:pPr>
      <w:r>
        <w:rPr>
          <w:rFonts w:ascii="Arial" w:cs="Arial" w:eastAsia="Arial" w:hAnsi="Arial"/>
          <w:sz w:val="18"/>
          <w:szCs w:val="18"/>
          <w:color w:val="auto"/>
        </w:rPr>
        <w:t>The following table shows the relative effect on net interest revenue for changes in the average outstanding amounts (volume) of interest-earning assets and interest-bearing liabilities and the rates earned and paid on such assets and liabilities (rate). Variances resulting from a combination of changes in rate and volume are allocated in proportion to the absolute dollar amounts of the change in each category.</w:t>
      </w:r>
    </w:p>
    <w:p>
      <w:pPr>
        <w:spacing w:after="0" w:line="177" w:lineRule="exact"/>
        <w:rPr>
          <w:sz w:val="20"/>
          <w:szCs w:val="20"/>
          <w:color w:val="auto"/>
        </w:rPr>
      </w:pPr>
    </w:p>
    <w:p>
      <w:pPr>
        <w:ind w:right="5200"/>
        <w:spacing w:after="0" w:line="282" w:lineRule="auto"/>
        <w:rPr>
          <w:sz w:val="20"/>
          <w:szCs w:val="20"/>
          <w:color w:val="auto"/>
        </w:rPr>
      </w:pPr>
      <w:r>
        <w:rPr>
          <w:rFonts w:ascii="Arial" w:cs="Arial" w:eastAsia="Arial" w:hAnsi="Arial"/>
          <w:sz w:val="18"/>
          <w:szCs w:val="18"/>
          <w:b w:val="1"/>
          <w:bCs w:val="1"/>
          <w:color w:val="auto"/>
        </w:rPr>
        <w:t xml:space="preserve">Table 4 - Change in Interest Revenue and Expense on a Taxable Equivalent Basis </w:t>
      </w:r>
      <w:r>
        <w:rPr>
          <w:rFonts w:ascii="Arial" w:cs="Arial" w:eastAsia="Arial" w:hAnsi="Arial"/>
          <w:sz w:val="18"/>
          <w:szCs w:val="18"/>
          <w:i w:val="1"/>
          <w:iCs w:val="1"/>
          <w:color w:val="auto"/>
        </w:rPr>
        <w:t>(in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80" w:type="dxa"/>
            <w:vAlign w:val="bottom"/>
            <w:gridSpan w:val="8"/>
          </w:tcPr>
          <w:p>
            <w:pPr>
              <w:jc w:val="center"/>
              <w:ind w:right="320"/>
              <w:spacing w:after="0"/>
              <w:rPr>
                <w:sz w:val="20"/>
                <w:szCs w:val="20"/>
                <w:color w:val="auto"/>
              </w:rPr>
            </w:pPr>
            <w:r>
              <w:rPr>
                <w:rFonts w:ascii="Arial" w:cs="Arial" w:eastAsia="Arial" w:hAnsi="Arial"/>
                <w:sz w:val="18"/>
                <w:szCs w:val="18"/>
                <w:b w:val="1"/>
                <w:bCs w:val="1"/>
                <w:color w:val="auto"/>
                <w:w w:val="90"/>
              </w:rPr>
              <w:t>Three Months Ended June 30, 2014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60" w:type="dxa"/>
            <w:vAlign w:val="bottom"/>
            <w:gridSpan w:val="8"/>
          </w:tcPr>
          <w:p>
            <w:pPr>
              <w:jc w:val="center"/>
              <w:ind w:right="300"/>
              <w:spacing w:after="0"/>
              <w:rPr>
                <w:sz w:val="20"/>
                <w:szCs w:val="20"/>
                <w:color w:val="auto"/>
              </w:rPr>
            </w:pPr>
            <w:r>
              <w:rPr>
                <w:rFonts w:ascii="Arial" w:cs="Arial" w:eastAsia="Arial" w:hAnsi="Arial"/>
                <w:sz w:val="18"/>
                <w:szCs w:val="18"/>
                <w:b w:val="1"/>
                <w:bCs w:val="1"/>
                <w:color w:val="auto"/>
                <w:w w:val="89"/>
              </w:rPr>
              <w:t>Six Months Ended June 30,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2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0"/>
              </w:rPr>
              <w:t>Compared to 2013</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6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0"/>
              </w:rPr>
              <w:t>Compared to 2013</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2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86"/>
              </w:rPr>
              <w:t>Increase (decrease)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6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6"/>
              </w:rPr>
              <w:t>Increase (decrease)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88"/>
              </w:rPr>
              <w:t>Due to Changes in</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Due to Changes in</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auto"/>
              </w:rPr>
              <w:t>Volume</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Rate</w:t>
            </w:r>
          </w:p>
        </w:tc>
        <w:tc>
          <w:tcPr>
            <w:tcW w:w="240" w:type="dxa"/>
            <w:vAlign w:val="bottom"/>
          </w:tcPr>
          <w:p>
            <w:pPr>
              <w:spacing w:after="0"/>
              <w:rPr>
                <w:sz w:val="19"/>
                <w:szCs w:val="19"/>
                <w:color w:val="auto"/>
              </w:rPr>
            </w:pPr>
          </w:p>
        </w:tc>
        <w:tc>
          <w:tcPr>
            <w:tcW w:w="900" w:type="dxa"/>
            <w:vAlign w:val="bottom"/>
          </w:tcPr>
          <w:p>
            <w:pPr>
              <w:ind w:left="14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rPr>
              <w:t>Volume</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Rate</w:t>
            </w:r>
          </w:p>
        </w:tc>
        <w:tc>
          <w:tcPr>
            <w:tcW w:w="220" w:type="dxa"/>
            <w:vAlign w:val="bottom"/>
          </w:tcPr>
          <w:p>
            <w:pPr>
              <w:spacing w:after="0"/>
              <w:rPr>
                <w:sz w:val="19"/>
                <w:szCs w:val="19"/>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Interest-earning assets:</w:t>
            </w:r>
          </w:p>
        </w:tc>
        <w:tc>
          <w:tcPr>
            <w:tcW w:w="18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240" w:type="dxa"/>
            <w:vAlign w:val="bottom"/>
            <w:tcBorders>
              <w:left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200" w:type="dxa"/>
            <w:vAlign w:val="bottom"/>
            <w:tcBorders>
              <w:left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220" w:type="dxa"/>
            <w:vAlign w:val="bottom"/>
            <w:tcBorders>
              <w:right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Loans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1,437</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(3,810)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(2,373)</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3,310</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(8,815)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color w:val="auto"/>
              </w:rPr>
              <w:t>Taxable securities</w:t>
            </w: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808</w:t>
            </w:r>
          </w:p>
        </w:tc>
        <w:tc>
          <w:tcPr>
            <w:tcW w:w="240" w:type="dxa"/>
            <w:vAlign w:val="bottom"/>
            <w:tcBorders>
              <w:lef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1,300</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2,108</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1,676</w:t>
            </w:r>
          </w:p>
        </w:tc>
        <w:tc>
          <w:tcPr>
            <w:tcW w:w="200" w:type="dxa"/>
            <w:vAlign w:val="bottom"/>
            <w:tcBorders>
              <w:lef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2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2,119</w:t>
            </w: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Tax-exempt securities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Federal funds sold and other interest-</w:t>
            </w:r>
          </w:p>
        </w:tc>
        <w:tc>
          <w:tcPr>
            <w:tcW w:w="18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240" w:type="dxa"/>
            <w:vAlign w:val="bottom"/>
            <w:tcBorders>
              <w:left w:val="single" w:sz="8" w:color="F0FFFF"/>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200" w:type="dxa"/>
            <w:vAlign w:val="bottom"/>
            <w:tcBorders>
              <w:left w:val="single" w:sz="8" w:color="F0FFFF"/>
            </w:tcBorders>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220" w:type="dxa"/>
            <w:vAlign w:val="bottom"/>
            <w:tcBorders>
              <w:right w:val="single" w:sz="8" w:color="F0FFFF"/>
            </w:tcBorders>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earning assets</w:t>
            </w:r>
          </w:p>
        </w:tc>
        <w:tc>
          <w:tcPr>
            <w:tcW w:w="180" w:type="dxa"/>
            <w:vAlign w:val="bottom"/>
            <w:shd w:val="clear" w:color="auto" w:fill="F0FFFF"/>
          </w:tcPr>
          <w:p>
            <w:pPr>
              <w:spacing w:after="0"/>
              <w:rPr>
                <w:sz w:val="20"/>
                <w:szCs w:val="20"/>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(212)</w:t>
            </w:r>
          </w:p>
        </w:tc>
        <w:tc>
          <w:tcPr>
            <w:tcW w:w="240" w:type="dxa"/>
            <w:vAlign w:val="bottom"/>
            <w:tcBorders>
              <w:left w:val="single" w:sz="8" w:color="F0FFFF"/>
            </w:tcBorders>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200</w:t>
            </w:r>
          </w:p>
        </w:tc>
        <w:tc>
          <w:tcPr>
            <w:tcW w:w="240" w:type="dxa"/>
            <w:vAlign w:val="bottom"/>
            <w:shd w:val="clear" w:color="auto" w:fill="F0FFFF"/>
          </w:tcPr>
          <w:p>
            <w:pPr>
              <w:spacing w:after="0"/>
              <w:rPr>
                <w:sz w:val="20"/>
                <w:szCs w:val="20"/>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(544)</w:t>
            </w:r>
          </w:p>
        </w:tc>
        <w:tc>
          <w:tcPr>
            <w:tcW w:w="200" w:type="dxa"/>
            <w:vAlign w:val="bottom"/>
            <w:tcBorders>
              <w:left w:val="single" w:sz="8" w:color="F0FFFF"/>
            </w:tcBorders>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112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397</w:t>
            </w:r>
          </w:p>
        </w:tc>
        <w:tc>
          <w:tcPr>
            <w:tcW w:w="220" w:type="dxa"/>
            <w:vAlign w:val="bottom"/>
            <w:shd w:val="clear" w:color="auto" w:fill="F0FFFF"/>
          </w:tcPr>
          <w:p>
            <w:pPr>
              <w:spacing w:after="0"/>
              <w:rPr>
                <w:sz w:val="20"/>
                <w:szCs w:val="20"/>
                <w:color w:val="auto"/>
              </w:rPr>
            </w:pPr>
          </w:p>
        </w:tc>
        <w:tc>
          <w:tcPr>
            <w:tcW w:w="10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Borders>
              <w:left w:val="single" w:sz="8" w:color="F0FFFF"/>
            </w:tcBorders>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Borders>
              <w:left w:val="single" w:sz="8" w:color="F0FFFF"/>
            </w:tcBorders>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b w:val="1"/>
                <w:bCs w:val="1"/>
                <w:color w:val="auto"/>
              </w:rPr>
              <w:t>Total interest-earning assets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2,001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(2,306)</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(305)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4,386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(6,310)</w:t>
            </w: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240" w:type="dxa"/>
            <w:vAlign w:val="bottom"/>
            <w:tcBorders>
              <w:left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200" w:type="dxa"/>
            <w:vAlign w:val="bottom"/>
            <w:tcBorders>
              <w:left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220" w:type="dxa"/>
            <w:vAlign w:val="bottom"/>
            <w:tcBorders>
              <w:right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Interest-bearing liabilities: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color w:val="auto"/>
              </w:rPr>
              <w:t>NOW accounts</w:t>
            </w: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36</w:t>
            </w:r>
          </w:p>
        </w:tc>
        <w:tc>
          <w:tcPr>
            <w:tcW w:w="240" w:type="dxa"/>
            <w:vAlign w:val="bottom"/>
            <w:tcBorders>
              <w:lef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(44)</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73</w:t>
            </w:r>
          </w:p>
        </w:tc>
        <w:tc>
          <w:tcPr>
            <w:tcW w:w="200" w:type="dxa"/>
            <w:vAlign w:val="bottom"/>
            <w:tcBorders>
              <w:lef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20" w:type="dxa"/>
            <w:vAlign w:val="bottom"/>
            <w:tcBorders>
              <w:right w:val="single" w:sz="8" w:color="F0FFFF"/>
            </w:tcBorders>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(95)</w:t>
            </w: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Money market accounts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146</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color w:val="auto"/>
              </w:rPr>
              <w:t>Savings deposits</w:t>
            </w: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lef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lef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20" w:type="dxa"/>
            <w:vAlign w:val="bottom"/>
            <w:tcBorders>
              <w:right w:val="single" w:sz="8" w:color="F0FFFF"/>
            </w:tcBorders>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(39)</w:t>
            </w: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Time deposits less than $100,000</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(380)</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(635)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(871)</w:t>
            </w: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color w:val="auto"/>
              </w:rPr>
              <w:t>Time deposits greater than $100,000</w:t>
            </w: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(204)</w:t>
            </w:r>
          </w:p>
        </w:tc>
        <w:tc>
          <w:tcPr>
            <w:tcW w:w="240" w:type="dxa"/>
            <w:vAlign w:val="bottom"/>
            <w:tcBorders>
              <w:lef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(311)</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(515)</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(427)</w:t>
            </w:r>
          </w:p>
        </w:tc>
        <w:tc>
          <w:tcPr>
            <w:tcW w:w="200" w:type="dxa"/>
            <w:vAlign w:val="bottom"/>
            <w:tcBorders>
              <w:lef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20" w:type="dxa"/>
            <w:vAlign w:val="bottom"/>
            <w:tcBorders>
              <w:right w:val="single" w:sz="8" w:color="F0FFFF"/>
            </w:tcBorders>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(647)</w:t>
            </w: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Brokered deposits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shd w:val="clear" w:color="auto" w:fill="F0FFFF"/>
          </w:tcPr>
          <w:p>
            <w:pPr>
              <w:ind w:left="80"/>
              <w:spacing w:after="0"/>
              <w:rPr>
                <w:sz w:val="20"/>
                <w:szCs w:val="20"/>
                <w:color w:val="auto"/>
              </w:rPr>
            </w:pPr>
            <w:r>
              <w:rPr>
                <w:rFonts w:ascii="Arial" w:cs="Arial" w:eastAsia="Arial" w:hAnsi="Arial"/>
                <w:sz w:val="18"/>
                <w:szCs w:val="18"/>
                <w:color w:val="auto"/>
              </w:rPr>
              <w:t>Total interest-bearing deposits</w:t>
            </w:r>
          </w:p>
        </w:tc>
        <w:tc>
          <w:tcPr>
            <w:tcW w:w="180" w:type="dxa"/>
            <w:vAlign w:val="bottom"/>
            <w:shd w:val="clear" w:color="auto" w:fill="F0FFFF"/>
          </w:tcPr>
          <w:p>
            <w:pPr>
              <w:spacing w:after="0"/>
              <w:rPr>
                <w:sz w:val="19"/>
                <w:szCs w:val="19"/>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(394)</w:t>
            </w:r>
          </w:p>
        </w:tc>
        <w:tc>
          <w:tcPr>
            <w:tcW w:w="240" w:type="dxa"/>
            <w:vAlign w:val="bottom"/>
            <w:tcBorders>
              <w:left w:val="single" w:sz="8" w:color="F0FFFF"/>
            </w:tcBorders>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(338)</w:t>
            </w:r>
          </w:p>
        </w:tc>
        <w:tc>
          <w:tcPr>
            <w:tcW w:w="240" w:type="dxa"/>
            <w:vAlign w:val="bottom"/>
            <w:shd w:val="clear" w:color="auto" w:fill="F0FFFF"/>
          </w:tcPr>
          <w:p>
            <w:pPr>
              <w:spacing w:after="0"/>
              <w:rPr>
                <w:sz w:val="19"/>
                <w:szCs w:val="19"/>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(732)</w:t>
            </w:r>
          </w:p>
        </w:tc>
        <w:tc>
          <w:tcPr>
            <w:tcW w:w="8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(735)</w:t>
            </w:r>
          </w:p>
        </w:tc>
        <w:tc>
          <w:tcPr>
            <w:tcW w:w="200" w:type="dxa"/>
            <w:vAlign w:val="bottom"/>
            <w:tcBorders>
              <w:left w:val="single" w:sz="8" w:color="F0FFFF"/>
            </w:tcBorders>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1120" w:type="dxa"/>
            <w:vAlign w:val="bottom"/>
            <w:tcBorders>
              <w:right w:val="single" w:sz="8" w:color="F0FFFF"/>
            </w:tcBorders>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(1,546)</w:t>
            </w:r>
          </w:p>
        </w:tc>
        <w:tc>
          <w:tcPr>
            <w:tcW w:w="220" w:type="dxa"/>
            <w:vAlign w:val="bottom"/>
            <w:shd w:val="clear" w:color="auto" w:fill="F0FFFF"/>
          </w:tcPr>
          <w:p>
            <w:pPr>
              <w:spacing w:after="0"/>
              <w:rPr>
                <w:sz w:val="19"/>
                <w:szCs w:val="19"/>
                <w:color w:val="auto"/>
              </w:rPr>
            </w:pPr>
          </w:p>
        </w:tc>
        <w:tc>
          <w:tcPr>
            <w:tcW w:w="10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(2,281)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Borders>
              <w:top w:val="single" w:sz="8" w:color="F0FFFF"/>
            </w:tcBorders>
          </w:tcPr>
          <w:p>
            <w:pPr>
              <w:spacing w:after="0" w:line="201" w:lineRule="exact"/>
              <w:rPr>
                <w:sz w:val="20"/>
                <w:szCs w:val="20"/>
                <w:color w:val="auto"/>
              </w:rPr>
            </w:pPr>
            <w:r>
              <w:rPr>
                <w:rFonts w:ascii="Arial" w:cs="Arial" w:eastAsia="Arial" w:hAnsi="Arial"/>
                <w:sz w:val="18"/>
                <w:szCs w:val="18"/>
                <w:color w:val="auto"/>
              </w:rPr>
              <w:t>Federal funds purchased &amp; other</w:t>
            </w: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Borders>
              <w:top w:val="single" w:sz="8" w:color="F0FF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F0FF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F0FF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F0FF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borrowings</w:t>
            </w: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93</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386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color w:val="auto"/>
              </w:rPr>
              <w:t>Federal Home Loan Bank advances</w:t>
            </w: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50</w:t>
            </w:r>
          </w:p>
        </w:tc>
        <w:tc>
          <w:tcPr>
            <w:tcW w:w="240" w:type="dxa"/>
            <w:vAlign w:val="bottom"/>
            <w:tcBorders>
              <w:lef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50</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93</w:t>
            </w:r>
          </w:p>
        </w:tc>
        <w:tc>
          <w:tcPr>
            <w:tcW w:w="200" w:type="dxa"/>
            <w:vAlign w:val="bottom"/>
            <w:tcBorders>
              <w:lef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20" w:type="dxa"/>
            <w:vAlign w:val="bottom"/>
            <w:tcBorders>
              <w:right w:val="single" w:sz="8" w:color="F0FFFF"/>
            </w:tcBorders>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(4)</w:t>
            </w: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(133)</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(266)</w:t>
            </w: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ind w:left="80"/>
              <w:spacing w:after="0"/>
              <w:rPr>
                <w:sz w:val="20"/>
                <w:szCs w:val="20"/>
                <w:color w:val="auto"/>
              </w:rPr>
            </w:pPr>
            <w:r>
              <w:rPr>
                <w:rFonts w:ascii="Arial" w:cs="Arial" w:eastAsia="Arial" w:hAnsi="Arial"/>
                <w:sz w:val="18"/>
                <w:szCs w:val="18"/>
                <w:color w:val="auto"/>
              </w:rPr>
              <w:t>Total borrowed funds</w:t>
            </w: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448</w:t>
            </w:r>
          </w:p>
        </w:tc>
        <w:tc>
          <w:tcPr>
            <w:tcW w:w="240" w:type="dxa"/>
            <w:vAlign w:val="bottom"/>
            <w:tcBorders>
              <w:lef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(40)</w:t>
            </w:r>
          </w:p>
        </w:tc>
        <w:tc>
          <w:tcPr>
            <w:tcW w:w="24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408</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900</w:t>
            </w:r>
          </w:p>
        </w:tc>
        <w:tc>
          <w:tcPr>
            <w:tcW w:w="200" w:type="dxa"/>
            <w:vAlign w:val="bottom"/>
            <w:tcBorders>
              <w:lef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20" w:type="dxa"/>
            <w:vAlign w:val="bottom"/>
            <w:tcBorders>
              <w:right w:val="single" w:sz="8" w:color="F0FFFF"/>
            </w:tcBorders>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(157)</w:t>
            </w: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Borders>
              <w:left w:val="single" w:sz="8" w:color="F0FFFF"/>
            </w:tcBorders>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Borders>
              <w:left w:val="single" w:sz="8" w:color="F0FFFF"/>
            </w:tcBorders>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ind w:left="160"/>
              <w:spacing w:after="0"/>
              <w:rPr>
                <w:sz w:val="20"/>
                <w:szCs w:val="20"/>
                <w:color w:val="auto"/>
              </w:rPr>
            </w:pPr>
            <w:r>
              <w:rPr>
                <w:rFonts w:ascii="Arial" w:cs="Arial" w:eastAsia="Arial" w:hAnsi="Arial"/>
                <w:sz w:val="18"/>
                <w:szCs w:val="18"/>
                <w:b w:val="1"/>
                <w:bCs w:val="1"/>
                <w:color w:val="auto"/>
              </w:rPr>
              <w:t>Total interest-bearing liabilities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(378)</w:t>
            </w: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(1,703)</w:t>
            </w:r>
          </w:p>
        </w:tc>
        <w:tc>
          <w:tcPr>
            <w:tcW w:w="2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240" w:type="dxa"/>
            <w:vAlign w:val="bottom"/>
            <w:tcBorders>
              <w:left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80" w:type="dxa"/>
            <w:vAlign w:val="bottom"/>
            <w:tcBorders>
              <w:top w:val="single" w:sz="8" w:color="auto"/>
            </w:tcBorders>
            <w:shd w:val="clear" w:color="auto" w:fill="F0FFFF"/>
          </w:tcPr>
          <w:p>
            <w:pPr>
              <w:spacing w:after="0"/>
              <w:rPr>
                <w:sz w:val="18"/>
                <w:szCs w:val="18"/>
                <w:color w:val="auto"/>
              </w:rPr>
            </w:pPr>
          </w:p>
        </w:tc>
        <w:tc>
          <w:tcPr>
            <w:tcW w:w="960" w:type="dxa"/>
            <w:vAlign w:val="bottom"/>
            <w:tcBorders>
              <w:top w:val="single" w:sz="8" w:color="auto"/>
            </w:tcBorders>
            <w:shd w:val="clear" w:color="auto" w:fill="F0FFFF"/>
          </w:tcPr>
          <w:p>
            <w:pPr>
              <w:spacing w:after="0"/>
              <w:rPr>
                <w:sz w:val="18"/>
                <w:szCs w:val="18"/>
                <w:color w:val="auto"/>
              </w:rPr>
            </w:pPr>
          </w:p>
        </w:tc>
        <w:tc>
          <w:tcPr>
            <w:tcW w:w="200" w:type="dxa"/>
            <w:vAlign w:val="bottom"/>
            <w:tcBorders>
              <w:left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220" w:type="dxa"/>
            <w:vAlign w:val="bottom"/>
            <w:tcBorders>
              <w:right w:val="single" w:sz="8" w:color="F0FFFF"/>
            </w:tcBorders>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40"/>
              <w:spacing w:after="0"/>
              <w:rPr>
                <w:sz w:val="20"/>
                <w:szCs w:val="20"/>
                <w:color w:val="auto"/>
              </w:rPr>
            </w:pPr>
            <w:r>
              <w:rPr>
                <w:rFonts w:ascii="Arial" w:cs="Arial" w:eastAsia="Arial" w:hAnsi="Arial"/>
                <w:sz w:val="18"/>
                <w:szCs w:val="18"/>
                <w:b w:val="1"/>
                <w:bCs w:val="1"/>
                <w:color w:val="auto"/>
              </w:rPr>
              <w:t>Increase in net interest revenue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1,947</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(1,928)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4,221</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(4,607)</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Credit Losses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provision for credit losses is based on management’s evaluation of probable incurred losses in the loan portfolio and corresponding analysis of the allowance for credit losses at quarter-end. The provision for credit losses was $2.20 million and $4.70 million, respectively, for the second quarter and first six months of 2014, compared to $48.5 million and $59.5 million, respectively, for the same periods in 2013. The amount of provision recorded in each period was the amount required such that the total allowance for loan losses reflected the appropriate balance, in the estimation of management, and was sufficient to cover incurred losses in the loan portfolio. The second quarter and first six months of 2014 loan loss provisions were lower than those for the comparable periods 2013, due to the second quarter 2013 classified asset dispositions and overall improvement in the portfolio credit quality. For the three and six months ended June 30, 2014, net loan charge-offs as an annualized percentage of average outstanding loans were .38% and .38%, respectively, compared to 6.87% and 4.07%, respectively, for the same periods in 2013.</w:t>
      </w:r>
    </w:p>
    <w:p>
      <w:pPr>
        <w:spacing w:after="0" w:line="20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fourth quarter of 2013, United established an allowance for unfunded loan commitments which is included in other liabilities in the consolidated balance sheet. The allowance for unfunded commitments represents probable incurred losses on unfunded loan commitments that are expected to result in outstanding loan balances. The allowance for unfunded loan commitments was established through the provision for credit losses.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Over the past two years, United has experienced significant improvement in credit quality and corresponding credit measures. During the second quarter of 2013 United sold classified assets totaling approximately $172 million, including a bulk sale of $131 million. The classified asset sales and a general improving trend reduced United’s nonperforming assets to $23.7 million as of June 30, 2014. Additional discussion on credit quality and the allowance for loan losses is included in the “Asset Quality and Risk Elements” section of this report on page 49.</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Fee Revenue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Fee revenue for the three and six months ended June 30, 2014 was $14.1 million and $26.3 million, respectively, a decrease of $1.80 million, or 11%, compared to the second quarter of 2013, and a decrease of $2.54 million, or 9%, from the year-to-date period of 2013. The following table presents the components of fee revenue for the second quarters and first six months of 2014 and 2013.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420" w:type="dxa"/>
            <w:vAlign w:val="bottom"/>
          </w:tcPr>
          <w:p>
            <w:pPr>
              <w:spacing w:after="0"/>
              <w:rPr>
                <w:sz w:val="20"/>
                <w:szCs w:val="20"/>
                <w:color w:val="auto"/>
              </w:rPr>
            </w:pPr>
            <w:r>
              <w:rPr>
                <w:rFonts w:ascii="Arial" w:cs="Arial" w:eastAsia="Arial" w:hAnsi="Arial"/>
                <w:sz w:val="18"/>
                <w:szCs w:val="18"/>
                <w:b w:val="1"/>
                <w:bCs w:val="1"/>
                <w:color w:val="auto"/>
              </w:rPr>
              <w:t>Table 5 - Fee Revenue</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6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0"/>
                <w:szCs w:val="20"/>
                <w:color w:val="auto"/>
              </w:rPr>
            </w:pPr>
          </w:p>
        </w:tc>
        <w:tc>
          <w:tcPr>
            <w:tcW w:w="2200" w:type="dxa"/>
            <w:vAlign w:val="bottom"/>
            <w:gridSpan w:val="6"/>
            <w:vMerge w:val="restart"/>
          </w:tcPr>
          <w:p>
            <w:pPr>
              <w:ind w:left="8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5"/>
            <w:vMerge w:val="restart"/>
          </w:tcPr>
          <w:p>
            <w:pPr>
              <w:ind w:left="120"/>
              <w:spacing w:after="0"/>
              <w:rPr>
                <w:sz w:val="20"/>
                <w:szCs w:val="20"/>
                <w:color w:val="auto"/>
              </w:rPr>
            </w:pPr>
            <w:r>
              <w:rPr>
                <w:rFonts w:ascii="Arial" w:cs="Arial" w:eastAsia="Arial" w:hAnsi="Arial"/>
                <w:sz w:val="18"/>
                <w:szCs w:val="18"/>
                <w:b w:val="1"/>
                <w:bCs w:val="1"/>
                <w:color w:val="auto"/>
              </w:rPr>
              <w:t>Six Months Ended</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gridSpan w:val="6"/>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gridSpan w:val="5"/>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gridSpan w:val="4"/>
          </w:tcPr>
          <w:p>
            <w:pPr>
              <w:jc w:val="right"/>
              <w:ind w:right="82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2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4"/>
              </w:rPr>
              <w:t>2013</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w w:val="94"/>
              </w:rPr>
              <w:t>Amount</w:t>
            </w:r>
          </w:p>
        </w:tc>
        <w:tc>
          <w:tcPr>
            <w:tcW w:w="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Percent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2013</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w w:val="94"/>
              </w:rPr>
              <w:t>Amount</w:t>
            </w: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Percent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Borders>
              <w:right w:val="single" w:sz="8" w:color="F0FFFF"/>
            </w:tcBorders>
            <w:shd w:val="clear" w:color="auto" w:fill="F0FFFF"/>
          </w:tcPr>
          <w:p>
            <w:pPr>
              <w:ind w:left="60"/>
              <w:spacing w:after="0"/>
              <w:rPr>
                <w:sz w:val="20"/>
                <w:szCs w:val="20"/>
                <w:color w:val="auto"/>
              </w:rPr>
            </w:pPr>
            <w:r>
              <w:rPr>
                <w:rFonts w:ascii="Arial" w:cs="Arial" w:eastAsia="Arial" w:hAnsi="Arial"/>
                <w:sz w:val="18"/>
                <w:szCs w:val="18"/>
                <w:color w:val="auto"/>
              </w:rPr>
              <w:t>Overdraft fees</w:t>
            </w: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2,944</w:t>
            </w:r>
          </w:p>
        </w:tc>
        <w:tc>
          <w:tcPr>
            <w:tcW w:w="340" w:type="dxa"/>
            <w:vAlign w:val="bottom"/>
            <w:gridSpan w:val="2"/>
            <w:shd w:val="clear" w:color="auto" w:fill="F0FF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3,032</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(88)</w:t>
            </w: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w:t>
            </w:r>
          </w:p>
        </w:tc>
        <w:tc>
          <w:tcPr>
            <w:tcW w:w="2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5,864</w:t>
            </w: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6,023</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(159)</w:t>
            </w:r>
          </w:p>
        </w:tc>
        <w:tc>
          <w:tcPr>
            <w:tcW w:w="10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2420" w:type="dxa"/>
            <w:vAlign w:val="bottom"/>
          </w:tcPr>
          <w:p>
            <w:pPr>
              <w:ind w:left="60"/>
              <w:spacing w:after="0" w:line="201" w:lineRule="exact"/>
              <w:rPr>
                <w:sz w:val="20"/>
                <w:szCs w:val="20"/>
                <w:color w:val="auto"/>
              </w:rPr>
            </w:pPr>
            <w:r>
              <w:rPr>
                <w:rFonts w:ascii="Arial" w:cs="Arial" w:eastAsia="Arial" w:hAnsi="Arial"/>
                <w:sz w:val="18"/>
                <w:szCs w:val="18"/>
                <w:color w:val="auto"/>
              </w:rPr>
              <w:t>Debit card and interchange</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180"/>
              <w:spacing w:after="0"/>
              <w:rPr>
                <w:sz w:val="20"/>
                <w:szCs w:val="20"/>
                <w:color w:val="auto"/>
              </w:rPr>
            </w:pPr>
            <w:r>
              <w:rPr>
                <w:rFonts w:ascii="Arial" w:cs="Arial" w:eastAsia="Arial" w:hAnsi="Arial"/>
                <w:sz w:val="18"/>
                <w:szCs w:val="18"/>
                <w:color w:val="auto"/>
              </w:rPr>
              <w:t>fees</w:t>
            </w:r>
          </w:p>
        </w:tc>
        <w:tc>
          <w:tcPr>
            <w:tcW w:w="16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3,976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3,639</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337</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7,507</w:t>
            </w: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6,866</w:t>
            </w: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641</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420" w:type="dxa"/>
            <w:vAlign w:val="bottom"/>
            <w:tcBorders>
              <w:right w:val="single" w:sz="8" w:color="F0FFFF"/>
            </w:tcBorders>
            <w:shd w:val="clear" w:color="auto" w:fill="F0FFFF"/>
          </w:tcPr>
          <w:p>
            <w:pPr>
              <w:ind w:left="60"/>
              <w:spacing w:after="0"/>
              <w:rPr>
                <w:sz w:val="20"/>
                <w:szCs w:val="20"/>
                <w:color w:val="auto"/>
              </w:rPr>
            </w:pPr>
            <w:r>
              <w:rPr>
                <w:rFonts w:ascii="Arial" w:cs="Arial" w:eastAsia="Arial" w:hAnsi="Arial"/>
                <w:sz w:val="18"/>
                <w:szCs w:val="18"/>
                <w:color w:val="auto"/>
                <w:w w:val="92"/>
              </w:rPr>
              <w:t>Other service charges and fees</w:t>
            </w:r>
          </w:p>
        </w:tc>
        <w:tc>
          <w:tcPr>
            <w:tcW w:w="160" w:type="dxa"/>
            <w:vAlign w:val="bottom"/>
            <w:shd w:val="clear" w:color="auto" w:fill="F0FFFF"/>
          </w:tcPr>
          <w:p>
            <w:pPr>
              <w:spacing w:after="0"/>
              <w:rPr>
                <w:sz w:val="18"/>
                <w:szCs w:val="18"/>
                <w:color w:val="auto"/>
              </w:rPr>
            </w:pPr>
          </w:p>
        </w:tc>
        <w:tc>
          <w:tcPr>
            <w:tcW w:w="7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1,607</w:t>
            </w: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1,301</w:t>
            </w:r>
          </w:p>
        </w:tc>
        <w:tc>
          <w:tcPr>
            <w:tcW w:w="2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306</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24</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3,054</w:t>
            </w:r>
          </w:p>
        </w:tc>
        <w:tc>
          <w:tcPr>
            <w:tcW w:w="24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2,486</w:t>
            </w: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568</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2420" w:type="dxa"/>
            <w:vAlign w:val="bottom"/>
            <w:tcBorders>
              <w:right w:val="single" w:sz="8" w:color="F0FFFF"/>
            </w:tcBorders>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900" w:type="dxa"/>
            <w:vAlign w:val="bottom"/>
            <w:shd w:val="clear" w:color="auto" w:fill="F0FFFF"/>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9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20" w:type="dxa"/>
            <w:vAlign w:val="bottom"/>
          </w:tcPr>
          <w:p>
            <w:pPr>
              <w:ind w:left="280"/>
              <w:spacing w:after="0"/>
              <w:rPr>
                <w:sz w:val="20"/>
                <w:szCs w:val="20"/>
                <w:color w:val="auto"/>
              </w:rPr>
            </w:pPr>
            <w:r>
              <w:rPr>
                <w:rFonts w:ascii="Arial" w:cs="Arial" w:eastAsia="Arial" w:hAnsi="Arial"/>
                <w:sz w:val="18"/>
                <w:szCs w:val="18"/>
                <w:color w:val="auto"/>
              </w:rPr>
              <w:t>Service charges and fees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7,972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555</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16,425</w:t>
            </w:r>
          </w:p>
        </w:tc>
        <w:tc>
          <w:tcPr>
            <w:tcW w:w="2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15,375</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1,050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420" w:type="dxa"/>
            <w:vAlign w:val="bottom"/>
            <w:tcBorders>
              <w:right w:val="single" w:sz="8" w:color="F0FFFF"/>
            </w:tcBorders>
            <w:shd w:val="clear" w:color="auto" w:fill="F0FFFF"/>
          </w:tcPr>
          <w:p>
            <w:pPr>
              <w:ind w:left="60"/>
              <w:spacing w:after="0"/>
              <w:rPr>
                <w:sz w:val="20"/>
                <w:szCs w:val="20"/>
                <w:color w:val="auto"/>
              </w:rPr>
            </w:pPr>
            <w:r>
              <w:rPr>
                <w:rFonts w:ascii="Arial" w:cs="Arial" w:eastAsia="Arial" w:hAnsi="Arial"/>
                <w:sz w:val="18"/>
                <w:szCs w:val="18"/>
                <w:color w:val="auto"/>
                <w:w w:val="93"/>
              </w:rPr>
              <w:t>Mortgage loan and related fees</w:t>
            </w:r>
          </w:p>
        </w:tc>
        <w:tc>
          <w:tcPr>
            <w:tcW w:w="16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1,877</w:t>
            </w: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3,003</w:t>
            </w:r>
          </w:p>
        </w:tc>
        <w:tc>
          <w:tcPr>
            <w:tcW w:w="1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(1,126)</w:t>
            </w: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(37)</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3,231</w:t>
            </w:r>
          </w:p>
        </w:tc>
        <w:tc>
          <w:tcPr>
            <w:tcW w:w="24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5,658</w:t>
            </w: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(2,427)</w:t>
            </w:r>
          </w:p>
        </w:tc>
        <w:tc>
          <w:tcPr>
            <w:tcW w:w="10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420" w:type="dxa"/>
            <w:vAlign w:val="bottom"/>
          </w:tcPr>
          <w:p>
            <w:pPr>
              <w:ind w:left="60"/>
              <w:spacing w:after="0"/>
              <w:rPr>
                <w:sz w:val="20"/>
                <w:szCs w:val="20"/>
                <w:color w:val="auto"/>
              </w:rPr>
            </w:pPr>
            <w:r>
              <w:rPr>
                <w:rFonts w:ascii="Arial" w:cs="Arial" w:eastAsia="Arial" w:hAnsi="Arial"/>
                <w:sz w:val="18"/>
                <w:szCs w:val="18"/>
                <w:color w:val="auto"/>
              </w:rPr>
              <w:t>Brokerage fees</w:t>
            </w: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1,063</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182</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2,422</w:t>
            </w:r>
          </w:p>
        </w:tc>
        <w:tc>
          <w:tcPr>
            <w:tcW w:w="2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1,830</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592</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420" w:type="dxa"/>
            <w:vAlign w:val="bottom"/>
            <w:tcBorders>
              <w:right w:val="single" w:sz="8" w:color="F0FFFF"/>
            </w:tcBorders>
            <w:shd w:val="clear" w:color="auto" w:fill="F0FFFF"/>
          </w:tcPr>
          <w:p>
            <w:pPr>
              <w:ind w:left="60"/>
              <w:spacing w:after="0"/>
              <w:rPr>
                <w:sz w:val="20"/>
                <w:szCs w:val="20"/>
                <w:color w:val="auto"/>
              </w:rPr>
            </w:pPr>
            <w:r>
              <w:rPr>
                <w:rFonts w:ascii="Arial" w:cs="Arial" w:eastAsia="Arial" w:hAnsi="Arial"/>
                <w:sz w:val="18"/>
                <w:szCs w:val="18"/>
                <w:color w:val="auto"/>
              </w:rPr>
              <w:t>Customer derivatives</w:t>
            </w:r>
          </w:p>
        </w:tc>
        <w:tc>
          <w:tcPr>
            <w:tcW w:w="16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488</w:t>
            </w:r>
          </w:p>
        </w:tc>
        <w:tc>
          <w:tcPr>
            <w:tcW w:w="1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(74)</w:t>
            </w: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471</w:t>
            </w:r>
          </w:p>
        </w:tc>
        <w:tc>
          <w:tcPr>
            <w:tcW w:w="24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740</w:t>
            </w: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(269)</w:t>
            </w:r>
          </w:p>
        </w:tc>
        <w:tc>
          <w:tcPr>
            <w:tcW w:w="10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420" w:type="dxa"/>
            <w:vAlign w:val="bottom"/>
          </w:tcPr>
          <w:p>
            <w:pPr>
              <w:ind w:left="60"/>
              <w:spacing w:after="0"/>
              <w:rPr>
                <w:sz w:val="20"/>
                <w:szCs w:val="20"/>
                <w:color w:val="auto"/>
              </w:rPr>
            </w:pPr>
            <w:r>
              <w:rPr>
                <w:rFonts w:ascii="Arial" w:cs="Arial" w:eastAsia="Arial" w:hAnsi="Arial"/>
                <w:sz w:val="18"/>
                <w:szCs w:val="18"/>
                <w:color w:val="auto"/>
              </w:rPr>
              <w:t>Securities gains, net</w:t>
            </w:r>
          </w:p>
        </w:tc>
        <w:tc>
          <w:tcPr>
            <w:tcW w:w="1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4,435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4,435</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4,652</w:t>
            </w:r>
          </w:p>
        </w:tc>
        <w:tc>
          <w:tcPr>
            <w:tcW w:w="2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4,536</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420" w:type="dxa"/>
            <w:vAlign w:val="bottom"/>
            <w:tcBorders>
              <w:right w:val="single" w:sz="8" w:color="F0FFFF"/>
            </w:tcBorders>
            <w:shd w:val="clear" w:color="auto" w:fill="F0FFFF"/>
          </w:tcPr>
          <w:p>
            <w:pPr>
              <w:ind w:left="60"/>
              <w:spacing w:after="0" w:line="201" w:lineRule="exact"/>
              <w:rPr>
                <w:sz w:val="20"/>
                <w:szCs w:val="20"/>
                <w:color w:val="auto"/>
              </w:rPr>
            </w:pPr>
            <w:r>
              <w:rPr>
                <w:rFonts w:ascii="Arial" w:cs="Arial" w:eastAsia="Arial" w:hAnsi="Arial"/>
                <w:sz w:val="18"/>
                <w:szCs w:val="18"/>
                <w:color w:val="auto"/>
              </w:rPr>
              <w:t>Loss on prepayment of</w:t>
            </w:r>
          </w:p>
        </w:tc>
        <w:tc>
          <w:tcPr>
            <w:tcW w:w="16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70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6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tcBorders>
              <w:right w:val="single" w:sz="8" w:color="F0FFFF"/>
            </w:tcBorders>
            <w:shd w:val="clear" w:color="auto" w:fill="F0FFFF"/>
          </w:tcPr>
          <w:p>
            <w:pPr>
              <w:ind w:left="180"/>
              <w:spacing w:after="0"/>
              <w:rPr>
                <w:sz w:val="20"/>
                <w:szCs w:val="20"/>
                <w:color w:val="auto"/>
              </w:rPr>
            </w:pPr>
            <w:r>
              <w:rPr>
                <w:rFonts w:ascii="Arial" w:cs="Arial" w:eastAsia="Arial" w:hAnsi="Arial"/>
                <w:sz w:val="18"/>
                <w:szCs w:val="18"/>
                <w:color w:val="auto"/>
              </w:rPr>
              <w:t>borrowings</w:t>
            </w:r>
          </w:p>
        </w:tc>
        <w:tc>
          <w:tcPr>
            <w:tcW w:w="160" w:type="dxa"/>
            <w:vAlign w:val="bottom"/>
            <w:shd w:val="clear" w:color="auto" w:fill="F0FFFF"/>
          </w:tcPr>
          <w:p>
            <w:pPr>
              <w:spacing w:after="0"/>
              <w:rPr>
                <w:sz w:val="20"/>
                <w:szCs w:val="20"/>
                <w:color w:val="auto"/>
              </w:rPr>
            </w:pPr>
          </w:p>
        </w:tc>
        <w:tc>
          <w:tcPr>
            <w:tcW w:w="9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(4,446)</w:t>
            </w:r>
          </w:p>
        </w:tc>
        <w:tc>
          <w:tcPr>
            <w:tcW w:w="10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9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20"/>
                <w:szCs w:val="20"/>
                <w:color w:val="auto"/>
              </w:rPr>
            </w:pPr>
          </w:p>
        </w:tc>
        <w:tc>
          <w:tcPr>
            <w:tcW w:w="10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(4,446)</w:t>
            </w:r>
          </w:p>
        </w:tc>
        <w:tc>
          <w:tcPr>
            <w:tcW w:w="9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9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(4,446)</w:t>
            </w:r>
          </w:p>
        </w:tc>
        <w:tc>
          <w:tcPr>
            <w:tcW w:w="240" w:type="dxa"/>
            <w:vAlign w:val="bottom"/>
            <w:shd w:val="clear" w:color="auto" w:fill="F0FFFF"/>
          </w:tcPr>
          <w:p>
            <w:pPr>
              <w:spacing w:after="0"/>
              <w:rPr>
                <w:sz w:val="20"/>
                <w:szCs w:val="20"/>
                <w:color w:val="auto"/>
              </w:rPr>
            </w:pPr>
          </w:p>
        </w:tc>
        <w:tc>
          <w:tcPr>
            <w:tcW w:w="68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(4,446)</w:t>
            </w:r>
          </w:p>
        </w:tc>
        <w:tc>
          <w:tcPr>
            <w:tcW w:w="9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6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3,417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(1,326)</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3,564</w:t>
            </w:r>
          </w:p>
        </w:tc>
        <w:tc>
          <w:tcPr>
            <w:tcW w:w="2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5,135</w:t>
            </w: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(1,571)</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420" w:type="dxa"/>
            <w:vAlign w:val="bottom"/>
            <w:tcBorders>
              <w:right w:val="single" w:sz="8" w:color="F0FFFF"/>
            </w:tcBorders>
            <w:shd w:val="clear" w:color="auto" w:fill="F0FFFF"/>
          </w:tcPr>
          <w:p>
            <w:pPr>
              <w:ind w:left="280"/>
              <w:spacing w:after="0"/>
              <w:rPr>
                <w:sz w:val="20"/>
                <w:szCs w:val="20"/>
                <w:color w:val="auto"/>
              </w:rPr>
            </w:pPr>
            <w:r>
              <w:rPr>
                <w:rFonts w:ascii="Arial" w:cs="Arial" w:eastAsia="Arial" w:hAnsi="Arial"/>
                <w:sz w:val="18"/>
                <w:szCs w:val="18"/>
                <w:color w:val="auto"/>
              </w:rPr>
              <w:t>Total fee revenue</w:t>
            </w: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14,143</w:t>
            </w:r>
          </w:p>
        </w:tc>
        <w:tc>
          <w:tcPr>
            <w:tcW w:w="14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15,943</w:t>
            </w:r>
          </w:p>
        </w:tc>
        <w:tc>
          <w:tcPr>
            <w:tcW w:w="240" w:type="dxa"/>
            <w:vAlign w:val="bottom"/>
            <w:shd w:val="clear" w:color="auto" w:fill="F0FFFF"/>
          </w:tcPr>
          <w:p>
            <w:pPr>
              <w:spacing w:after="0"/>
              <w:rPr>
                <w:sz w:val="20"/>
                <w:szCs w:val="20"/>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(1,800)</w:t>
            </w: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(11)</w:t>
            </w:r>
          </w:p>
        </w:tc>
        <w:tc>
          <w:tcPr>
            <w:tcW w:w="2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26,319</w:t>
            </w: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28,854</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(2,535)</w:t>
            </w:r>
          </w:p>
        </w:tc>
        <w:tc>
          <w:tcPr>
            <w:tcW w:w="10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42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90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9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Service charges and fees of $8.53 million were up $555,000, or 7%, from the second quarter of 2013. For the first six months of 2014, service charges and fees of $16.4 million were up $1.05 million, or 7%, from the same period in 2013. The increase resulted from higher debit card interchange fees due to higher transaction volume. The increase in other service charges and fees reflects new service fees that went into effect January 1, 2014. Overdraft fees continue to decline as customer utilization of our courtesy overdraft services decreases.</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Mortgage loans and related fees for the second quarter and first six months of 2014 were down $1.13 million, or 37%, and $2.43 million, or 43%, respectively, from the same periods in 2013. In the second quarter of 2014, United closed 421 loans totaling $68.5 million compared with 608 loans totaling $95.2 million in the second quarter of 2013. Year-to-date mortgage production in 2014 amounted to 710 loans totaling $115 million, compared to 1,072 loans totaling $165 million for the same period in 2013. Mortgage refinancing activity has slowed due to rising long-term interest rates. United had $45.7 million and $75.9 million, respectively, in new purchase money mortgage originations in the second quarter and first six months of 2014, compared with $39.7 million and $66.0 million, respectively, for the same periods a year ago. Purchase money mortgages increased as a percentage of total production due to lower refinancing activity but also due to an increase in the amount of purchase money mortgages. The volume of new purchase money mortgages in the second quarter was 68% compared with 49% in the second quarter of 2013.</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Brokerage fees increased $182,000, or 17%, from the second quarter of 2013 and increased $592,000, or 32%, compared to the first six months of 2013, as customer balances increased, due to heightened customer demand for income products stemming from continued low interest rates. Also, referrals and overall activity in this area have increased as United intensified its focus on growing this line of business. A portion of United’s brokerage fee revenue is derived from the value of assets under management which increased with the overall improvement in the market, further contributing to the increased revenue.</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Customer derivative fees of $414,000 were down $74,000 from the second quarter of 2013 and were down $269,000 compared to the first six months of 2013. Management believes the decrease is a reflection of the interest rate environment resulting in a temporary weakening of customer demand in the first quarter of 2014.</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United recognized net securities gains of $4.44 million for the second quarter of 2014. No securities gains or losses were recognized in the second quarter of 2013. For the first six months of 2014 and 2013, net securities gains totaled $4.65 million and $116,000, respectively. For the second quarter and first six months of 2014, United also recognized $4.45 million in charges from the prepayment of a structured repurchase agreement. The securities gains and structured repurchase agreement prepayment charges in the second quarter of 2014 are offsetting and were part of the same overall balance sheet management activities that will improve the securities portfolio yield and lower the overall cost of wholesale borrowings going forward.</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fee revenue of $2.09 million for the second quarter of 2014 was down $1.33, or 39%, million from the second quarter of 2013. For the first six months of 2014, other fee revenue of $3.56 million was down $1.57 million, or 31%, from the same period in 2013. During the second quarter of 2013, United recorded a $1.37 million death benefit on a bank-owned life insurance policy as well as $468,000 in gains from the sale of low income housing tax credits. Second quarter 2014 other fee revenue includes $744,000 in gains from the sale of approximately $6 million in SBA loans that were sold in connection with United’s expansion of SBA / USDA lending activities.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153"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0"/>
        </w:trPr>
        <w:tc>
          <w:tcPr>
            <w:tcW w:w="2420" w:type="dxa"/>
            <w:vAlign w:val="bottom"/>
          </w:tcPr>
          <w:p>
            <w:pPr>
              <w:spacing w:after="0"/>
              <w:rPr>
                <w:sz w:val="20"/>
                <w:szCs w:val="20"/>
                <w:color w:val="auto"/>
              </w:rPr>
            </w:pPr>
            <w:r>
              <w:rPr>
                <w:rFonts w:ascii="Arial" w:cs="Arial" w:eastAsia="Arial" w:hAnsi="Arial"/>
                <w:sz w:val="18"/>
                <w:szCs w:val="18"/>
                <w:b w:val="1"/>
                <w:bCs w:val="1"/>
                <w:i w:val="1"/>
                <w:iCs w:val="1"/>
                <w:color w:val="auto"/>
              </w:rPr>
              <w:t>Operating Expenses</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280" w:type="dxa"/>
            <w:vAlign w:val="bottom"/>
            <w:gridSpan w:val="20"/>
          </w:tcPr>
          <w:p>
            <w:pPr>
              <w:spacing w:after="0"/>
              <w:rPr>
                <w:sz w:val="20"/>
                <w:szCs w:val="20"/>
                <w:color w:val="auto"/>
              </w:rPr>
            </w:pPr>
            <w:r>
              <w:rPr>
                <w:rFonts w:ascii="Arial" w:cs="Arial" w:eastAsia="Arial" w:hAnsi="Arial"/>
                <w:sz w:val="18"/>
                <w:szCs w:val="18"/>
                <w:color w:val="auto"/>
                <w:w w:val="90"/>
              </w:rPr>
              <w:t>The following table presents the components of operating expenses for the three and six months ended June 30, 2014 and 2013.</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420" w:type="dxa"/>
            <w:vAlign w:val="bottom"/>
          </w:tcPr>
          <w:p>
            <w:pPr>
              <w:spacing w:after="0"/>
              <w:rPr>
                <w:sz w:val="20"/>
                <w:szCs w:val="20"/>
                <w:color w:val="auto"/>
              </w:rPr>
            </w:pPr>
            <w:r>
              <w:rPr>
                <w:rFonts w:ascii="Arial" w:cs="Arial" w:eastAsia="Arial" w:hAnsi="Arial"/>
                <w:sz w:val="18"/>
                <w:szCs w:val="18"/>
                <w:b w:val="1"/>
                <w:bCs w:val="1"/>
                <w:color w:val="auto"/>
                <w:w w:val="95"/>
              </w:rPr>
              <w:t>Table 6 - Operating Expenses</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0"/>
                <w:szCs w:val="20"/>
                <w:color w:val="auto"/>
              </w:rPr>
            </w:pPr>
          </w:p>
        </w:tc>
        <w:tc>
          <w:tcPr>
            <w:tcW w:w="2200" w:type="dxa"/>
            <w:vAlign w:val="bottom"/>
            <w:gridSpan w:val="6"/>
            <w:vMerge w:val="restart"/>
          </w:tcPr>
          <w:p>
            <w:pPr>
              <w:ind w:left="8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5"/>
            <w:vMerge w:val="restart"/>
          </w:tcPr>
          <w:p>
            <w:pPr>
              <w:ind w:left="120"/>
              <w:spacing w:after="0"/>
              <w:rPr>
                <w:sz w:val="20"/>
                <w:szCs w:val="20"/>
                <w:color w:val="auto"/>
              </w:rPr>
            </w:pPr>
            <w:r>
              <w:rPr>
                <w:rFonts w:ascii="Arial" w:cs="Arial" w:eastAsia="Arial" w:hAnsi="Arial"/>
                <w:sz w:val="18"/>
                <w:szCs w:val="18"/>
                <w:b w:val="1"/>
                <w:bCs w:val="1"/>
                <w:color w:val="auto"/>
              </w:rPr>
              <w:t>Six Months Ended</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0" w:type="dxa"/>
            <w:vAlign w:val="bottom"/>
            <w:gridSpan w:val="6"/>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60" w:type="dxa"/>
            <w:vAlign w:val="bottom"/>
            <w:gridSpan w:val="5"/>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rPr>
              <w:t>Change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gridSpan w:val="4"/>
          </w:tcPr>
          <w:p>
            <w:pPr>
              <w:jc w:val="right"/>
              <w:ind w:right="82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2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4"/>
              </w:rPr>
              <w:t>2013</w:t>
            </w: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w w:val="94"/>
              </w:rPr>
              <w:t>Amount</w:t>
            </w:r>
          </w:p>
        </w:tc>
        <w:tc>
          <w:tcPr>
            <w:tcW w:w="9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Percent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2013</w:t>
            </w: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w w:val="94"/>
              </w:rPr>
              <w:t>Amount</w:t>
            </w:r>
          </w:p>
        </w:tc>
        <w:tc>
          <w:tcPr>
            <w:tcW w:w="9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Percent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F0FFFF"/>
          </w:tcPr>
          <w:p>
            <w:pPr>
              <w:ind w:left="60"/>
              <w:spacing w:after="0"/>
              <w:rPr>
                <w:sz w:val="20"/>
                <w:szCs w:val="20"/>
                <w:color w:val="auto"/>
              </w:rPr>
            </w:pPr>
            <w:r>
              <w:rPr>
                <w:rFonts w:ascii="Arial" w:cs="Arial" w:eastAsia="Arial" w:hAnsi="Arial"/>
                <w:sz w:val="18"/>
                <w:szCs w:val="18"/>
                <w:color w:val="auto"/>
                <w:w w:val="93"/>
              </w:rPr>
              <w:t>Salaries and employee benefits</w:t>
            </w: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24,287</w:t>
            </w:r>
          </w:p>
        </w:tc>
        <w:tc>
          <w:tcPr>
            <w:tcW w:w="140" w:type="dxa"/>
            <w:vAlign w:val="bottom"/>
            <w:shd w:val="clear" w:color="auto" w:fill="F0FFFF"/>
          </w:tcPr>
          <w:p>
            <w:pPr>
              <w:spacing w:after="0"/>
              <w:rPr>
                <w:sz w:val="18"/>
                <w:szCs w:val="18"/>
                <w:color w:val="auto"/>
              </w:rPr>
            </w:pPr>
          </w:p>
        </w:tc>
        <w:tc>
          <w:tcPr>
            <w:tcW w:w="340" w:type="dxa"/>
            <w:vAlign w:val="bottom"/>
            <w:gridSpan w:val="2"/>
            <w:shd w:val="clear" w:color="auto" w:fill="F0FF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24,734</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(447)</w:t>
            </w: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w:t>
            </w:r>
          </w:p>
        </w:tc>
        <w:tc>
          <w:tcPr>
            <w:tcW w:w="2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48,683</w:t>
            </w: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48,326</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357</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420" w:type="dxa"/>
            <w:vAlign w:val="bottom"/>
          </w:tcPr>
          <w:p>
            <w:pPr>
              <w:ind w:left="60"/>
              <w:spacing w:after="0" w:line="201" w:lineRule="exact"/>
              <w:rPr>
                <w:sz w:val="20"/>
                <w:szCs w:val="20"/>
                <w:color w:val="auto"/>
              </w:rPr>
            </w:pPr>
            <w:r>
              <w:rPr>
                <w:rFonts w:ascii="Arial" w:cs="Arial" w:eastAsia="Arial" w:hAnsi="Arial"/>
                <w:sz w:val="18"/>
                <w:szCs w:val="18"/>
                <w:color w:val="auto"/>
              </w:rPr>
              <w:t>Communications and</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180"/>
              <w:spacing w:after="0"/>
              <w:rPr>
                <w:sz w:val="20"/>
                <w:szCs w:val="20"/>
                <w:color w:val="auto"/>
              </w:rPr>
            </w:pPr>
            <w:r>
              <w:rPr>
                <w:rFonts w:ascii="Arial" w:cs="Arial" w:eastAsia="Arial" w:hAnsi="Arial"/>
                <w:sz w:val="18"/>
                <w:szCs w:val="18"/>
                <w:color w:val="auto"/>
              </w:rPr>
              <w:t>equipment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3,037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3,468</w:t>
            </w:r>
          </w:p>
        </w:tc>
        <w:tc>
          <w:tcPr>
            <w:tcW w:w="1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(431)</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6,276</w:t>
            </w: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6,514</w:t>
            </w: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(238)</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420" w:type="dxa"/>
            <w:vAlign w:val="bottom"/>
            <w:shd w:val="clear" w:color="auto" w:fill="F0FFFF"/>
          </w:tcPr>
          <w:p>
            <w:pPr>
              <w:ind w:left="60"/>
              <w:spacing w:after="0"/>
              <w:rPr>
                <w:sz w:val="20"/>
                <w:szCs w:val="20"/>
                <w:color w:val="auto"/>
              </w:rPr>
            </w:pPr>
            <w:r>
              <w:rPr>
                <w:rFonts w:ascii="Arial" w:cs="Arial" w:eastAsia="Arial" w:hAnsi="Arial"/>
                <w:sz w:val="18"/>
                <w:szCs w:val="18"/>
                <w:color w:val="auto"/>
              </w:rPr>
              <w:t>Occupancy</w:t>
            </w:r>
          </w:p>
        </w:tc>
        <w:tc>
          <w:tcPr>
            <w:tcW w:w="160" w:type="dxa"/>
            <w:vAlign w:val="bottom"/>
            <w:shd w:val="clear" w:color="auto" w:fill="F0FFFF"/>
          </w:tcPr>
          <w:p>
            <w:pPr>
              <w:spacing w:after="0"/>
              <w:rPr>
                <w:sz w:val="18"/>
                <w:szCs w:val="18"/>
                <w:color w:val="auto"/>
              </w:rPr>
            </w:pPr>
          </w:p>
        </w:tc>
        <w:tc>
          <w:tcPr>
            <w:tcW w:w="7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3,262</w:t>
            </w: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3,449</w:t>
            </w:r>
          </w:p>
        </w:tc>
        <w:tc>
          <w:tcPr>
            <w:tcW w:w="1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(187)</w:t>
            </w: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6,640</w:t>
            </w:r>
          </w:p>
        </w:tc>
        <w:tc>
          <w:tcPr>
            <w:tcW w:w="24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6,816</w:t>
            </w: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(176)</w:t>
            </w:r>
          </w:p>
        </w:tc>
        <w:tc>
          <w:tcPr>
            <w:tcW w:w="10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2420" w:type="dxa"/>
            <w:vAlign w:val="bottom"/>
          </w:tcPr>
          <w:p>
            <w:pPr>
              <w:ind w:left="40"/>
              <w:spacing w:after="0" w:line="201" w:lineRule="exact"/>
              <w:rPr>
                <w:sz w:val="20"/>
                <w:szCs w:val="20"/>
                <w:color w:val="auto"/>
              </w:rPr>
            </w:pPr>
            <w:r>
              <w:rPr>
                <w:rFonts w:ascii="Arial" w:cs="Arial" w:eastAsia="Arial" w:hAnsi="Arial"/>
                <w:sz w:val="18"/>
                <w:szCs w:val="18"/>
                <w:color w:val="auto"/>
              </w:rPr>
              <w:t>Advertising and public</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180"/>
              <w:spacing w:after="0"/>
              <w:rPr>
                <w:sz w:val="20"/>
                <w:szCs w:val="20"/>
                <w:color w:val="auto"/>
              </w:rPr>
            </w:pPr>
            <w:r>
              <w:rPr>
                <w:rFonts w:ascii="Arial" w:cs="Arial" w:eastAsia="Arial" w:hAnsi="Arial"/>
                <w:sz w:val="18"/>
                <w:szCs w:val="18"/>
                <w:color w:val="auto"/>
              </w:rPr>
              <w:t>relations</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1,139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1,037</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102</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1,765</w:t>
            </w: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1,975</w:t>
            </w: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(210)</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420" w:type="dxa"/>
            <w:vAlign w:val="bottom"/>
            <w:shd w:val="clear" w:color="auto" w:fill="F0FFFF"/>
          </w:tcPr>
          <w:p>
            <w:pPr>
              <w:ind w:left="60"/>
              <w:spacing w:after="0"/>
              <w:rPr>
                <w:sz w:val="20"/>
                <w:szCs w:val="20"/>
                <w:color w:val="auto"/>
              </w:rPr>
            </w:pPr>
            <w:r>
              <w:rPr>
                <w:rFonts w:ascii="Arial" w:cs="Arial" w:eastAsia="Arial" w:hAnsi="Arial"/>
                <w:sz w:val="18"/>
                <w:szCs w:val="18"/>
                <w:color w:val="auto"/>
                <w:w w:val="97"/>
              </w:rPr>
              <w:t>Postage, printing and supplies</w:t>
            </w:r>
          </w:p>
        </w:tc>
        <w:tc>
          <w:tcPr>
            <w:tcW w:w="160" w:type="dxa"/>
            <w:vAlign w:val="bottom"/>
            <w:shd w:val="clear" w:color="auto" w:fill="F0FFFF"/>
          </w:tcPr>
          <w:p>
            <w:pPr>
              <w:spacing w:after="0"/>
              <w:rPr>
                <w:sz w:val="18"/>
                <w:szCs w:val="18"/>
                <w:color w:val="auto"/>
              </w:rPr>
            </w:pPr>
          </w:p>
        </w:tc>
        <w:tc>
          <w:tcPr>
            <w:tcW w:w="7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804</w:t>
            </w: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894</w:t>
            </w:r>
          </w:p>
        </w:tc>
        <w:tc>
          <w:tcPr>
            <w:tcW w:w="1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(90)</w:t>
            </w: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1,580</w:t>
            </w:r>
          </w:p>
        </w:tc>
        <w:tc>
          <w:tcPr>
            <w:tcW w:w="240" w:type="dxa"/>
            <w:vAlign w:val="bottom"/>
            <w:shd w:val="clear" w:color="auto" w:fill="F0FFFF"/>
          </w:tcPr>
          <w:p>
            <w:pPr>
              <w:spacing w:after="0"/>
              <w:rPr>
                <w:sz w:val="18"/>
                <w:szCs w:val="18"/>
                <w:color w:val="auto"/>
              </w:rPr>
            </w:pPr>
          </w:p>
        </w:tc>
        <w:tc>
          <w:tcPr>
            <w:tcW w:w="8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1,757</w:t>
            </w:r>
          </w:p>
        </w:tc>
        <w:tc>
          <w:tcPr>
            <w:tcW w:w="12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(177)</w:t>
            </w:r>
          </w:p>
        </w:tc>
        <w:tc>
          <w:tcPr>
            <w:tcW w:w="10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420" w:type="dxa"/>
            <w:vAlign w:val="bottom"/>
          </w:tcPr>
          <w:p>
            <w:pPr>
              <w:ind w:left="60"/>
              <w:spacing w:after="0"/>
              <w:rPr>
                <w:sz w:val="20"/>
                <w:szCs w:val="20"/>
                <w:color w:val="auto"/>
              </w:rPr>
            </w:pPr>
            <w:r>
              <w:rPr>
                <w:rFonts w:ascii="Arial" w:cs="Arial" w:eastAsia="Arial" w:hAnsi="Arial"/>
                <w:sz w:val="18"/>
                <w:szCs w:val="18"/>
                <w:color w:val="auto"/>
              </w:rPr>
              <w:t>Professional fees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2,499</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(327)</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3,599</w:t>
            </w:r>
          </w:p>
        </w:tc>
        <w:tc>
          <w:tcPr>
            <w:tcW w:w="2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4,865</w:t>
            </w: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(1,266)</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2"/>
        </w:trPr>
        <w:tc>
          <w:tcPr>
            <w:tcW w:w="2420" w:type="dxa"/>
            <w:vAlign w:val="bottom"/>
            <w:shd w:val="clear" w:color="auto" w:fill="F0FFFF"/>
          </w:tcPr>
          <w:p>
            <w:pPr>
              <w:ind w:left="60"/>
              <w:spacing w:after="0" w:line="201" w:lineRule="exact"/>
              <w:rPr>
                <w:sz w:val="20"/>
                <w:szCs w:val="20"/>
                <w:color w:val="auto"/>
              </w:rPr>
            </w:pPr>
            <w:r>
              <w:rPr>
                <w:rFonts w:ascii="Arial" w:cs="Arial" w:eastAsia="Arial" w:hAnsi="Arial"/>
                <w:sz w:val="18"/>
                <w:szCs w:val="18"/>
                <w:color w:val="auto"/>
              </w:rPr>
              <w:t>FDIC assessments and other</w:t>
            </w:r>
          </w:p>
        </w:tc>
        <w:tc>
          <w:tcPr>
            <w:tcW w:w="16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70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6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F0FFFF"/>
          </w:tcPr>
          <w:p>
            <w:pPr>
              <w:ind w:left="180"/>
              <w:spacing w:after="0"/>
              <w:rPr>
                <w:sz w:val="20"/>
                <w:szCs w:val="20"/>
                <w:color w:val="auto"/>
              </w:rPr>
            </w:pPr>
            <w:r>
              <w:rPr>
                <w:rFonts w:ascii="Arial" w:cs="Arial" w:eastAsia="Arial" w:hAnsi="Arial"/>
                <w:sz w:val="18"/>
                <w:szCs w:val="18"/>
                <w:color w:val="auto"/>
              </w:rPr>
              <w:t>regulatory charges</w:t>
            </w:r>
          </w:p>
        </w:tc>
        <w:tc>
          <w:tcPr>
            <w:tcW w:w="160" w:type="dxa"/>
            <w:vAlign w:val="bottom"/>
            <w:shd w:val="clear" w:color="auto" w:fill="F0FFFF"/>
          </w:tcPr>
          <w:p>
            <w:pPr>
              <w:spacing w:after="0"/>
              <w:rPr>
                <w:sz w:val="20"/>
                <w:szCs w:val="20"/>
                <w:color w:val="auto"/>
              </w:rPr>
            </w:pPr>
          </w:p>
        </w:tc>
        <w:tc>
          <w:tcPr>
            <w:tcW w:w="7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1,425</w:t>
            </w:r>
          </w:p>
        </w:tc>
        <w:tc>
          <w:tcPr>
            <w:tcW w:w="14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9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2,505</w:t>
            </w:r>
          </w:p>
        </w:tc>
        <w:tc>
          <w:tcPr>
            <w:tcW w:w="120" w:type="dxa"/>
            <w:vAlign w:val="bottom"/>
            <w:shd w:val="clear" w:color="auto" w:fill="F0FFFF"/>
          </w:tcPr>
          <w:p>
            <w:pPr>
              <w:spacing w:after="0"/>
              <w:rPr>
                <w:sz w:val="20"/>
                <w:szCs w:val="20"/>
                <w:color w:val="auto"/>
              </w:rPr>
            </w:pPr>
          </w:p>
        </w:tc>
        <w:tc>
          <w:tcPr>
            <w:tcW w:w="10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(1,080)</w:t>
            </w: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(43)</w:t>
            </w:r>
          </w:p>
        </w:tc>
        <w:tc>
          <w:tcPr>
            <w:tcW w:w="8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9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2,778</w:t>
            </w:r>
          </w:p>
        </w:tc>
        <w:tc>
          <w:tcPr>
            <w:tcW w:w="240" w:type="dxa"/>
            <w:vAlign w:val="bottom"/>
            <w:shd w:val="clear" w:color="auto" w:fill="F0FFFF"/>
          </w:tcPr>
          <w:p>
            <w:pPr>
              <w:spacing w:after="0"/>
              <w:rPr>
                <w:sz w:val="20"/>
                <w:szCs w:val="20"/>
                <w:color w:val="auto"/>
              </w:rPr>
            </w:pPr>
          </w:p>
        </w:tc>
        <w:tc>
          <w:tcPr>
            <w:tcW w:w="8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5,010</w:t>
            </w:r>
          </w:p>
        </w:tc>
        <w:tc>
          <w:tcPr>
            <w:tcW w:w="120" w:type="dxa"/>
            <w:vAlign w:val="bottom"/>
            <w:shd w:val="clear" w:color="auto" w:fill="F0FFFF"/>
          </w:tcPr>
          <w:p>
            <w:pPr>
              <w:spacing w:after="0"/>
              <w:rPr>
                <w:sz w:val="20"/>
                <w:szCs w:val="20"/>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(2,232)</w:t>
            </w:r>
          </w:p>
        </w:tc>
        <w:tc>
          <w:tcPr>
            <w:tcW w:w="10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42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748</w:t>
            </w:r>
          </w:p>
        </w:tc>
        <w:tc>
          <w:tcPr>
            <w:tcW w:w="2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1,196</w:t>
            </w:r>
          </w:p>
        </w:tc>
        <w:tc>
          <w:tcPr>
            <w:tcW w:w="1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(448)</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2420" w:type="dxa"/>
            <w:vAlign w:val="bottom"/>
            <w:shd w:val="clear" w:color="auto" w:fill="F0FFFF"/>
          </w:tcPr>
          <w:p>
            <w:pPr>
              <w:ind w:left="6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F0FFFF"/>
          </w:tcPr>
          <w:p>
            <w:pPr>
              <w:spacing w:after="0"/>
              <w:rPr>
                <w:sz w:val="19"/>
                <w:szCs w:val="19"/>
                <w:color w:val="auto"/>
              </w:rPr>
            </w:pPr>
          </w:p>
        </w:tc>
        <w:tc>
          <w:tcPr>
            <w:tcW w:w="7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3,943</w:t>
            </w:r>
          </w:p>
        </w:tc>
        <w:tc>
          <w:tcPr>
            <w:tcW w:w="14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9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4,595</w:t>
            </w:r>
          </w:p>
        </w:tc>
        <w:tc>
          <w:tcPr>
            <w:tcW w:w="120" w:type="dxa"/>
            <w:vAlign w:val="bottom"/>
            <w:shd w:val="clear" w:color="auto" w:fill="F0FFFF"/>
          </w:tcPr>
          <w:p>
            <w:pPr>
              <w:spacing w:after="0"/>
              <w:rPr>
                <w:sz w:val="19"/>
                <w:szCs w:val="19"/>
                <w:color w:val="auto"/>
              </w:rPr>
            </w:pPr>
          </w:p>
        </w:tc>
        <w:tc>
          <w:tcPr>
            <w:tcW w:w="10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(652)</w:t>
            </w: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9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7,295</w:t>
            </w:r>
          </w:p>
        </w:tc>
        <w:tc>
          <w:tcPr>
            <w:tcW w:w="240" w:type="dxa"/>
            <w:vAlign w:val="bottom"/>
            <w:shd w:val="clear" w:color="auto" w:fill="F0FFFF"/>
          </w:tcPr>
          <w:p>
            <w:pPr>
              <w:spacing w:after="0"/>
              <w:rPr>
                <w:sz w:val="19"/>
                <w:szCs w:val="19"/>
                <w:color w:val="auto"/>
              </w:rPr>
            </w:pPr>
          </w:p>
        </w:tc>
        <w:tc>
          <w:tcPr>
            <w:tcW w:w="8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8,650</w:t>
            </w:r>
          </w:p>
        </w:tc>
        <w:tc>
          <w:tcPr>
            <w:tcW w:w="120" w:type="dxa"/>
            <w:vAlign w:val="bottom"/>
            <w:shd w:val="clear" w:color="auto" w:fill="F0FFFF"/>
          </w:tcPr>
          <w:p>
            <w:pPr>
              <w:spacing w:after="0"/>
              <w:rPr>
                <w:sz w:val="19"/>
                <w:szCs w:val="19"/>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(1,355)</w:t>
            </w:r>
          </w:p>
        </w:tc>
        <w:tc>
          <w:tcPr>
            <w:tcW w:w="10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2"/>
        </w:trPr>
        <w:tc>
          <w:tcPr>
            <w:tcW w:w="2420" w:type="dxa"/>
            <w:vAlign w:val="bottom"/>
            <w:tcBorders>
              <w:top w:val="single" w:sz="8" w:color="F0FFFF"/>
            </w:tcBorders>
          </w:tcPr>
          <w:p>
            <w:pPr>
              <w:ind w:left="340"/>
              <w:spacing w:after="0" w:line="201" w:lineRule="exact"/>
              <w:rPr>
                <w:sz w:val="20"/>
                <w:szCs w:val="20"/>
                <w:color w:val="auto"/>
              </w:rPr>
            </w:pPr>
            <w:r>
              <w:rPr>
                <w:rFonts w:ascii="Arial" w:cs="Arial" w:eastAsia="Arial" w:hAnsi="Arial"/>
                <w:sz w:val="18"/>
                <w:szCs w:val="18"/>
                <w:color w:val="auto"/>
                <w:w w:val="98"/>
              </w:rPr>
              <w:t>Total excluding foreclosed</w:t>
            </w: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4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Borders>
              <w:top w:val="single" w:sz="8" w:color="F0FFFF"/>
            </w:tcBorders>
          </w:tcPr>
          <w:p>
            <w:pPr>
              <w:spacing w:after="0"/>
              <w:rPr>
                <w:sz w:val="17"/>
                <w:szCs w:val="17"/>
                <w:color w:val="auto"/>
              </w:rPr>
            </w:pPr>
          </w:p>
        </w:tc>
        <w:tc>
          <w:tcPr>
            <w:tcW w:w="900" w:type="dxa"/>
            <w:vAlign w:val="bottom"/>
            <w:tcBorders>
              <w:top w:val="single" w:sz="8" w:color="F0FFFF"/>
            </w:tcBorders>
          </w:tcPr>
          <w:p>
            <w:pPr>
              <w:spacing w:after="0"/>
              <w:rPr>
                <w:sz w:val="17"/>
                <w:szCs w:val="17"/>
                <w:color w:val="auto"/>
              </w:rPr>
            </w:pPr>
          </w:p>
        </w:tc>
        <w:tc>
          <w:tcPr>
            <w:tcW w:w="14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F0FF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Borders>
              <w:top w:val="single" w:sz="8" w:color="F0FF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Borders>
              <w:top w:val="single" w:sz="8" w:color="F0FFFF"/>
            </w:tcBorders>
          </w:tcPr>
          <w:p>
            <w:pPr>
              <w:spacing w:after="0"/>
              <w:rPr>
                <w:sz w:val="17"/>
                <w:szCs w:val="17"/>
                <w:color w:val="auto"/>
              </w:rPr>
            </w:pPr>
          </w:p>
        </w:tc>
        <w:tc>
          <w:tcPr>
            <w:tcW w:w="92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500"/>
              <w:spacing w:after="0"/>
              <w:rPr>
                <w:sz w:val="20"/>
                <w:szCs w:val="20"/>
                <w:color w:val="auto"/>
              </w:rPr>
            </w:pPr>
            <w:r>
              <w:rPr>
                <w:rFonts w:ascii="Arial" w:cs="Arial" w:eastAsia="Arial" w:hAnsi="Arial"/>
                <w:sz w:val="18"/>
                <w:szCs w:val="18"/>
                <w:color w:val="auto"/>
              </w:rPr>
              <w:t>property expenses</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40,430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43,672</w:t>
            </w:r>
          </w:p>
        </w:tc>
        <w:tc>
          <w:tcPr>
            <w:tcW w:w="1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(3,242)</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79,364</w:t>
            </w: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85,109</w:t>
            </w: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(5,745)</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2420" w:type="dxa"/>
            <w:vAlign w:val="bottom"/>
            <w:shd w:val="clear" w:color="auto" w:fill="F0FFFF"/>
          </w:tcPr>
          <w:p>
            <w:pPr>
              <w:ind w:left="60"/>
              <w:spacing w:after="0" w:line="201" w:lineRule="exact"/>
              <w:rPr>
                <w:sz w:val="20"/>
                <w:szCs w:val="20"/>
                <w:color w:val="auto"/>
              </w:rPr>
            </w:pPr>
            <w:r>
              <w:rPr>
                <w:rFonts w:ascii="Arial" w:cs="Arial" w:eastAsia="Arial" w:hAnsi="Arial"/>
                <w:sz w:val="18"/>
                <w:szCs w:val="18"/>
                <w:color w:val="auto"/>
              </w:rPr>
              <w:t>Net losses on sales of</w:t>
            </w:r>
          </w:p>
        </w:tc>
        <w:tc>
          <w:tcPr>
            <w:tcW w:w="16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70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6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F0FFFF"/>
          </w:tcPr>
          <w:p>
            <w:pPr>
              <w:ind w:left="180"/>
              <w:spacing w:after="0"/>
              <w:rPr>
                <w:sz w:val="20"/>
                <w:szCs w:val="20"/>
                <w:color w:val="auto"/>
              </w:rPr>
            </w:pPr>
            <w:r>
              <w:rPr>
                <w:rFonts w:ascii="Arial" w:cs="Arial" w:eastAsia="Arial" w:hAnsi="Arial"/>
                <w:sz w:val="18"/>
                <w:szCs w:val="18"/>
                <w:color w:val="auto"/>
              </w:rPr>
              <w:t>foreclosed properties</w:t>
            </w:r>
          </w:p>
        </w:tc>
        <w:tc>
          <w:tcPr>
            <w:tcW w:w="160" w:type="dxa"/>
            <w:vAlign w:val="bottom"/>
            <w:shd w:val="clear" w:color="auto" w:fill="F0FFFF"/>
          </w:tcPr>
          <w:p>
            <w:pPr>
              <w:spacing w:after="0"/>
              <w:rPr>
                <w:sz w:val="20"/>
                <w:szCs w:val="20"/>
                <w:color w:val="auto"/>
              </w:rPr>
            </w:pPr>
          </w:p>
        </w:tc>
        <w:tc>
          <w:tcPr>
            <w:tcW w:w="92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94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2,945</w:t>
            </w:r>
          </w:p>
        </w:tc>
        <w:tc>
          <w:tcPr>
            <w:tcW w:w="120" w:type="dxa"/>
            <w:vAlign w:val="bottom"/>
            <w:shd w:val="clear" w:color="auto" w:fill="F0FFFF"/>
          </w:tcPr>
          <w:p>
            <w:pPr>
              <w:spacing w:after="0"/>
              <w:rPr>
                <w:sz w:val="20"/>
                <w:szCs w:val="20"/>
                <w:color w:val="auto"/>
              </w:rPr>
            </w:pPr>
          </w:p>
        </w:tc>
        <w:tc>
          <w:tcPr>
            <w:tcW w:w="10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(3,368)</w:t>
            </w:r>
          </w:p>
        </w:tc>
        <w:tc>
          <w:tcPr>
            <w:tcW w:w="9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94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(944)</w:t>
            </w:r>
          </w:p>
        </w:tc>
        <w:tc>
          <w:tcPr>
            <w:tcW w:w="240" w:type="dxa"/>
            <w:vAlign w:val="bottom"/>
            <w:shd w:val="clear" w:color="auto" w:fill="F0FFFF"/>
          </w:tcPr>
          <w:p>
            <w:pPr>
              <w:spacing w:after="0"/>
              <w:rPr>
                <w:sz w:val="20"/>
                <w:szCs w:val="20"/>
                <w:color w:val="auto"/>
              </w:rPr>
            </w:pPr>
          </w:p>
        </w:tc>
        <w:tc>
          <w:tcPr>
            <w:tcW w:w="8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3,050</w:t>
            </w:r>
          </w:p>
        </w:tc>
        <w:tc>
          <w:tcPr>
            <w:tcW w:w="120" w:type="dxa"/>
            <w:vAlign w:val="bottom"/>
            <w:shd w:val="clear" w:color="auto" w:fill="F0FFFF"/>
          </w:tcPr>
          <w:p>
            <w:pPr>
              <w:spacing w:after="0"/>
              <w:rPr>
                <w:sz w:val="20"/>
                <w:szCs w:val="20"/>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(3,994)</w:t>
            </w:r>
          </w:p>
        </w:tc>
        <w:tc>
          <w:tcPr>
            <w:tcW w:w="9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420" w:type="dxa"/>
            <w:vAlign w:val="bottom"/>
          </w:tcPr>
          <w:p>
            <w:pPr>
              <w:ind w:left="60"/>
              <w:spacing w:after="0" w:line="201" w:lineRule="exact"/>
              <w:rPr>
                <w:sz w:val="20"/>
                <w:szCs w:val="20"/>
                <w:color w:val="auto"/>
              </w:rPr>
            </w:pPr>
            <w:r>
              <w:rPr>
                <w:rFonts w:ascii="Arial" w:cs="Arial" w:eastAsia="Arial" w:hAnsi="Arial"/>
                <w:sz w:val="18"/>
                <w:szCs w:val="18"/>
                <w:color w:val="auto"/>
              </w:rPr>
              <w:t>Foreclosed property write</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180"/>
              <w:spacing w:after="0"/>
              <w:rPr>
                <w:sz w:val="20"/>
                <w:szCs w:val="20"/>
                <w:color w:val="auto"/>
              </w:rPr>
            </w:pPr>
            <w:r>
              <w:rPr>
                <w:rFonts w:ascii="Arial" w:cs="Arial" w:eastAsia="Arial" w:hAnsi="Arial"/>
                <w:sz w:val="18"/>
                <w:szCs w:val="18"/>
                <w:color w:val="auto"/>
              </w:rPr>
              <w:t>downs</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1,369</w:t>
            </w:r>
          </w:p>
        </w:tc>
        <w:tc>
          <w:tcPr>
            <w:tcW w:w="1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(1,064)</w:t>
            </w: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582</w:t>
            </w:r>
          </w:p>
        </w:tc>
        <w:tc>
          <w:tcPr>
            <w:tcW w:w="24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2,410</w:t>
            </w:r>
          </w:p>
        </w:tc>
        <w:tc>
          <w:tcPr>
            <w:tcW w:w="12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(1,828)</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420" w:type="dxa"/>
            <w:vAlign w:val="bottom"/>
            <w:shd w:val="clear" w:color="auto" w:fill="F0FFFF"/>
          </w:tcPr>
          <w:p>
            <w:pPr>
              <w:ind w:left="60"/>
              <w:spacing w:after="0" w:line="201" w:lineRule="exact"/>
              <w:rPr>
                <w:sz w:val="20"/>
                <w:szCs w:val="20"/>
                <w:color w:val="auto"/>
              </w:rPr>
            </w:pPr>
            <w:r>
              <w:rPr>
                <w:rFonts w:ascii="Arial" w:cs="Arial" w:eastAsia="Arial" w:hAnsi="Arial"/>
                <w:sz w:val="18"/>
                <w:szCs w:val="18"/>
                <w:color w:val="auto"/>
              </w:rPr>
              <w:t>Foreclosed property</w:t>
            </w:r>
          </w:p>
        </w:tc>
        <w:tc>
          <w:tcPr>
            <w:tcW w:w="160" w:type="dxa"/>
            <w:vAlign w:val="bottom"/>
            <w:shd w:val="clear" w:color="auto" w:fill="F0FFFF"/>
          </w:tcPr>
          <w:p>
            <w:pPr>
              <w:spacing w:after="0"/>
              <w:rPr>
                <w:sz w:val="17"/>
                <w:szCs w:val="17"/>
                <w:color w:val="auto"/>
              </w:rPr>
            </w:pPr>
          </w:p>
        </w:tc>
        <w:tc>
          <w:tcPr>
            <w:tcW w:w="7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70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9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6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8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F0FFFF"/>
          </w:tcPr>
          <w:p>
            <w:pPr>
              <w:ind w:left="180"/>
              <w:spacing w:after="0"/>
              <w:rPr>
                <w:sz w:val="20"/>
                <w:szCs w:val="20"/>
                <w:color w:val="auto"/>
              </w:rPr>
            </w:pPr>
            <w:r>
              <w:rPr>
                <w:rFonts w:ascii="Arial" w:cs="Arial" w:eastAsia="Arial" w:hAnsi="Arial"/>
                <w:sz w:val="18"/>
                <w:szCs w:val="18"/>
                <w:color w:val="auto"/>
              </w:rPr>
              <w:t>maintenance expenses</w:t>
            </w:r>
          </w:p>
        </w:tc>
        <w:tc>
          <w:tcPr>
            <w:tcW w:w="160" w:type="dxa"/>
            <w:vAlign w:val="bottom"/>
            <w:shd w:val="clear" w:color="auto" w:fill="F0FFFF"/>
          </w:tcPr>
          <w:p>
            <w:pPr>
              <w:spacing w:after="0"/>
              <w:rPr>
                <w:sz w:val="20"/>
                <w:szCs w:val="20"/>
                <w:color w:val="auto"/>
              </w:rPr>
            </w:pPr>
          </w:p>
        </w:tc>
        <w:tc>
          <w:tcPr>
            <w:tcW w:w="7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220</w:t>
            </w:r>
          </w:p>
        </w:tc>
        <w:tc>
          <w:tcPr>
            <w:tcW w:w="14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837</w:t>
            </w:r>
          </w:p>
        </w:tc>
        <w:tc>
          <w:tcPr>
            <w:tcW w:w="24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0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(617)</w:t>
            </w: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(74)</w:t>
            </w:r>
          </w:p>
        </w:tc>
        <w:tc>
          <w:tcPr>
            <w:tcW w:w="80" w:type="dxa"/>
            <w:vAlign w:val="bottom"/>
            <w:shd w:val="clear" w:color="auto" w:fill="F0FFFF"/>
          </w:tcPr>
          <w:p>
            <w:pPr>
              <w:spacing w:after="0"/>
              <w:rPr>
                <w:sz w:val="20"/>
                <w:szCs w:val="20"/>
                <w:color w:val="auto"/>
              </w:rPr>
            </w:pPr>
          </w:p>
        </w:tc>
        <w:tc>
          <w:tcPr>
            <w:tcW w:w="180" w:type="dxa"/>
            <w:vAlign w:val="bottom"/>
            <w:shd w:val="clear" w:color="auto" w:fill="F0FFFF"/>
          </w:tcPr>
          <w:p>
            <w:pPr>
              <w:spacing w:after="0"/>
              <w:rPr>
                <w:sz w:val="20"/>
                <w:szCs w:val="20"/>
                <w:color w:val="auto"/>
              </w:rPr>
            </w:pPr>
          </w:p>
        </w:tc>
        <w:tc>
          <w:tcPr>
            <w:tcW w:w="9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580</w:t>
            </w:r>
          </w:p>
        </w:tc>
        <w:tc>
          <w:tcPr>
            <w:tcW w:w="240" w:type="dxa"/>
            <w:vAlign w:val="bottom"/>
            <w:shd w:val="clear" w:color="auto" w:fill="F0FFFF"/>
          </w:tcPr>
          <w:p>
            <w:pPr>
              <w:spacing w:after="0"/>
              <w:rPr>
                <w:sz w:val="20"/>
                <w:szCs w:val="20"/>
                <w:color w:val="auto"/>
              </w:rPr>
            </w:pPr>
          </w:p>
        </w:tc>
        <w:tc>
          <w:tcPr>
            <w:tcW w:w="8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F0FFFF"/>
          </w:tcPr>
          <w:p>
            <w:pPr>
              <w:spacing w:after="0"/>
              <w:rPr>
                <w:sz w:val="20"/>
                <w:szCs w:val="20"/>
                <w:color w:val="auto"/>
              </w:rPr>
            </w:pPr>
          </w:p>
        </w:tc>
        <w:tc>
          <w:tcPr>
            <w:tcW w:w="10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(1,444)</w:t>
            </w:r>
          </w:p>
        </w:tc>
        <w:tc>
          <w:tcPr>
            <w:tcW w:w="10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242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900" w:type="dxa"/>
            <w:vAlign w:val="bottom"/>
            <w:shd w:val="clear" w:color="auto" w:fill="F0FFFF"/>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9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2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40,532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48,823</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(8,291)</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79,582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92,593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(13,011)</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for the second quarter of 2014 totaled $40.5 million, down $8.29 million, or 17%, from the second quarter of 2013. The decrease mostly reflects lower foreclosed property expenses, losses and write downs associated with the declining volume of foreclosed properties following the classified asset sales in the second quarter of 2013 and lower FDIC assessments. For the six months ended June 30, 2014, operating expenses totaled $79.6 million, a decrease of $13.0 million, or 14%, from the same period in 2013. Excluding foreclosed property costs, total operating expenses were $40.4 million and $79.4 million, respectively, for the three and six months ended June 30, 2014, down $3.24 million, or 7%, from the second quarter of 2013, and down $5.75 million, or 7%, from the first six months of 2013.</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Salaries and employee benefits for the second quarter of 2014 were $24.3 million, down $447,000, or 2%, from the same period of 2013. The decrease was mostly due to lower severance costs and mortgage incentives which were both higher in the second quarter of 2013. For the first six months of 2014, salaries and employee benefits of $48.7 million were up $357,000, or 1%, from the first six months of 2013. Headcount totaled 1,500 at June 30, 2014, unchanged from 2013.</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Communications and equipment expense of $3.04 million for the second quarter of 2014 was down $431,000, or 12%, from the second quarter of 2013. For the first six months of 2014, communications and equipment expense was down $238,000, or 4%, from a year ago. The decreases reflect lower software maintenance contract costs.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Occupancy expense of $3.26 million and $6.64 million, respectively, for the second quarter and first six months of 2014, was down $187,000, or 5%, and down $176,000, or 3%, respectively, compared to the same periods of 2013. The decrease was primarily related to lower depreciation, maintenance and utilities costs.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Advertising and public relations expense of $1.14 million, and $1.76 million, respectively, for the second quarter and first six months of 2014, was up $102,000, or 10%, and down $210,000, or 11%, respectively, compared to the same periods of 2013. The quarterly increase was due to refreshing brochures and other branded marketing items.</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Professional fees for the second quarter of 2014 of $2.17 million were down $327,000, or 13%, from the same period in 2013. For the six months ended June 30, 2014, professional fees of $3.60 million, were down $1.27 million, or 26%. The decrease was primarily due to lower legal fees and fewer consulting projects that are in process. Legal costs associated with the classified asset sales in 2013 resulted in higher expenses in the prior year.</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FDIC assessments and other regulatory charges of $1.42 million and $2.78 million, respectively, for the second quarter and first six months of 2014 were down $1.08 million and $2.23 million, respectively, from the same periods of 2013. The decreases reflect a lower deposit insurance assessment rate following the termination of our informal memorandum of understanding with the FDIC and the Georgia Department of Banking and Finance late in the fourth quarter of 2013.</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Other expense of $3.94 million for the second quarter of 2014 decreased $652,000, or 14%, from the second quarter of 2013. Year-to-date, other expense of $7.30 million decreased $1.36 million, or 16%, from the first six months of 2013. The second quarter of 2014 other expense includes one-time losses of $367,000 from the sale of a branch facility and $102,000 from the write-down of the balance of the FDIC loss share indemnification asset due to the expiration of the non single family loss-sharing agreement on the fifth anniversary of the acquisition of Southern Community Bank (“SCB”). The decrease from prior periods was primarily due to lower appraisal and lending support costs as well as lower ATM network provider costs.</w:t>
      </w:r>
    </w:p>
    <w:p>
      <w:pPr>
        <w:sectPr>
          <w:pgSz w:w="11900" w:h="16838" w:orient="portrait"/>
          <w:cols w:equalWidth="0" w:num="1">
            <w:col w:w="11420"/>
          </w:cols>
          <w:pgMar w:left="240" w:top="922" w:right="239" w:bottom="0" w:gutter="0" w:footer="0" w:header="0"/>
        </w:sectPr>
      </w:pPr>
    </w:p>
    <w:bookmarkStart w:id="52" w:name="page53"/>
    <w:bookmarkEnd w:id="52"/>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3" w:name="page54"/>
    <w:bookmarkEnd w:id="53"/>
    <w:p>
      <w:pPr>
        <w:jc w:val="both"/>
        <w:spacing w:after="0" w:line="272" w:lineRule="auto"/>
        <w:rPr>
          <w:sz w:val="20"/>
          <w:szCs w:val="20"/>
          <w:color w:val="auto"/>
        </w:rPr>
      </w:pPr>
      <w:r>
        <w:rPr>
          <w:rFonts w:ascii="Arial" w:cs="Arial" w:eastAsia="Arial" w:hAnsi="Arial"/>
          <w:sz w:val="17"/>
          <w:szCs w:val="17"/>
          <w:color w:val="auto"/>
        </w:rPr>
        <w:t>Net gains on sales of foreclosed property totaled $423,000 for the second quarter of 2014, compared to net losses on sale of $2.95 million for the second quarter of 2013. For the six months ended June 30, 2014, net gains on sales were $944,000, compared to net losses on sales of $3.05 million for the same period of the prior year. Net losses were elevated in 2013 due to the classified asset sales. Foreclosed property write-downs for the second quarter and first six months of 2014 were $305,000 and $582,000, respectively, compared to $1.37 million and $2.41 million, respectively, a year ago. Foreclosed property maintenance expenses include legal fees, property taxes, marketing costs, utility services, maintenance and repair charges and totaled $220,000 and $580,000, respectively, for the second quarter and first six months of 2014 compared with $837,000 and $2.02 million, respectively, a year ago. These costs continue to decline with the decrease in the number of foreclosed properties held by United.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tax expense for the second quarter and first six months of 2014 was $9.63 million and $18.7 million, respectively, as compared with income tax benefit of $257 million and $256 million, respectively, for the same periods of 2013. The effective tax rate (as a percentage of pre-tax earnings) for the three and six months ended June 30, 2014 was 37%. The effective tax rate for the second quarter and first six months of 2013 was not meaningful due to the reversal of the full valuation allowance on United’s deferred tax asset. For the remainder of 2014, United expects to record income tax expense at an effective tax rate of approximately 37%.</w:t>
      </w:r>
    </w:p>
    <w:p>
      <w:pPr>
        <w:spacing w:after="0" w:line="21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Deferred tax assets and liabilities are recognized for the future tax consequences attributable to differences between the financial statement carrying amounts and their respective tax bases including operating losses and tax credit carryforwards. Net deferred tax assets (deferred tax assets net of deferred tax liabilities and valuation allowance) are reported in the consolidated balance sheet as a component of total assets.</w:t>
      </w:r>
    </w:p>
    <w:p>
      <w:pPr>
        <w:spacing w:after="0" w:line="20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Accounting Standards Codification Topic 740, </w:t>
      </w:r>
      <w:r>
        <w:rPr>
          <w:rFonts w:ascii="Arial" w:cs="Arial" w:eastAsia="Arial" w:hAnsi="Arial"/>
          <w:sz w:val="17"/>
          <w:szCs w:val="17"/>
          <w:i w:val="1"/>
          <w:iCs w:val="1"/>
          <w:color w:val="auto"/>
        </w:rPr>
        <w:t>Income Taxes</w:t>
      </w:r>
      <w:r>
        <w:rPr>
          <w:rFonts w:ascii="Arial" w:cs="Arial" w:eastAsia="Arial" w:hAnsi="Arial"/>
          <w:sz w:val="17"/>
          <w:szCs w:val="17"/>
          <w:color w:val="auto"/>
        </w:rPr>
        <w:t>, requires that companies assess whether a valuation allowance should be established against their deferred tax assets based on the consideration of all available evidence using a “more likely than not” standard. The determination of whether a valuation allowance for deferred tax assets is appropriate is subject to considerable judgment and requires an evaluation of all positive and negative evidence with more weight given to evidence that can be objectively verified. Each quarter, management considers both positive and negative evidence and analyzes changes in near-term market conditions as well as other factors which may impact future operating results.</w:t>
      </w:r>
    </w:p>
    <w:p>
      <w:pPr>
        <w:spacing w:after="0" w:line="20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At June 30, 2014, United reported a net deferred tax asset of $233 million, net of a valuation allowance of $4.10 million that related to specific state income tax credits that have short carryforward periods and therefore are expected to expire before they can be utilized. This compared to a deferred tax asset of $259 million, net of a valuation allowance of $4.10 million at December 31, 2013 and $272 million, net of a valuation allowance of $4.96 million at June 30, 2013.</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deferred tax asset valuation allowance was reversed in the second quarter of 2013 following the achievement of six consecutive quarters of profitability. The recent positive earnings results and improving credit measures provide an objective basis for a conclusion that profitability is sustainable and improving. In addition, the second quarter 2013 sale of classified assets improved United’s ability to project credit costs and forecast profitability going forward by removing the assets that were most likely to drive future credit losses. As a result of this discretionary distressed asset sale and continuing improvement in credit quality, United’s classified asset ratio (classified assets as a percentage of Tier 1 capital and the allowance for loan losses) improved to 23% at June 30, 2014 from 27% at both December 31, 2013 and June 30, 2013.</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Based on all evidence considered, as of June 30, 2014, management again concluded it was more likely than not that our net deferred tax asset would be realized. With continuous improvements in credit quality, quarterly earnings for the past ten quarters have closely followed management’s forecast for these periods, excluding the impact of the discretionary sales of classified assets in the second quarter 2013. The improvement in management’s ability to produce reliable forecasts, continuous and significant improvements in credit quality, and a sustained period of profitability were given appropriate weighting in our analysis, and such evidence was considered sufficient to overcome the weight of the negative evidence related to the significant operating losses in prior years.</w:t>
      </w:r>
    </w:p>
    <w:p>
      <w:pPr>
        <w:spacing w:after="0" w:line="22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to such positive evidence at June 30, 2014, United has also reduced the amount of credit risk inherent in its loan portfolio by reducing its concentration of construction loans and improving its overall loan portfolio diversification. These changes place United in a strong position to manage through the ongoing weakness in the economy. United also has a long record of positive earnings and accurate earnings forecasts prior to the recent economic downturn and is currently in a strong capital position. Effective in the first quarter of 2014, based on a rolling twelve quarters, United is no longer in a three-year cumulative loss position which had previously been considered a significant piece of negative evidence.</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Management expects to generate higher levels of future taxable income and believes this will allow for full utilization of United’s net operating loss carryforwards within five to seven years, which is well within the statutory carryforward periods. In determining whether management’s projections of future taxable income are reliable, management considered objective evidence supporting the forecast assumptions as well as recent experience demonstrating management’s ability to reasonably project future results of operations. Further, while the banking environment is expected to remain challenging due to economic and other uncertainties, management believes that it can confidently forecast future taxable income at sufficient levels over the future period of time that United has available to realize its June 30, 2014 deferred tax asset.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54" w:name="page55"/>
    <w:bookmarkEnd w:id="54"/>
    <w:p>
      <w:pPr>
        <w:jc w:val="both"/>
        <w:spacing w:after="0" w:line="264" w:lineRule="auto"/>
        <w:rPr>
          <w:sz w:val="20"/>
          <w:szCs w:val="20"/>
          <w:color w:val="auto"/>
        </w:rPr>
      </w:pPr>
      <w:r>
        <w:rPr>
          <w:rFonts w:ascii="Arial" w:cs="Arial" w:eastAsia="Arial" w:hAnsi="Arial"/>
          <w:sz w:val="18"/>
          <w:szCs w:val="18"/>
          <w:color w:val="auto"/>
        </w:rPr>
        <w:t>Additional information regarding income taxes, including a reconciliation of the differences between the recorded income tax provision and the amount of income tax computed by applying the statutory federal income tax rate to income before income taxes, can be found in Note 17 to the consolidated financial statements filed with United’s Annual Report on Form 10-K for the year ended December 31,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Review</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assets at June 30, 2014, December 31, 2013 and June 30, 2013 were $7.35 billion, $7.43 billion and $7.16 billion, respectively. Average total assets for the second quarter of 2014 were $7.42 billion, up from $6.92 billion in the second quarter of 2013.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gridSpan w:val="2"/>
          </w:tcPr>
          <w:p>
            <w:pPr>
              <w:spacing w:after="0"/>
              <w:rPr>
                <w:sz w:val="20"/>
                <w:szCs w:val="20"/>
                <w:color w:val="auto"/>
              </w:rPr>
            </w:pPr>
            <w:r>
              <w:rPr>
                <w:rFonts w:ascii="Arial" w:cs="Arial" w:eastAsia="Arial" w:hAnsi="Arial"/>
                <w:sz w:val="18"/>
                <w:szCs w:val="18"/>
                <w:color w:val="auto"/>
              </w:rPr>
              <w:t>The following table presents a summary of the loan portfolio.</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760" w:type="dxa"/>
            <w:vAlign w:val="bottom"/>
            <w:gridSpan w:val="2"/>
          </w:tcPr>
          <w:p>
            <w:pPr>
              <w:ind w:left="580"/>
              <w:spacing w:after="0"/>
              <w:rPr>
                <w:sz w:val="20"/>
                <w:szCs w:val="20"/>
                <w:color w:val="auto"/>
              </w:rPr>
            </w:pPr>
            <w:r>
              <w:rPr>
                <w:rFonts w:ascii="Arial" w:cs="Arial" w:eastAsia="Arial" w:hAnsi="Arial"/>
                <w:sz w:val="18"/>
                <w:szCs w:val="18"/>
                <w:b w:val="1"/>
                <w:bCs w:val="1"/>
                <w:color w:val="auto"/>
                <w:w w:val="90"/>
              </w:rPr>
              <w:t>Table 7 - Loans Outstanding (excludes loans covered by loss share agreement)</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760" w:type="dxa"/>
            <w:vAlign w:val="bottom"/>
            <w:gridSpan w:val="2"/>
          </w:tcPr>
          <w:p>
            <w:pPr>
              <w:ind w:left="58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0"/>
                <w:szCs w:val="20"/>
                <w:color w:val="auto"/>
              </w:rPr>
            </w:pPr>
          </w:p>
        </w:tc>
        <w:tc>
          <w:tcPr>
            <w:tcW w:w="1140" w:type="dxa"/>
            <w:vAlign w:val="bottom"/>
            <w:gridSpan w:val="2"/>
            <w:vMerge w:val="restart"/>
          </w:tcPr>
          <w:p>
            <w:pPr>
              <w:jc w:val="right"/>
              <w:ind w:right="440"/>
              <w:spacing w:after="0"/>
              <w:rPr>
                <w:sz w:val="20"/>
                <w:szCs w:val="20"/>
                <w:color w:val="auto"/>
              </w:rPr>
            </w:pPr>
            <w:r>
              <w:rPr>
                <w:rFonts w:ascii="Arial" w:cs="Arial" w:eastAsia="Arial" w:hAnsi="Arial"/>
                <w:sz w:val="18"/>
                <w:szCs w:val="18"/>
                <w:b w:val="1"/>
                <w:bCs w:val="1"/>
                <w:color w:val="auto"/>
                <w:w w:val="94"/>
              </w:rPr>
              <w:t>June 30,</w:t>
            </w:r>
          </w:p>
        </w:tc>
        <w:tc>
          <w:tcPr>
            <w:tcW w:w="60" w:type="dxa"/>
            <w:vAlign w:val="bottom"/>
          </w:tcPr>
          <w:p>
            <w:pPr>
              <w:spacing w:after="0"/>
              <w:rPr>
                <w:sz w:val="20"/>
                <w:szCs w:val="20"/>
                <w:color w:val="auto"/>
              </w:rPr>
            </w:pPr>
          </w:p>
        </w:tc>
        <w:tc>
          <w:tcPr>
            <w:tcW w:w="1340" w:type="dxa"/>
            <w:vAlign w:val="bottom"/>
            <w:gridSpan w:val="3"/>
            <w:vMerge w:val="restart"/>
          </w:tcPr>
          <w:p>
            <w:pPr>
              <w:jc w:val="right"/>
              <w:ind w:right="260"/>
              <w:spacing w:after="0"/>
              <w:rPr>
                <w:sz w:val="20"/>
                <w:szCs w:val="20"/>
                <w:color w:val="auto"/>
              </w:rPr>
            </w:pPr>
            <w:r>
              <w:rPr>
                <w:rFonts w:ascii="Arial" w:cs="Arial" w:eastAsia="Arial" w:hAnsi="Arial"/>
                <w:sz w:val="18"/>
                <w:szCs w:val="18"/>
                <w:b w:val="1"/>
                <w:bCs w:val="1"/>
                <w:color w:val="auto"/>
                <w:w w:val="90"/>
              </w:rPr>
              <w:t>December 31,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vMerge w:val="restart"/>
          </w:tcPr>
          <w:p>
            <w:pPr>
              <w:jc w:val="right"/>
              <w:ind w:right="440"/>
              <w:spacing w:after="0"/>
              <w:rPr>
                <w:sz w:val="20"/>
                <w:szCs w:val="20"/>
                <w:color w:val="auto"/>
              </w:rPr>
            </w:pPr>
            <w:r>
              <w:rPr>
                <w:rFonts w:ascii="Arial" w:cs="Arial" w:eastAsia="Arial" w:hAnsi="Arial"/>
                <w:sz w:val="18"/>
                <w:szCs w:val="18"/>
                <w:b w:val="1"/>
                <w:bCs w:val="1"/>
                <w:color w:val="auto"/>
                <w:w w:val="97"/>
              </w:rPr>
              <w:t>June 30,</w:t>
            </w: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By Loan Type</w:t>
            </w:r>
          </w:p>
        </w:tc>
        <w:tc>
          <w:tcPr>
            <w:tcW w:w="16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Owner occupied commercial real estate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1,163,327</w:t>
            </w:r>
          </w:p>
        </w:tc>
        <w:tc>
          <w:tcPr>
            <w:tcW w:w="200" w:type="dxa"/>
            <w:vAlign w:val="bottom"/>
          </w:tcPr>
          <w:p>
            <w:pPr>
              <w:spacing w:after="0"/>
              <w:rPr>
                <w:sz w:val="18"/>
                <w:szCs w:val="18"/>
                <w:color w:val="auto"/>
              </w:rPr>
            </w:pPr>
          </w:p>
        </w:tc>
        <w:tc>
          <w:tcPr>
            <w:tcW w:w="3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1,133,543</w:t>
            </w:r>
          </w:p>
        </w:tc>
        <w:tc>
          <w:tcPr>
            <w:tcW w:w="2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1,119,016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shd w:val="clear" w:color="auto" w:fill="F0FFFF"/>
          </w:tcPr>
          <w:p>
            <w:pPr>
              <w:spacing w:after="0"/>
              <w:rPr>
                <w:sz w:val="20"/>
                <w:szCs w:val="20"/>
                <w:color w:val="auto"/>
              </w:rPr>
            </w:pPr>
            <w:r>
              <w:rPr>
                <w:rFonts w:ascii="Arial" w:cs="Arial" w:eastAsia="Arial" w:hAnsi="Arial"/>
                <w:sz w:val="18"/>
                <w:szCs w:val="18"/>
                <w:color w:val="auto"/>
              </w:rPr>
              <w:t>Income producing commercial real estate</w:t>
            </w:r>
          </w:p>
        </w:tc>
        <w:tc>
          <w:tcPr>
            <w:tcW w:w="16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598,318</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623,167</w:t>
            </w:r>
          </w:p>
        </w:tc>
        <w:tc>
          <w:tcPr>
            <w:tcW w:w="2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629,129</w:t>
            </w:r>
          </w:p>
        </w:tc>
        <w:tc>
          <w:tcPr>
            <w:tcW w:w="1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554,089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471,961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436,988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18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Commercial construction</w:t>
            </w:r>
          </w:p>
        </w:tc>
        <w:tc>
          <w:tcPr>
            <w:tcW w:w="160" w:type="dxa"/>
            <w:vAlign w:val="bottom"/>
            <w:tcBorders>
              <w:bottom w:val="single" w:sz="8" w:color="auto"/>
            </w:tcBorders>
            <w:shd w:val="clear" w:color="auto" w:fill="F0FFFF"/>
          </w:tcPr>
          <w:p>
            <w:pPr>
              <w:spacing w:after="0"/>
              <w:rPr>
                <w:sz w:val="19"/>
                <w:szCs w:val="19"/>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159,755</w:t>
            </w:r>
          </w:p>
        </w:tc>
        <w:tc>
          <w:tcPr>
            <w:tcW w:w="200" w:type="dxa"/>
            <w:vAlign w:val="bottom"/>
            <w:tcBorders>
              <w:bottom w:val="single" w:sz="8" w:color="F0FFFF"/>
            </w:tcBorders>
            <w:shd w:val="clear" w:color="auto" w:fill="F0FFFF"/>
          </w:tcPr>
          <w:p>
            <w:pPr>
              <w:spacing w:after="0"/>
              <w:rPr>
                <w:sz w:val="19"/>
                <w:szCs w:val="19"/>
                <w:color w:val="auto"/>
              </w:rPr>
            </w:pPr>
          </w:p>
        </w:tc>
        <w:tc>
          <w:tcPr>
            <w:tcW w:w="6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bottom w:val="single" w:sz="8" w:color="auto"/>
            </w:tcBorders>
            <w:shd w:val="clear" w:color="auto" w:fill="F0FFFF"/>
          </w:tcPr>
          <w:p>
            <w:pPr>
              <w:spacing w:after="0"/>
              <w:rPr>
                <w:sz w:val="19"/>
                <w:szCs w:val="19"/>
                <w:color w:val="auto"/>
              </w:rPr>
            </w:pPr>
          </w:p>
        </w:tc>
        <w:tc>
          <w:tcPr>
            <w:tcW w:w="8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148,903</w:t>
            </w:r>
          </w:p>
        </w:tc>
        <w:tc>
          <w:tcPr>
            <w:tcW w:w="220" w:type="dxa"/>
            <w:vAlign w:val="bottom"/>
            <w:tcBorders>
              <w:bottom w:val="single" w:sz="8" w:color="F0FFFF"/>
            </w:tcBorders>
            <w:shd w:val="clear" w:color="auto" w:fill="F0FFFF"/>
          </w:tcPr>
          <w:p>
            <w:pPr>
              <w:spacing w:after="0"/>
              <w:rPr>
                <w:sz w:val="19"/>
                <w:szCs w:val="19"/>
                <w:color w:val="auto"/>
              </w:rPr>
            </w:pPr>
          </w:p>
        </w:tc>
        <w:tc>
          <w:tcPr>
            <w:tcW w:w="60" w:type="dxa"/>
            <w:vAlign w:val="bottom"/>
            <w:tcBorders>
              <w:bottom w:val="single" w:sz="8" w:color="F0FFFF"/>
            </w:tcBorders>
            <w:shd w:val="clear" w:color="auto" w:fill="F0FFFF"/>
          </w:tcPr>
          <w:p>
            <w:pPr>
              <w:spacing w:after="0"/>
              <w:rPr>
                <w:sz w:val="19"/>
                <w:szCs w:val="19"/>
                <w:color w:val="auto"/>
              </w:rPr>
            </w:pPr>
          </w:p>
        </w:tc>
        <w:tc>
          <w:tcPr>
            <w:tcW w:w="180" w:type="dxa"/>
            <w:vAlign w:val="bottom"/>
            <w:tcBorders>
              <w:bottom w:val="single" w:sz="8" w:color="auto"/>
            </w:tcBorders>
            <w:shd w:val="clear" w:color="auto" w:fill="F0FFFF"/>
          </w:tcPr>
          <w:p>
            <w:pPr>
              <w:spacing w:after="0"/>
              <w:rPr>
                <w:sz w:val="19"/>
                <w:szCs w:val="19"/>
                <w:color w:val="auto"/>
              </w:rPr>
            </w:pPr>
          </w:p>
        </w:tc>
        <w:tc>
          <w:tcPr>
            <w:tcW w:w="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132,562</w:t>
            </w:r>
          </w:p>
        </w:tc>
        <w:tc>
          <w:tcPr>
            <w:tcW w:w="18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tcPr>
          <w:p>
            <w:pPr>
              <w:ind w:left="480"/>
              <w:spacing w:after="0"/>
              <w:rPr>
                <w:sz w:val="20"/>
                <w:szCs w:val="20"/>
                <w:color w:val="auto"/>
              </w:rPr>
            </w:pPr>
            <w:r>
              <w:rPr>
                <w:rFonts w:ascii="Arial" w:cs="Arial" w:eastAsia="Arial" w:hAnsi="Arial"/>
                <w:sz w:val="18"/>
                <w:szCs w:val="18"/>
                <w:color w:val="auto"/>
              </w:rPr>
              <w:t>Total commercial</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2,475,489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2,377,574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2,317,695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shd w:val="clear" w:color="auto" w:fill="F0FFFF"/>
          </w:tcPr>
          <w:p>
            <w:pPr>
              <w:spacing w:after="0"/>
              <w:rPr>
                <w:sz w:val="20"/>
                <w:szCs w:val="20"/>
                <w:color w:val="auto"/>
              </w:rPr>
            </w:pPr>
            <w:r>
              <w:rPr>
                <w:rFonts w:ascii="Arial" w:cs="Arial" w:eastAsia="Arial" w:hAnsi="Arial"/>
                <w:sz w:val="18"/>
                <w:szCs w:val="18"/>
                <w:color w:val="auto"/>
              </w:rPr>
              <w:t>Residential mortgage</w:t>
            </w:r>
          </w:p>
        </w:tc>
        <w:tc>
          <w:tcPr>
            <w:tcW w:w="16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860,525</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875,077</w:t>
            </w:r>
          </w:p>
        </w:tc>
        <w:tc>
          <w:tcPr>
            <w:tcW w:w="2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876,608</w:t>
            </w:r>
          </w:p>
        </w:tc>
        <w:tc>
          <w:tcPr>
            <w:tcW w:w="1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Home equity lines of credit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451,435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440,887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401,951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shd w:val="clear" w:color="auto" w:fill="F0FFFF"/>
          </w:tcPr>
          <w:p>
            <w:pPr>
              <w:spacing w:after="0"/>
              <w:rPr>
                <w:sz w:val="20"/>
                <w:szCs w:val="20"/>
                <w:color w:val="auto"/>
              </w:rPr>
            </w:pPr>
            <w:r>
              <w:rPr>
                <w:rFonts w:ascii="Arial" w:cs="Arial" w:eastAsia="Arial" w:hAnsi="Arial"/>
                <w:sz w:val="18"/>
                <w:szCs w:val="18"/>
                <w:color w:val="auto"/>
              </w:rPr>
              <w:t>Residential construction</w:t>
            </w:r>
          </w:p>
        </w:tc>
        <w:tc>
          <w:tcPr>
            <w:tcW w:w="16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301,737</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328,579</w:t>
            </w:r>
          </w:p>
        </w:tc>
        <w:tc>
          <w:tcPr>
            <w:tcW w:w="2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331,681</w:t>
            </w:r>
          </w:p>
        </w:tc>
        <w:tc>
          <w:tcPr>
            <w:tcW w:w="1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Consumer installment</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105,160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111,045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109,223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18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Indirect auto</w:t>
            </w:r>
          </w:p>
        </w:tc>
        <w:tc>
          <w:tcPr>
            <w:tcW w:w="160" w:type="dxa"/>
            <w:vAlign w:val="bottom"/>
            <w:tcBorders>
              <w:bottom w:val="single" w:sz="8" w:color="auto"/>
            </w:tcBorders>
            <w:shd w:val="clear" w:color="auto" w:fill="F0FFFF"/>
          </w:tcPr>
          <w:p>
            <w:pPr>
              <w:spacing w:after="0"/>
              <w:rPr>
                <w:sz w:val="19"/>
                <w:szCs w:val="19"/>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215,939</w:t>
            </w:r>
          </w:p>
        </w:tc>
        <w:tc>
          <w:tcPr>
            <w:tcW w:w="200" w:type="dxa"/>
            <w:vAlign w:val="bottom"/>
            <w:tcBorders>
              <w:bottom w:val="single" w:sz="8" w:color="F0FFFF"/>
            </w:tcBorders>
            <w:shd w:val="clear" w:color="auto" w:fill="F0FFFF"/>
          </w:tcPr>
          <w:p>
            <w:pPr>
              <w:spacing w:after="0"/>
              <w:rPr>
                <w:sz w:val="19"/>
                <w:szCs w:val="19"/>
                <w:color w:val="auto"/>
              </w:rPr>
            </w:pPr>
          </w:p>
        </w:tc>
        <w:tc>
          <w:tcPr>
            <w:tcW w:w="6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bottom w:val="single" w:sz="8" w:color="auto"/>
            </w:tcBorders>
            <w:shd w:val="clear" w:color="auto" w:fill="F0FFFF"/>
          </w:tcPr>
          <w:p>
            <w:pPr>
              <w:spacing w:after="0"/>
              <w:rPr>
                <w:sz w:val="19"/>
                <w:szCs w:val="19"/>
                <w:color w:val="auto"/>
              </w:rPr>
            </w:pPr>
          </w:p>
        </w:tc>
        <w:tc>
          <w:tcPr>
            <w:tcW w:w="8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196,104</w:t>
            </w:r>
          </w:p>
        </w:tc>
        <w:tc>
          <w:tcPr>
            <w:tcW w:w="220" w:type="dxa"/>
            <w:vAlign w:val="bottom"/>
            <w:tcBorders>
              <w:bottom w:val="single" w:sz="8" w:color="F0FFFF"/>
            </w:tcBorders>
            <w:shd w:val="clear" w:color="auto" w:fill="F0FFFF"/>
          </w:tcPr>
          <w:p>
            <w:pPr>
              <w:spacing w:after="0"/>
              <w:rPr>
                <w:sz w:val="19"/>
                <w:szCs w:val="19"/>
                <w:color w:val="auto"/>
              </w:rPr>
            </w:pPr>
          </w:p>
        </w:tc>
        <w:tc>
          <w:tcPr>
            <w:tcW w:w="60" w:type="dxa"/>
            <w:vAlign w:val="bottom"/>
            <w:tcBorders>
              <w:bottom w:val="single" w:sz="8" w:color="F0FFFF"/>
            </w:tcBorders>
            <w:shd w:val="clear" w:color="auto" w:fill="F0FFFF"/>
          </w:tcPr>
          <w:p>
            <w:pPr>
              <w:spacing w:after="0"/>
              <w:rPr>
                <w:sz w:val="19"/>
                <w:szCs w:val="19"/>
                <w:color w:val="auto"/>
              </w:rPr>
            </w:pPr>
          </w:p>
        </w:tc>
        <w:tc>
          <w:tcPr>
            <w:tcW w:w="180" w:type="dxa"/>
            <w:vAlign w:val="bottom"/>
            <w:tcBorders>
              <w:bottom w:val="single" w:sz="8" w:color="auto"/>
            </w:tcBorders>
            <w:shd w:val="clear" w:color="auto" w:fill="F0FFFF"/>
          </w:tcPr>
          <w:p>
            <w:pPr>
              <w:spacing w:after="0"/>
              <w:rPr>
                <w:sz w:val="19"/>
                <w:szCs w:val="19"/>
                <w:color w:val="auto"/>
              </w:rPr>
            </w:pPr>
          </w:p>
        </w:tc>
        <w:tc>
          <w:tcPr>
            <w:tcW w:w="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152,210</w:t>
            </w:r>
          </w:p>
        </w:tc>
        <w:tc>
          <w:tcPr>
            <w:tcW w:w="18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tcPr>
          <w:p>
            <w:pPr>
              <w:ind w:left="480"/>
              <w:spacing w:after="0"/>
              <w:rPr>
                <w:sz w:val="20"/>
                <w:szCs w:val="20"/>
                <w:color w:val="auto"/>
              </w:rPr>
            </w:pPr>
            <w:r>
              <w:rPr>
                <w:rFonts w:ascii="Arial" w:cs="Arial" w:eastAsia="Arial" w:hAnsi="Arial"/>
                <w:sz w:val="18"/>
                <w:szCs w:val="18"/>
                <w:color w:val="auto"/>
              </w:rPr>
              <w:t>Total loans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4,410,285</w:t>
            </w:r>
          </w:p>
        </w:tc>
        <w:tc>
          <w:tcPr>
            <w:tcW w:w="200" w:type="dxa"/>
            <w:vAlign w:val="bottom"/>
          </w:tcPr>
          <w:p>
            <w:pPr>
              <w:spacing w:after="0"/>
              <w:rPr>
                <w:sz w:val="18"/>
                <w:szCs w:val="18"/>
                <w:color w:val="auto"/>
              </w:rPr>
            </w:pPr>
          </w:p>
        </w:tc>
        <w:tc>
          <w:tcPr>
            <w:tcW w:w="3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4,329,266</w:t>
            </w:r>
          </w:p>
        </w:tc>
        <w:tc>
          <w:tcPr>
            <w:tcW w:w="2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4,189,368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61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As a percentage of total loans: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shd w:val="clear" w:color="auto" w:fill="F0FFFF"/>
          </w:tcPr>
          <w:p>
            <w:pPr>
              <w:ind w:left="320"/>
              <w:spacing w:after="0"/>
              <w:rPr>
                <w:sz w:val="20"/>
                <w:szCs w:val="20"/>
                <w:color w:val="auto"/>
              </w:rPr>
            </w:pPr>
            <w:r>
              <w:rPr>
                <w:rFonts w:ascii="Arial" w:cs="Arial" w:eastAsia="Arial" w:hAnsi="Arial"/>
                <w:sz w:val="18"/>
                <w:szCs w:val="18"/>
                <w:color w:val="auto"/>
              </w:rPr>
              <w:t>Owner occupied commercial real estate</w:t>
            </w:r>
          </w:p>
        </w:tc>
        <w:tc>
          <w:tcPr>
            <w:tcW w:w="160" w:type="dxa"/>
            <w:vAlign w:val="bottom"/>
            <w:shd w:val="clear" w:color="auto" w:fill="F0FFFF"/>
          </w:tcPr>
          <w:p>
            <w:pPr>
              <w:spacing w:after="0"/>
              <w:rPr>
                <w:sz w:val="18"/>
                <w:szCs w:val="18"/>
                <w:color w:val="auto"/>
              </w:rPr>
            </w:pPr>
          </w:p>
        </w:tc>
        <w:tc>
          <w:tcPr>
            <w:tcW w:w="11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26%</w:t>
            </w: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26%</w:t>
            </w: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tcPr>
          <w:p>
            <w:pPr>
              <w:ind w:left="320"/>
              <w:spacing w:after="0"/>
              <w:rPr>
                <w:sz w:val="20"/>
                <w:szCs w:val="20"/>
                <w:color w:val="auto"/>
              </w:rPr>
            </w:pPr>
            <w:r>
              <w:rPr>
                <w:rFonts w:ascii="Arial" w:cs="Arial" w:eastAsia="Arial" w:hAnsi="Arial"/>
                <w:sz w:val="18"/>
                <w:szCs w:val="18"/>
                <w:color w:val="auto"/>
              </w:rPr>
              <w:t>Income producing commercial real estate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shd w:val="clear" w:color="auto" w:fill="F0FFFF"/>
          </w:tcPr>
          <w:p>
            <w:pPr>
              <w:ind w:left="320"/>
              <w:spacing w:after="0"/>
              <w:rPr>
                <w:sz w:val="20"/>
                <w:szCs w:val="20"/>
                <w:color w:val="auto"/>
              </w:rPr>
            </w:pPr>
            <w:r>
              <w:rPr>
                <w:rFonts w:ascii="Arial" w:cs="Arial" w:eastAsia="Arial" w:hAnsi="Arial"/>
                <w:sz w:val="18"/>
                <w:szCs w:val="18"/>
                <w:color w:val="auto"/>
              </w:rPr>
              <w:t>Commercial &amp; industrial</w:t>
            </w:r>
          </w:p>
        </w:tc>
        <w:tc>
          <w:tcPr>
            <w:tcW w:w="16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180" w:type="dxa"/>
            <w:vAlign w:val="bottom"/>
          </w:tcPr>
          <w:p>
            <w:pPr>
              <w:ind w:left="320"/>
              <w:spacing w:after="0"/>
              <w:rPr>
                <w:sz w:val="20"/>
                <w:szCs w:val="20"/>
                <w:color w:val="auto"/>
              </w:rPr>
            </w:pPr>
            <w:r>
              <w:rPr>
                <w:rFonts w:ascii="Arial" w:cs="Arial" w:eastAsia="Arial" w:hAnsi="Arial"/>
                <w:sz w:val="18"/>
                <w:szCs w:val="18"/>
                <w:color w:val="auto"/>
              </w:rPr>
              <w:t>Commercial construction</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shd w:val="clear" w:color="auto" w:fill="F0FFFF"/>
          </w:tcPr>
          <w:p>
            <w:pPr>
              <w:ind w:left="480"/>
              <w:spacing w:after="0"/>
              <w:rPr>
                <w:sz w:val="20"/>
                <w:szCs w:val="20"/>
                <w:color w:val="auto"/>
              </w:rPr>
            </w:pPr>
            <w:r>
              <w:rPr>
                <w:rFonts w:ascii="Arial" w:cs="Arial" w:eastAsia="Arial" w:hAnsi="Arial"/>
                <w:sz w:val="18"/>
                <w:szCs w:val="18"/>
                <w:color w:val="auto"/>
              </w:rPr>
              <w:t>Total commercial</w:t>
            </w:r>
          </w:p>
        </w:tc>
        <w:tc>
          <w:tcPr>
            <w:tcW w:w="16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57</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tcPr>
          <w:p>
            <w:pPr>
              <w:ind w:left="320"/>
              <w:spacing w:after="0"/>
              <w:rPr>
                <w:sz w:val="20"/>
                <w:szCs w:val="20"/>
                <w:color w:val="auto"/>
              </w:rPr>
            </w:pPr>
            <w:r>
              <w:rPr>
                <w:rFonts w:ascii="Arial" w:cs="Arial" w:eastAsia="Arial" w:hAnsi="Arial"/>
                <w:sz w:val="18"/>
                <w:szCs w:val="18"/>
                <w:color w:val="auto"/>
              </w:rPr>
              <w:t>Residential mortgage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shd w:val="clear" w:color="auto" w:fill="F0FFFF"/>
          </w:tcPr>
          <w:p>
            <w:pPr>
              <w:ind w:left="320"/>
              <w:spacing w:after="0"/>
              <w:rPr>
                <w:sz w:val="20"/>
                <w:szCs w:val="20"/>
                <w:color w:val="auto"/>
              </w:rPr>
            </w:pPr>
            <w:r>
              <w:rPr>
                <w:rFonts w:ascii="Arial" w:cs="Arial" w:eastAsia="Arial" w:hAnsi="Arial"/>
                <w:sz w:val="18"/>
                <w:szCs w:val="18"/>
                <w:color w:val="auto"/>
              </w:rPr>
              <w:t>Home equity lines of credit</w:t>
            </w:r>
          </w:p>
        </w:tc>
        <w:tc>
          <w:tcPr>
            <w:tcW w:w="16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tcPr>
          <w:p>
            <w:pPr>
              <w:ind w:left="320"/>
              <w:spacing w:after="0"/>
              <w:rPr>
                <w:sz w:val="20"/>
                <w:szCs w:val="20"/>
                <w:color w:val="auto"/>
              </w:rPr>
            </w:pPr>
            <w:r>
              <w:rPr>
                <w:rFonts w:ascii="Arial" w:cs="Arial" w:eastAsia="Arial" w:hAnsi="Arial"/>
                <w:sz w:val="18"/>
                <w:szCs w:val="18"/>
                <w:color w:val="auto"/>
              </w:rPr>
              <w:t>Residential construction</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shd w:val="clear" w:color="auto" w:fill="F0FFFF"/>
          </w:tcPr>
          <w:p>
            <w:pPr>
              <w:ind w:left="320"/>
              <w:spacing w:after="0"/>
              <w:rPr>
                <w:sz w:val="20"/>
                <w:szCs w:val="20"/>
                <w:color w:val="auto"/>
              </w:rPr>
            </w:pPr>
            <w:r>
              <w:rPr>
                <w:rFonts w:ascii="Arial" w:cs="Arial" w:eastAsia="Arial" w:hAnsi="Arial"/>
                <w:sz w:val="18"/>
                <w:szCs w:val="18"/>
                <w:color w:val="auto"/>
              </w:rPr>
              <w:t>Consumer installment</w:t>
            </w:r>
          </w:p>
        </w:tc>
        <w:tc>
          <w:tcPr>
            <w:tcW w:w="16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180" w:type="dxa"/>
            <w:vAlign w:val="bottom"/>
          </w:tcPr>
          <w:p>
            <w:pPr>
              <w:ind w:left="320"/>
              <w:spacing w:after="0"/>
              <w:rPr>
                <w:sz w:val="20"/>
                <w:szCs w:val="20"/>
                <w:color w:val="auto"/>
              </w:rPr>
            </w:pPr>
            <w:r>
              <w:rPr>
                <w:rFonts w:ascii="Arial" w:cs="Arial" w:eastAsia="Arial" w:hAnsi="Arial"/>
                <w:sz w:val="18"/>
                <w:szCs w:val="18"/>
                <w:color w:val="auto"/>
              </w:rPr>
              <w:t>Indirect auto</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6180" w:type="dxa"/>
            <w:vAlign w:val="bottom"/>
            <w:shd w:val="clear" w:color="auto" w:fill="F0FFFF"/>
          </w:tcPr>
          <w:p>
            <w:pPr>
              <w:ind w:left="48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F0FFFF"/>
          </w:tcPr>
          <w:p>
            <w:pPr>
              <w:spacing w:after="0"/>
              <w:rPr>
                <w:sz w:val="22"/>
                <w:szCs w:val="22"/>
                <w:color w:val="auto"/>
              </w:rPr>
            </w:pPr>
          </w:p>
        </w:tc>
        <w:tc>
          <w:tcPr>
            <w:tcW w:w="11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100%</w:t>
            </w:r>
          </w:p>
        </w:tc>
        <w:tc>
          <w:tcPr>
            <w:tcW w:w="60" w:type="dxa"/>
            <w:vAlign w:val="bottom"/>
            <w:shd w:val="clear" w:color="auto" w:fill="F0FFFF"/>
          </w:tcPr>
          <w:p>
            <w:pPr>
              <w:spacing w:after="0"/>
              <w:rPr>
                <w:sz w:val="22"/>
                <w:szCs w:val="22"/>
                <w:color w:val="auto"/>
              </w:rPr>
            </w:pPr>
          </w:p>
        </w:tc>
        <w:tc>
          <w:tcPr>
            <w:tcW w:w="240" w:type="dxa"/>
            <w:vAlign w:val="bottom"/>
            <w:shd w:val="clear" w:color="auto" w:fill="F0FFFF"/>
          </w:tcPr>
          <w:p>
            <w:pPr>
              <w:spacing w:after="0"/>
              <w:rPr>
                <w:sz w:val="22"/>
                <w:szCs w:val="22"/>
                <w:color w:val="auto"/>
              </w:rPr>
            </w:pPr>
          </w:p>
        </w:tc>
        <w:tc>
          <w:tcPr>
            <w:tcW w:w="11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100%</w:t>
            </w:r>
          </w:p>
        </w:tc>
        <w:tc>
          <w:tcPr>
            <w:tcW w:w="60" w:type="dxa"/>
            <w:vAlign w:val="bottom"/>
            <w:shd w:val="clear" w:color="auto" w:fill="F0FFFF"/>
          </w:tcPr>
          <w:p>
            <w:pPr>
              <w:spacing w:after="0"/>
              <w:rPr>
                <w:sz w:val="22"/>
                <w:szCs w:val="22"/>
                <w:color w:val="auto"/>
              </w:rPr>
            </w:pPr>
          </w:p>
        </w:tc>
        <w:tc>
          <w:tcPr>
            <w:tcW w:w="180" w:type="dxa"/>
            <w:vAlign w:val="bottom"/>
            <w:shd w:val="clear" w:color="auto" w:fill="F0FFFF"/>
          </w:tcPr>
          <w:p>
            <w:pPr>
              <w:spacing w:after="0"/>
              <w:rPr>
                <w:sz w:val="22"/>
                <w:szCs w:val="22"/>
                <w:color w:val="auto"/>
              </w:rPr>
            </w:pPr>
          </w:p>
        </w:tc>
        <w:tc>
          <w:tcPr>
            <w:tcW w:w="11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6180" w:type="dxa"/>
            <w:vAlign w:val="bottom"/>
            <w:tcBorders>
              <w:top w:val="single" w:sz="8" w:color="F0FF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18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By Geographic Location</w:t>
            </w:r>
          </w:p>
        </w:tc>
        <w:tc>
          <w:tcPr>
            <w:tcW w:w="16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North Georgia</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1,174,998</w:t>
            </w:r>
          </w:p>
        </w:tc>
        <w:tc>
          <w:tcPr>
            <w:tcW w:w="200" w:type="dxa"/>
            <w:vAlign w:val="bottom"/>
          </w:tcPr>
          <w:p>
            <w:pPr>
              <w:spacing w:after="0"/>
              <w:rPr>
                <w:sz w:val="18"/>
                <w:szCs w:val="18"/>
                <w:color w:val="auto"/>
              </w:rPr>
            </w:pPr>
          </w:p>
        </w:tc>
        <w:tc>
          <w:tcPr>
            <w:tcW w:w="3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1,240,234</w:t>
            </w:r>
          </w:p>
        </w:tc>
        <w:tc>
          <w:tcPr>
            <w:tcW w:w="2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1,265,109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shd w:val="clear" w:color="auto" w:fill="F0FFFF"/>
          </w:tcPr>
          <w:p>
            <w:pPr>
              <w:spacing w:after="0"/>
              <w:rPr>
                <w:sz w:val="20"/>
                <w:szCs w:val="20"/>
                <w:color w:val="auto"/>
              </w:rPr>
            </w:pPr>
            <w:r>
              <w:rPr>
                <w:rFonts w:ascii="Arial" w:cs="Arial" w:eastAsia="Arial" w:hAnsi="Arial"/>
                <w:sz w:val="18"/>
                <w:szCs w:val="18"/>
                <w:color w:val="auto"/>
              </w:rPr>
              <w:t>Atlanta MSA</w:t>
            </w:r>
          </w:p>
        </w:tc>
        <w:tc>
          <w:tcPr>
            <w:tcW w:w="16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1,305,401</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1,275,139</w:t>
            </w:r>
          </w:p>
        </w:tc>
        <w:tc>
          <w:tcPr>
            <w:tcW w:w="2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1,227,352</w:t>
            </w:r>
          </w:p>
        </w:tc>
        <w:tc>
          <w:tcPr>
            <w:tcW w:w="1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North Carolina</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555,273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571,971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575,425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shd w:val="clear" w:color="auto" w:fill="F0FFFF"/>
          </w:tcPr>
          <w:p>
            <w:pPr>
              <w:spacing w:after="0"/>
              <w:rPr>
                <w:sz w:val="20"/>
                <w:szCs w:val="20"/>
                <w:color w:val="auto"/>
              </w:rPr>
            </w:pPr>
            <w:r>
              <w:rPr>
                <w:rFonts w:ascii="Arial" w:cs="Arial" w:eastAsia="Arial" w:hAnsi="Arial"/>
                <w:sz w:val="18"/>
                <w:szCs w:val="18"/>
                <w:color w:val="auto"/>
              </w:rPr>
              <w:t>Coastal Georgia</w:t>
            </w:r>
          </w:p>
        </w:tc>
        <w:tc>
          <w:tcPr>
            <w:tcW w:w="16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426,393</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423,045</w:t>
            </w:r>
          </w:p>
        </w:tc>
        <w:tc>
          <w:tcPr>
            <w:tcW w:w="2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397,182</w:t>
            </w:r>
          </w:p>
        </w:tc>
        <w:tc>
          <w:tcPr>
            <w:tcW w:w="1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Gainesville MSA</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257,021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254,655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255,510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shd w:val="clear" w:color="auto" w:fill="F0FFFF"/>
          </w:tcPr>
          <w:p>
            <w:pPr>
              <w:spacing w:after="0"/>
              <w:rPr>
                <w:sz w:val="20"/>
                <w:szCs w:val="20"/>
                <w:color w:val="auto"/>
              </w:rPr>
            </w:pPr>
            <w:r>
              <w:rPr>
                <w:rFonts w:ascii="Arial" w:cs="Arial" w:eastAsia="Arial" w:hAnsi="Arial"/>
                <w:sz w:val="18"/>
                <w:szCs w:val="18"/>
                <w:color w:val="auto"/>
              </w:rPr>
              <w:t>East Tennessee</w:t>
            </w:r>
          </w:p>
        </w:tc>
        <w:tc>
          <w:tcPr>
            <w:tcW w:w="16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269,564</w:t>
            </w:r>
          </w:p>
        </w:tc>
        <w:tc>
          <w:tcPr>
            <w:tcW w:w="20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279,587</w:t>
            </w:r>
          </w:p>
        </w:tc>
        <w:tc>
          <w:tcPr>
            <w:tcW w:w="2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282,860</w:t>
            </w:r>
          </w:p>
        </w:tc>
        <w:tc>
          <w:tcPr>
            <w:tcW w:w="18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South Carolina / Corporate</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205,696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88,531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33,720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18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Other (Indirect Auto)</w:t>
            </w:r>
          </w:p>
        </w:tc>
        <w:tc>
          <w:tcPr>
            <w:tcW w:w="160" w:type="dxa"/>
            <w:vAlign w:val="bottom"/>
            <w:tcBorders>
              <w:bottom w:val="single" w:sz="8" w:color="auto"/>
            </w:tcBorders>
            <w:shd w:val="clear" w:color="auto" w:fill="F0FFFF"/>
          </w:tcPr>
          <w:p>
            <w:pPr>
              <w:spacing w:after="0"/>
              <w:rPr>
                <w:sz w:val="19"/>
                <w:szCs w:val="19"/>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215,939</w:t>
            </w:r>
          </w:p>
        </w:tc>
        <w:tc>
          <w:tcPr>
            <w:tcW w:w="200" w:type="dxa"/>
            <w:vAlign w:val="bottom"/>
            <w:tcBorders>
              <w:bottom w:val="single" w:sz="8" w:color="F0FFFF"/>
            </w:tcBorders>
            <w:shd w:val="clear" w:color="auto" w:fill="F0FFFF"/>
          </w:tcPr>
          <w:p>
            <w:pPr>
              <w:spacing w:after="0"/>
              <w:rPr>
                <w:sz w:val="19"/>
                <w:szCs w:val="19"/>
                <w:color w:val="auto"/>
              </w:rPr>
            </w:pPr>
          </w:p>
        </w:tc>
        <w:tc>
          <w:tcPr>
            <w:tcW w:w="6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bottom w:val="single" w:sz="8" w:color="auto"/>
            </w:tcBorders>
            <w:shd w:val="clear" w:color="auto" w:fill="F0FFFF"/>
          </w:tcPr>
          <w:p>
            <w:pPr>
              <w:spacing w:after="0"/>
              <w:rPr>
                <w:sz w:val="19"/>
                <w:szCs w:val="19"/>
                <w:color w:val="auto"/>
              </w:rPr>
            </w:pPr>
          </w:p>
        </w:tc>
        <w:tc>
          <w:tcPr>
            <w:tcW w:w="8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196,104</w:t>
            </w:r>
          </w:p>
        </w:tc>
        <w:tc>
          <w:tcPr>
            <w:tcW w:w="220" w:type="dxa"/>
            <w:vAlign w:val="bottom"/>
            <w:tcBorders>
              <w:bottom w:val="single" w:sz="8" w:color="F0FFFF"/>
            </w:tcBorders>
            <w:shd w:val="clear" w:color="auto" w:fill="F0FFFF"/>
          </w:tcPr>
          <w:p>
            <w:pPr>
              <w:spacing w:after="0"/>
              <w:rPr>
                <w:sz w:val="19"/>
                <w:szCs w:val="19"/>
                <w:color w:val="auto"/>
              </w:rPr>
            </w:pPr>
          </w:p>
        </w:tc>
        <w:tc>
          <w:tcPr>
            <w:tcW w:w="60" w:type="dxa"/>
            <w:vAlign w:val="bottom"/>
            <w:tcBorders>
              <w:bottom w:val="single" w:sz="8" w:color="F0FFFF"/>
            </w:tcBorders>
            <w:shd w:val="clear" w:color="auto" w:fill="F0FFFF"/>
          </w:tcPr>
          <w:p>
            <w:pPr>
              <w:spacing w:after="0"/>
              <w:rPr>
                <w:sz w:val="19"/>
                <w:szCs w:val="19"/>
                <w:color w:val="auto"/>
              </w:rPr>
            </w:pPr>
          </w:p>
        </w:tc>
        <w:tc>
          <w:tcPr>
            <w:tcW w:w="180" w:type="dxa"/>
            <w:vAlign w:val="bottom"/>
            <w:tcBorders>
              <w:bottom w:val="single" w:sz="8" w:color="auto"/>
            </w:tcBorders>
            <w:shd w:val="clear" w:color="auto" w:fill="F0FFFF"/>
          </w:tcPr>
          <w:p>
            <w:pPr>
              <w:spacing w:after="0"/>
              <w:rPr>
                <w:sz w:val="19"/>
                <w:szCs w:val="19"/>
                <w:color w:val="auto"/>
              </w:rPr>
            </w:pPr>
          </w:p>
        </w:tc>
        <w:tc>
          <w:tcPr>
            <w:tcW w:w="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152,210</w:t>
            </w:r>
          </w:p>
        </w:tc>
        <w:tc>
          <w:tcPr>
            <w:tcW w:w="18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180" w:type="dxa"/>
            <w:vAlign w:val="bottom"/>
          </w:tcPr>
          <w:p>
            <w:pPr>
              <w:ind w:left="80"/>
              <w:spacing w:after="0"/>
              <w:rPr>
                <w:sz w:val="20"/>
                <w:szCs w:val="20"/>
                <w:color w:val="auto"/>
              </w:rPr>
            </w:pPr>
            <w:r>
              <w:rPr>
                <w:rFonts w:ascii="Arial" w:cs="Arial" w:eastAsia="Arial" w:hAnsi="Arial"/>
                <w:sz w:val="18"/>
                <w:szCs w:val="18"/>
                <w:color w:val="auto"/>
              </w:rPr>
              <w:t>Total loans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4,410,285</w:t>
            </w:r>
          </w:p>
        </w:tc>
        <w:tc>
          <w:tcPr>
            <w:tcW w:w="200" w:type="dxa"/>
            <w:vAlign w:val="bottom"/>
          </w:tcPr>
          <w:p>
            <w:pPr>
              <w:spacing w:after="0"/>
              <w:rPr>
                <w:sz w:val="18"/>
                <w:szCs w:val="18"/>
                <w:color w:val="auto"/>
              </w:rPr>
            </w:pPr>
          </w:p>
        </w:tc>
        <w:tc>
          <w:tcPr>
            <w:tcW w:w="3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4,329,266</w:t>
            </w:r>
          </w:p>
        </w:tc>
        <w:tc>
          <w:tcPr>
            <w:tcW w:w="22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4,189,368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Substantially all of United’s loans are to customers located in the immediate market areas of its community banks in Georgia, North Carolina, Tennessee and South Carolina, including customers who have a seasonal residence in United’s market areas. More than 80% of the loans are secured by real estate. At June 30, 2014, total loans, excluding loans that are covered by loss sharing agreements with the FDIC, were $4.41 billion, an increase of $221 million, or 5%, from June 30, 2013. Despite the weak economy and lagging loan demand, United has continued to pursue lending opportunities. Commercial and industrial loans are up due to United’s focus on growing business loans. Much of the growth has come through United’s corporate initiatives in Greenville, South Carolina. Home equity loans increased primarily due to a successful home equity line promotion. Indirect auto loans have increased due to additional purchases of loan pools for this portfolio.</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Asset Quality and Risk Elements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United manages asset quality and controls credit risk through review and oversight of the loan portfolio as well as adherence to policies designed to promote sound underwriting and loan monitoring practices. United’s credit administration function is responsible for monitoring asset quality and Board-approved portfolio limits, establishing credit policies and procedures and enforcing the consistent application of these policies and procedures among all of the community banks. Additional information on the credit administration function is included in Item 1 under the heading </w:t>
      </w:r>
      <w:r>
        <w:rPr>
          <w:rFonts w:ascii="Arial" w:cs="Arial" w:eastAsia="Arial" w:hAnsi="Arial"/>
          <w:sz w:val="18"/>
          <w:szCs w:val="18"/>
          <w:i w:val="1"/>
          <w:iCs w:val="1"/>
          <w:color w:val="auto"/>
        </w:rPr>
        <w:t>Loan Review and Nonperforming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Assets </w:t>
      </w:r>
      <w:r>
        <w:rPr>
          <w:rFonts w:ascii="Arial" w:cs="Arial" w:eastAsia="Arial" w:hAnsi="Arial"/>
          <w:sz w:val="18"/>
          <w:szCs w:val="18"/>
          <w:color w:val="auto"/>
        </w:rPr>
        <w:t>in United’s Annual Report on Form 10-K for the year ended December 31, 2013.</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United classifies performing loans as “substandard” when there are well-defined weaknesses that jeopardize the repayment by the borrower and there is a distinct possibility that United could sustain some loss if the deficiency is not corrected.</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United’s home equity lines generally require the payment of interest only for a set period after origination. After this initial period, the outstanding balance begins amortizing and requires the payment of both principal and interest. At June 30, 2014, December 31, 2013 and June 30, 2013, the funded portion of home equity lines totaled $451 million, $441 million, and $402 million, respectively.</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Approximately 3% of the home equity loans at June 30, 2014 were amortizing. Of the $451 million in balances outstanding at June 30, 2014, $283 million, or 63%, were first liens. At June 30, 2014, 60% of the total available home equity lines were drawn upon.</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monitors the performance of its home equity loans and lines secured by second liens similar to other consumer loans and utilizes assumptions specific to these loans in determining the necessary allowance. United also receives notification when the first lien holder is in the process of foreclosure and upon that notification, United obtains valuations to determine if any additional charge-offs or reserves are warranted.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performing substandard loans for the last five quarters.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Table 8 - Performing Substandard Loans</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i w:val="1"/>
                <w:iCs w:val="1"/>
                <w:color w:val="auto"/>
              </w:rPr>
              <w:t>(dollars in thousands)</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3"/>
              </w:rPr>
              <w:t>March 31,</w:t>
            </w:r>
          </w:p>
        </w:tc>
        <w:tc>
          <w:tcPr>
            <w:tcW w:w="120" w:type="dxa"/>
            <w:vAlign w:val="bottom"/>
          </w:tcPr>
          <w:p>
            <w:pPr>
              <w:spacing w:after="0"/>
              <w:rPr>
                <w:sz w:val="20"/>
                <w:szCs w:val="20"/>
                <w:color w:val="auto"/>
              </w:rPr>
            </w:pPr>
          </w:p>
        </w:tc>
        <w:tc>
          <w:tcPr>
            <w:tcW w:w="134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December 31,</w:t>
            </w:r>
          </w:p>
        </w:tc>
        <w:tc>
          <w:tcPr>
            <w:tcW w:w="124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w w:val="97"/>
              </w:rPr>
              <w:t>September 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By Category</w:t>
            </w:r>
          </w:p>
        </w:tc>
        <w:tc>
          <w:tcPr>
            <w:tcW w:w="7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Owner occupied commercial real estate</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48,222</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47,526</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43,083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39,946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47,124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F0FFFF"/>
          </w:tcPr>
          <w:p>
            <w:pPr>
              <w:spacing w:after="0"/>
              <w:rPr>
                <w:sz w:val="20"/>
                <w:szCs w:val="20"/>
                <w:color w:val="auto"/>
              </w:rPr>
            </w:pPr>
            <w:r>
              <w:rPr>
                <w:rFonts w:ascii="Arial" w:cs="Arial" w:eastAsia="Arial" w:hAnsi="Arial"/>
                <w:sz w:val="18"/>
                <w:szCs w:val="18"/>
                <w:color w:val="auto"/>
              </w:rPr>
              <w:t>Income producing commercial real estate</w:t>
            </w:r>
          </w:p>
        </w:tc>
        <w:tc>
          <w:tcPr>
            <w:tcW w:w="7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24,633</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36,799</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34,642</w:t>
            </w: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35,596</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31,626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5,647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8,141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9,589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10,342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F0FFFF"/>
          </w:tcPr>
          <w:p>
            <w:pPr>
              <w:spacing w:after="0"/>
              <w:rPr>
                <w:sz w:val="20"/>
                <w:szCs w:val="20"/>
                <w:color w:val="auto"/>
              </w:rPr>
            </w:pPr>
            <w:r>
              <w:rPr>
                <w:rFonts w:ascii="Arial" w:cs="Arial" w:eastAsia="Arial" w:hAnsi="Arial"/>
                <w:sz w:val="18"/>
                <w:szCs w:val="18"/>
                <w:color w:val="auto"/>
              </w:rPr>
              <w:t>Commercial construction</w:t>
            </w:r>
          </w:p>
        </w:tc>
        <w:tc>
          <w:tcPr>
            <w:tcW w:w="7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4,406</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5,281</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16,758</w:t>
            </w: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16,911</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15,766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shd w:val="clear" w:color="auto" w:fill="F0FFFF"/>
          </w:tcPr>
          <w:p>
            <w:pPr>
              <w:spacing w:after="0"/>
              <w:rPr>
                <w:sz w:val="2"/>
                <w:szCs w:val="2"/>
                <w:color w:val="auto"/>
              </w:rPr>
            </w:pPr>
          </w:p>
        </w:tc>
        <w:tc>
          <w:tcPr>
            <w:tcW w:w="76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480"/>
              <w:spacing w:after="0"/>
              <w:rPr>
                <w:sz w:val="20"/>
                <w:szCs w:val="20"/>
                <w:color w:val="auto"/>
              </w:rPr>
            </w:pPr>
            <w:r>
              <w:rPr>
                <w:rFonts w:ascii="Arial" w:cs="Arial" w:eastAsia="Arial" w:hAnsi="Arial"/>
                <w:sz w:val="18"/>
                <w:szCs w:val="18"/>
                <w:color w:val="auto"/>
              </w:rPr>
              <w:t>Total commercial</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82,908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97,747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104,072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102,795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105,974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F0FFFF"/>
          </w:tcPr>
          <w:p>
            <w:pPr>
              <w:spacing w:after="0"/>
              <w:rPr>
                <w:sz w:val="20"/>
                <w:szCs w:val="20"/>
                <w:color w:val="auto"/>
              </w:rPr>
            </w:pPr>
            <w:r>
              <w:rPr>
                <w:rFonts w:ascii="Arial" w:cs="Arial" w:eastAsia="Arial" w:hAnsi="Arial"/>
                <w:sz w:val="18"/>
                <w:szCs w:val="18"/>
                <w:color w:val="auto"/>
              </w:rPr>
              <w:t>Residential mortgage</w:t>
            </w:r>
          </w:p>
        </w:tc>
        <w:tc>
          <w:tcPr>
            <w:tcW w:w="7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41,856</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43,572</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44,022</w:t>
            </w: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45,493</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43,874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Home equity</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7,562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7,662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7,967</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F0FFFF"/>
          </w:tcPr>
          <w:p>
            <w:pPr>
              <w:spacing w:after="0"/>
              <w:rPr>
                <w:sz w:val="20"/>
                <w:szCs w:val="20"/>
                <w:color w:val="auto"/>
              </w:rPr>
            </w:pPr>
            <w:r>
              <w:rPr>
                <w:rFonts w:ascii="Arial" w:cs="Arial" w:eastAsia="Arial" w:hAnsi="Arial"/>
                <w:sz w:val="18"/>
                <w:szCs w:val="18"/>
                <w:color w:val="auto"/>
              </w:rPr>
              <w:t>Residential construction</w:t>
            </w:r>
          </w:p>
        </w:tc>
        <w:tc>
          <w:tcPr>
            <w:tcW w:w="7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12,872</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12,977</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14,104</w:t>
            </w: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15,552</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Consumer installment</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1,776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2,538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F0FFFF"/>
          </w:tcPr>
          <w:p>
            <w:pPr>
              <w:spacing w:after="0"/>
              <w:rPr>
                <w:sz w:val="20"/>
                <w:szCs w:val="20"/>
                <w:color w:val="auto"/>
              </w:rPr>
            </w:pPr>
            <w:r>
              <w:rPr>
                <w:rFonts w:ascii="Arial" w:cs="Arial" w:eastAsia="Arial" w:hAnsi="Arial"/>
                <w:sz w:val="18"/>
                <w:szCs w:val="18"/>
                <w:color w:val="auto"/>
              </w:rPr>
              <w:t>Indirect auto</w:t>
            </w:r>
          </w:p>
        </w:tc>
        <w:tc>
          <w:tcPr>
            <w:tcW w:w="7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562</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597</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shd w:val="clear" w:color="auto" w:fill="F0FFFF"/>
          </w:tcPr>
          <w:p>
            <w:pPr>
              <w:spacing w:after="0"/>
              <w:rPr>
                <w:sz w:val="2"/>
                <w:szCs w:val="2"/>
                <w:color w:val="auto"/>
              </w:rPr>
            </w:pPr>
          </w:p>
        </w:tc>
        <w:tc>
          <w:tcPr>
            <w:tcW w:w="76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480"/>
              <w:spacing w:after="0"/>
              <w:rPr>
                <w:sz w:val="20"/>
                <w:szCs w:val="20"/>
                <w:color w:val="auto"/>
              </w:rPr>
            </w:pPr>
            <w:r>
              <w:rPr>
                <w:rFonts w:ascii="Arial" w:cs="Arial" w:eastAsia="Arial" w:hAnsi="Arial"/>
                <w:sz w:val="18"/>
                <w:szCs w:val="18"/>
                <w:color w:val="auto"/>
              </w:rPr>
              <w:t>Total</w:t>
            </w:r>
          </w:p>
        </w:tc>
        <w:tc>
          <w:tcPr>
            <w:tcW w:w="7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147,536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164,865</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172,703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173,666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176,332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2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By Market</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F0FFFF"/>
          </w:tcPr>
          <w:p>
            <w:pPr>
              <w:spacing w:after="0"/>
              <w:rPr>
                <w:sz w:val="20"/>
                <w:szCs w:val="20"/>
                <w:color w:val="auto"/>
              </w:rPr>
            </w:pPr>
            <w:r>
              <w:rPr>
                <w:rFonts w:ascii="Arial" w:cs="Arial" w:eastAsia="Arial" w:hAnsi="Arial"/>
                <w:sz w:val="18"/>
                <w:szCs w:val="18"/>
                <w:color w:val="auto"/>
              </w:rPr>
              <w:t>North Georgia</w:t>
            </w:r>
          </w:p>
        </w:tc>
        <w:tc>
          <w:tcPr>
            <w:tcW w:w="9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66,709</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69,584</w:t>
            </w:r>
          </w:p>
        </w:tc>
        <w:tc>
          <w:tcPr>
            <w:tcW w:w="360" w:type="dxa"/>
            <w:vAlign w:val="bottom"/>
            <w:gridSpan w:val="2"/>
            <w:shd w:val="clear" w:color="auto" w:fill="F0FF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69,510</w:t>
            </w:r>
          </w:p>
        </w:tc>
        <w:tc>
          <w:tcPr>
            <w:tcW w:w="24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74,456</w:t>
            </w:r>
          </w:p>
        </w:tc>
        <w:tc>
          <w:tcPr>
            <w:tcW w:w="2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68,272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Atlanta MSA</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32,975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32,008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43,171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44,650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F0FFFF"/>
          </w:tcPr>
          <w:p>
            <w:pPr>
              <w:spacing w:after="0"/>
              <w:rPr>
                <w:sz w:val="20"/>
                <w:szCs w:val="20"/>
                <w:color w:val="auto"/>
              </w:rPr>
            </w:pPr>
            <w:r>
              <w:rPr>
                <w:rFonts w:ascii="Arial" w:cs="Arial" w:eastAsia="Arial" w:hAnsi="Arial"/>
                <w:sz w:val="18"/>
                <w:szCs w:val="18"/>
                <w:color w:val="auto"/>
              </w:rPr>
              <w:t>North Carolina</w:t>
            </w:r>
          </w:p>
        </w:tc>
        <w:tc>
          <w:tcPr>
            <w:tcW w:w="7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19,619</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21,735</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18,954</w:t>
            </w: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20,768</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23,440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Coastal Georgia</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17,427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18,354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18,561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10,729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F0FFFF"/>
          </w:tcPr>
          <w:p>
            <w:pPr>
              <w:spacing w:after="0"/>
              <w:rPr>
                <w:sz w:val="20"/>
                <w:szCs w:val="20"/>
                <w:color w:val="auto"/>
              </w:rPr>
            </w:pPr>
            <w:r>
              <w:rPr>
                <w:rFonts w:ascii="Arial" w:cs="Arial" w:eastAsia="Arial" w:hAnsi="Arial"/>
                <w:sz w:val="18"/>
                <w:szCs w:val="18"/>
                <w:color w:val="auto"/>
              </w:rPr>
              <w:t>Gainesville MSA</w:t>
            </w:r>
          </w:p>
        </w:tc>
        <w:tc>
          <w:tcPr>
            <w:tcW w:w="7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2,832</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14,911</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14,916</w:t>
            </w: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14,820</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19,734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East Tennessee</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7,412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7,676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7,591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8,243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F0FFFF"/>
          </w:tcPr>
          <w:p>
            <w:pPr>
              <w:spacing w:after="0"/>
              <w:rPr>
                <w:sz w:val="20"/>
                <w:szCs w:val="20"/>
                <w:color w:val="auto"/>
              </w:rPr>
            </w:pPr>
            <w:r>
              <w:rPr>
                <w:rFonts w:ascii="Arial" w:cs="Arial" w:eastAsia="Arial" w:hAnsi="Arial"/>
                <w:sz w:val="18"/>
                <w:szCs w:val="18"/>
                <w:color w:val="auto"/>
              </w:rPr>
              <w:t>South Carolina / Corporate</w:t>
            </w:r>
          </w:p>
        </w:tc>
        <w:tc>
          <w:tcPr>
            <w:tcW w:w="7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spacing w:after="0"/>
              <w:rPr>
                <w:sz w:val="18"/>
                <w:szCs w:val="18"/>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Indirect auto</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shd w:val="clear" w:color="auto" w:fill="F0FFFF"/>
          </w:tcPr>
          <w:p>
            <w:pPr>
              <w:ind w:left="80"/>
              <w:spacing w:after="0"/>
              <w:rPr>
                <w:sz w:val="20"/>
                <w:szCs w:val="20"/>
                <w:color w:val="auto"/>
              </w:rPr>
            </w:pPr>
            <w:r>
              <w:rPr>
                <w:rFonts w:ascii="Arial" w:cs="Arial" w:eastAsia="Arial" w:hAnsi="Arial"/>
                <w:sz w:val="18"/>
                <w:szCs w:val="18"/>
                <w:color w:val="auto"/>
              </w:rPr>
              <w:t>Total loans</w:t>
            </w:r>
          </w:p>
        </w:tc>
        <w:tc>
          <w:tcPr>
            <w:tcW w:w="760" w:type="dxa"/>
            <w:vAlign w:val="bottom"/>
            <w:shd w:val="clear" w:color="auto" w:fill="F0FFFF"/>
          </w:tcPr>
          <w:p>
            <w:pPr>
              <w:spacing w:after="0"/>
              <w:rPr>
                <w:sz w:val="20"/>
                <w:szCs w:val="20"/>
                <w:color w:val="auto"/>
              </w:rPr>
            </w:pP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147,536</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164,865</w:t>
            </w:r>
          </w:p>
        </w:tc>
        <w:tc>
          <w:tcPr>
            <w:tcW w:w="360" w:type="dxa"/>
            <w:vAlign w:val="bottom"/>
            <w:gridSpan w:val="2"/>
            <w:shd w:val="clear" w:color="auto" w:fill="F0FF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172,703</w:t>
            </w:r>
          </w:p>
        </w:tc>
        <w:tc>
          <w:tcPr>
            <w:tcW w:w="24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173,666</w:t>
            </w:r>
          </w:p>
        </w:tc>
        <w:tc>
          <w:tcPr>
            <w:tcW w:w="2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176,332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F0FFFF"/>
            </w:tcBorders>
            <w:shd w:val="clear" w:color="auto" w:fill="F0FFFF"/>
          </w:tcPr>
          <w:p>
            <w:pPr>
              <w:spacing w:after="0" w:line="20" w:lineRule="exact"/>
              <w:rPr>
                <w:sz w:val="1"/>
                <w:szCs w:val="1"/>
                <w:color w:val="auto"/>
              </w:rPr>
            </w:pPr>
          </w:p>
        </w:tc>
        <w:tc>
          <w:tcPr>
            <w:tcW w:w="76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June 30, 2014, performing substandard loans totaled $148 million and decreased $17.3 million from the prior quarter-end, and decreased $28.8 million from a year ago. Performing substandard loans have been on a downward trend as credit conditions have continued to improve and problem credits are resolved.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56" w:name="page57"/>
    <w:bookmarkEnd w:id="56"/>
    <w:p>
      <w:pPr>
        <w:jc w:val="both"/>
        <w:spacing w:after="0" w:line="255" w:lineRule="auto"/>
        <w:rPr>
          <w:sz w:val="20"/>
          <w:szCs w:val="20"/>
          <w:color w:val="auto"/>
        </w:rPr>
      </w:pPr>
      <w:r>
        <w:rPr>
          <w:rFonts w:ascii="Arial" w:cs="Arial" w:eastAsia="Arial" w:hAnsi="Arial"/>
          <w:sz w:val="18"/>
          <w:szCs w:val="18"/>
          <w:color w:val="auto"/>
        </w:rPr>
        <w:t>Reviews of substandard performing and nonperforming loans, troubled debt restructures, past due loans and larger credits, are conducted periodically but not less than on a quarterly basis with management and are designed to identify risk migration and potential charges to the allowance for loan losses. These reviews are presented by the responsible lending officers and specific action plans are discussed along with the financial strength of borrowers, the value of the applicable collateral, past loan loss experience, anticipated loan losses, changes in risk profile, the effect of prevailing economic conditions on the borrower along with other factors specific to the borrower and its industry. In addition to United’s internal loan review, United also uses external loan review to ensure the independence of the loan review process.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a summary of the changes in the allowance for loan losses for the three and six months ended June 30, 2014 and 2013.</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Table 9 - Allowance for Loan Losses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20" w:type="dxa"/>
            <w:vAlign w:val="bottom"/>
            <w:gridSpan w:val="5"/>
            <w:vMerge w:val="restart"/>
          </w:tcPr>
          <w:p>
            <w:pPr>
              <w:jc w:val="right"/>
              <w:ind w:right="380"/>
              <w:spacing w:after="0"/>
              <w:rPr>
                <w:sz w:val="20"/>
                <w:szCs w:val="20"/>
                <w:color w:val="auto"/>
              </w:rPr>
            </w:pPr>
            <w:r>
              <w:rPr>
                <w:rFonts w:ascii="Arial" w:cs="Arial" w:eastAsia="Arial" w:hAnsi="Arial"/>
                <w:sz w:val="18"/>
                <w:szCs w:val="18"/>
                <w:b w:val="1"/>
                <w:bCs w:val="1"/>
                <w:color w:val="auto"/>
                <w:w w:val="90"/>
              </w:rPr>
              <w:t>Three Months Ended June 30,</w:t>
            </w:r>
          </w:p>
        </w:tc>
        <w:tc>
          <w:tcPr>
            <w:tcW w:w="160" w:type="dxa"/>
            <w:vAlign w:val="bottom"/>
          </w:tcPr>
          <w:p>
            <w:pPr>
              <w:spacing w:after="0"/>
              <w:rPr>
                <w:sz w:val="20"/>
                <w:szCs w:val="20"/>
                <w:color w:val="auto"/>
              </w:rPr>
            </w:pPr>
          </w:p>
        </w:tc>
        <w:tc>
          <w:tcPr>
            <w:tcW w:w="2540" w:type="dxa"/>
            <w:vAlign w:val="bottom"/>
            <w:gridSpan w:val="5"/>
            <w:vMerge w:val="restart"/>
          </w:tcPr>
          <w:p>
            <w:pPr>
              <w:jc w:val="right"/>
              <w:ind w:right="380"/>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gridSpan w:val="5"/>
            <w:vMerge w:val="continue"/>
          </w:tcPr>
          <w:p>
            <w:pPr>
              <w:spacing w:after="0"/>
              <w:rPr>
                <w:sz w:val="19"/>
                <w:szCs w:val="19"/>
                <w:color w:val="auto"/>
              </w:rPr>
            </w:pPr>
          </w:p>
        </w:tc>
        <w:tc>
          <w:tcPr>
            <w:tcW w:w="160" w:type="dxa"/>
            <w:vAlign w:val="bottom"/>
          </w:tcPr>
          <w:p>
            <w:pPr>
              <w:spacing w:after="0"/>
              <w:rPr>
                <w:sz w:val="19"/>
                <w:szCs w:val="19"/>
                <w:color w:val="auto"/>
              </w:rPr>
            </w:pPr>
          </w:p>
        </w:tc>
        <w:tc>
          <w:tcPr>
            <w:tcW w:w="254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6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F0FFFF"/>
          </w:tcPr>
          <w:p>
            <w:pPr>
              <w:spacing w:after="0"/>
              <w:rPr>
                <w:sz w:val="20"/>
                <w:szCs w:val="20"/>
                <w:color w:val="auto"/>
              </w:rPr>
            </w:pPr>
            <w:r>
              <w:rPr>
                <w:rFonts w:ascii="Arial" w:cs="Arial" w:eastAsia="Arial" w:hAnsi="Arial"/>
                <w:sz w:val="18"/>
                <w:szCs w:val="18"/>
                <w:color w:val="auto"/>
              </w:rPr>
              <w:t>Allowance for loan losses at beginning of period</w:t>
            </w:r>
          </w:p>
        </w:tc>
        <w:tc>
          <w:tcPr>
            <w:tcW w:w="5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75,223</w:t>
            </w: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105,753</w:t>
            </w:r>
          </w:p>
        </w:tc>
        <w:tc>
          <w:tcPr>
            <w:tcW w:w="280" w:type="dxa"/>
            <w:vAlign w:val="bottom"/>
            <w:shd w:val="clear" w:color="auto" w:fill="F0FFFF"/>
          </w:tcPr>
          <w:p>
            <w:pPr>
              <w:spacing w:after="0"/>
              <w:rPr>
                <w:sz w:val="18"/>
                <w:szCs w:val="18"/>
                <w:color w:val="auto"/>
              </w:rPr>
            </w:pP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76,762</w:t>
            </w: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107,137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Charge-offs: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Owner occupied commercial real estate</w:t>
            </w:r>
          </w:p>
        </w:tc>
        <w:tc>
          <w:tcPr>
            <w:tcW w:w="4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918</w:t>
            </w:r>
          </w:p>
        </w:tc>
        <w:tc>
          <w:tcPr>
            <w:tcW w:w="24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19,438</w:t>
            </w:r>
          </w:p>
        </w:tc>
        <w:tc>
          <w:tcPr>
            <w:tcW w:w="160" w:type="dxa"/>
            <w:vAlign w:val="bottom"/>
            <w:shd w:val="clear" w:color="auto" w:fill="F0FFFF"/>
          </w:tcPr>
          <w:p>
            <w:pPr>
              <w:spacing w:after="0"/>
              <w:rPr>
                <w:sz w:val="18"/>
                <w:szCs w:val="18"/>
                <w:color w:val="auto"/>
              </w:rPr>
            </w:pPr>
          </w:p>
        </w:tc>
        <w:tc>
          <w:tcPr>
            <w:tcW w:w="12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1,284</w:t>
            </w: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21,732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Arial" w:cs="Arial" w:eastAsia="Arial" w:hAnsi="Arial"/>
                <w:sz w:val="18"/>
                <w:szCs w:val="18"/>
                <w:color w:val="auto"/>
              </w:rPr>
              <w:t>Income producing commercial real estate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632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7,302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837</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Commercial &amp; industrial</w:t>
            </w:r>
          </w:p>
        </w:tc>
        <w:tc>
          <w:tcPr>
            <w:tcW w:w="4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1,012</w:t>
            </w:r>
          </w:p>
        </w:tc>
        <w:tc>
          <w:tcPr>
            <w:tcW w:w="24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15,932</w:t>
            </w:r>
          </w:p>
        </w:tc>
        <w:tc>
          <w:tcPr>
            <w:tcW w:w="160" w:type="dxa"/>
            <w:vAlign w:val="bottom"/>
            <w:shd w:val="clear" w:color="auto" w:fill="F0FFFF"/>
          </w:tcPr>
          <w:p>
            <w:pPr>
              <w:spacing w:after="0"/>
              <w:rPr>
                <w:sz w:val="18"/>
                <w:szCs w:val="18"/>
                <w:color w:val="auto"/>
              </w:rPr>
            </w:pPr>
          </w:p>
        </w:tc>
        <w:tc>
          <w:tcPr>
            <w:tcW w:w="12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1,975</w:t>
            </w: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17,755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Arial" w:cs="Arial" w:eastAsia="Arial" w:hAnsi="Arial"/>
                <w:sz w:val="18"/>
                <w:szCs w:val="18"/>
                <w:color w:val="auto"/>
              </w:rPr>
              <w:t>Commercial construction</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131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6,305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132</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Residential mortgage</w:t>
            </w:r>
          </w:p>
        </w:tc>
        <w:tc>
          <w:tcPr>
            <w:tcW w:w="4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2,800</w:t>
            </w: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5,557</w:t>
            </w:r>
          </w:p>
        </w:tc>
        <w:tc>
          <w:tcPr>
            <w:tcW w:w="2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4,381</w:t>
            </w: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7,354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Arial" w:cs="Arial" w:eastAsia="Arial" w:hAnsi="Arial"/>
                <w:sz w:val="18"/>
                <w:szCs w:val="18"/>
                <w:color w:val="auto"/>
              </w:rPr>
              <w:t>Home equity lines of credit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624</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1,627</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Residential construction</w:t>
            </w:r>
          </w:p>
        </w:tc>
        <w:tc>
          <w:tcPr>
            <w:tcW w:w="4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1,946</w:t>
            </w:r>
          </w:p>
        </w:tc>
        <w:tc>
          <w:tcPr>
            <w:tcW w:w="24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18,530</w:t>
            </w:r>
          </w:p>
        </w:tc>
        <w:tc>
          <w:tcPr>
            <w:tcW w:w="160" w:type="dxa"/>
            <w:vAlign w:val="bottom"/>
            <w:shd w:val="clear" w:color="auto" w:fill="F0FFFF"/>
          </w:tcPr>
          <w:p>
            <w:pPr>
              <w:spacing w:after="0"/>
              <w:rPr>
                <w:sz w:val="18"/>
                <w:szCs w:val="18"/>
                <w:color w:val="auto"/>
              </w:rPr>
            </w:pPr>
          </w:p>
        </w:tc>
        <w:tc>
          <w:tcPr>
            <w:tcW w:w="12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2,251</w:t>
            </w: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21,512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Arial" w:cs="Arial" w:eastAsia="Arial" w:hAnsi="Arial"/>
                <w:sz w:val="18"/>
                <w:szCs w:val="18"/>
                <w:color w:val="auto"/>
              </w:rPr>
              <w:t>Consumer installment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455</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511</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1,131</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bottom w:val="single" w:sz="8" w:color="F0FFFF"/>
            </w:tcBorders>
            <w:shd w:val="clear" w:color="auto" w:fill="F0FFFF"/>
          </w:tcPr>
          <w:p>
            <w:pPr>
              <w:ind w:left="160"/>
              <w:spacing w:after="0"/>
              <w:rPr>
                <w:sz w:val="20"/>
                <w:szCs w:val="20"/>
                <w:color w:val="auto"/>
              </w:rPr>
            </w:pPr>
            <w:r>
              <w:rPr>
                <w:rFonts w:ascii="Arial" w:cs="Arial" w:eastAsia="Arial" w:hAnsi="Arial"/>
                <w:sz w:val="18"/>
                <w:szCs w:val="18"/>
                <w:color w:val="auto"/>
              </w:rPr>
              <w:t>Indirect auto</w:t>
            </w:r>
          </w:p>
        </w:tc>
        <w:tc>
          <w:tcPr>
            <w:tcW w:w="48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auto"/>
            </w:tcBorders>
            <w:shd w:val="clear" w:color="auto" w:fill="F0FFFF"/>
          </w:tcPr>
          <w:p>
            <w:pPr>
              <w:spacing w:after="0"/>
              <w:rPr>
                <w:sz w:val="19"/>
                <w:szCs w:val="19"/>
                <w:color w:val="auto"/>
              </w:rPr>
            </w:pPr>
          </w:p>
        </w:tc>
        <w:tc>
          <w:tcPr>
            <w:tcW w:w="10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89</w:t>
            </w:r>
          </w:p>
        </w:tc>
        <w:tc>
          <w:tcPr>
            <w:tcW w:w="28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bottom w:val="single" w:sz="8" w:color="auto"/>
            </w:tcBorders>
            <w:shd w:val="clear" w:color="auto" w:fill="F0FFFF"/>
          </w:tcPr>
          <w:p>
            <w:pPr>
              <w:spacing w:after="0"/>
              <w:rPr>
                <w:sz w:val="19"/>
                <w:szCs w:val="19"/>
                <w:color w:val="auto"/>
              </w:rPr>
            </w:pPr>
          </w:p>
        </w:tc>
        <w:tc>
          <w:tcPr>
            <w:tcW w:w="8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54</w:t>
            </w:r>
          </w:p>
        </w:tc>
        <w:tc>
          <w:tcPr>
            <w:tcW w:w="280" w:type="dxa"/>
            <w:vAlign w:val="bottom"/>
            <w:tcBorders>
              <w:bottom w:val="single" w:sz="8" w:color="F0FFFF"/>
            </w:tcBorders>
            <w:shd w:val="clear" w:color="auto" w:fill="F0FFFF"/>
          </w:tcPr>
          <w:p>
            <w:pPr>
              <w:spacing w:after="0"/>
              <w:rPr>
                <w:sz w:val="19"/>
                <w:szCs w:val="19"/>
                <w:color w:val="auto"/>
              </w:rPr>
            </w:pPr>
          </w:p>
        </w:tc>
        <w:tc>
          <w:tcPr>
            <w:tcW w:w="160" w:type="dxa"/>
            <w:vAlign w:val="bottom"/>
            <w:tcBorders>
              <w:bottom w:val="single" w:sz="8" w:color="auto"/>
            </w:tcBorders>
            <w:shd w:val="clear" w:color="auto" w:fill="F0FFFF"/>
          </w:tcPr>
          <w:p>
            <w:pPr>
              <w:spacing w:after="0"/>
              <w:rPr>
                <w:sz w:val="19"/>
                <w:szCs w:val="19"/>
                <w:color w:val="auto"/>
              </w:rPr>
            </w:pPr>
          </w:p>
        </w:tc>
        <w:tc>
          <w:tcPr>
            <w:tcW w:w="9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166</w:t>
            </w:r>
          </w:p>
        </w:tc>
        <w:tc>
          <w:tcPr>
            <w:tcW w:w="260" w:type="dxa"/>
            <w:vAlign w:val="bottom"/>
            <w:tcBorders>
              <w:bottom w:val="single" w:sz="8" w:color="F0FFFF"/>
              <w:right w:val="single" w:sz="8" w:color="F0FFFF"/>
            </w:tcBorders>
            <w:shd w:val="clear" w:color="auto" w:fill="F0FFFF"/>
          </w:tcPr>
          <w:p>
            <w:pPr>
              <w:spacing w:after="0"/>
              <w:rPr>
                <w:sz w:val="19"/>
                <w:szCs w:val="19"/>
                <w:color w:val="auto"/>
              </w:rPr>
            </w:pPr>
          </w:p>
        </w:tc>
        <w:tc>
          <w:tcPr>
            <w:tcW w:w="240" w:type="dxa"/>
            <w:vAlign w:val="bottom"/>
            <w:tcBorders>
              <w:bottom w:val="single" w:sz="8" w:color="auto"/>
            </w:tcBorders>
            <w:shd w:val="clear" w:color="auto" w:fill="F0FFFF"/>
          </w:tcPr>
          <w:p>
            <w:pPr>
              <w:spacing w:after="0"/>
              <w:rPr>
                <w:sz w:val="19"/>
                <w:szCs w:val="19"/>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96</w:t>
            </w:r>
          </w:p>
        </w:tc>
        <w:tc>
          <w:tcPr>
            <w:tcW w:w="16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Total loans charged-off</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8,607</w:t>
            </w:r>
          </w:p>
        </w:tc>
        <w:tc>
          <w:tcPr>
            <w:tcW w:w="24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74,790</w:t>
            </w:r>
          </w:p>
        </w:tc>
        <w:tc>
          <w:tcPr>
            <w:tcW w:w="160" w:type="dxa"/>
            <w:vAlign w:val="bottom"/>
          </w:tcPr>
          <w:p>
            <w:pPr>
              <w:spacing w:after="0"/>
              <w:rPr>
                <w:sz w:val="19"/>
                <w:szCs w:val="19"/>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13,784</w:t>
            </w: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88,157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F0FFFF"/>
          </w:tcPr>
          <w:p>
            <w:pPr>
              <w:spacing w:after="0"/>
              <w:rPr>
                <w:sz w:val="20"/>
                <w:szCs w:val="20"/>
                <w:color w:val="auto"/>
              </w:rPr>
            </w:pPr>
            <w:r>
              <w:rPr>
                <w:rFonts w:ascii="Arial" w:cs="Arial" w:eastAsia="Arial" w:hAnsi="Arial"/>
                <w:sz w:val="18"/>
                <w:szCs w:val="18"/>
                <w:color w:val="auto"/>
              </w:rPr>
              <w:t>Recoveries:</w:t>
            </w:r>
          </w:p>
        </w:tc>
        <w:tc>
          <w:tcPr>
            <w:tcW w:w="480" w:type="dxa"/>
            <w:vAlign w:val="bottom"/>
            <w:shd w:val="clear" w:color="auto" w:fill="F0FFFF"/>
          </w:tcPr>
          <w:p>
            <w:pPr>
              <w:spacing w:after="0"/>
              <w:rPr>
                <w:sz w:val="18"/>
                <w:szCs w:val="18"/>
                <w:color w:val="auto"/>
              </w:rPr>
            </w:pPr>
          </w:p>
        </w:tc>
        <w:tc>
          <w:tcPr>
            <w:tcW w:w="100" w:type="dxa"/>
            <w:vAlign w:val="bottom"/>
            <w:tcBorders>
              <w:top w:val="single" w:sz="8" w:color="auto"/>
            </w:tcBorders>
            <w:shd w:val="clear" w:color="auto" w:fill="F0FFFF"/>
          </w:tcPr>
          <w:p>
            <w:pPr>
              <w:spacing w:after="0"/>
              <w:rPr>
                <w:sz w:val="18"/>
                <w:szCs w:val="18"/>
                <w:color w:val="auto"/>
              </w:rPr>
            </w:pPr>
          </w:p>
        </w:tc>
        <w:tc>
          <w:tcPr>
            <w:tcW w:w="1040" w:type="dxa"/>
            <w:vAlign w:val="bottom"/>
            <w:tcBorders>
              <w:top w:val="single" w:sz="8" w:color="auto"/>
            </w:tcBorders>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880" w:type="dxa"/>
            <w:vAlign w:val="bottom"/>
            <w:tcBorders>
              <w:top w:val="single" w:sz="8" w:color="auto"/>
            </w:tcBorders>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Arial" w:cs="Arial" w:eastAsia="Arial" w:hAnsi="Arial"/>
                <w:sz w:val="18"/>
                <w:szCs w:val="18"/>
                <w:color w:val="auto"/>
              </w:rPr>
              <w:t>Owner occupied commercial real estate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2,753</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2,843</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Income producing commercial real estate</w:t>
            </w:r>
          </w:p>
        </w:tc>
        <w:tc>
          <w:tcPr>
            <w:tcW w:w="4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197</w:t>
            </w:r>
          </w:p>
        </w:tc>
        <w:tc>
          <w:tcPr>
            <w:tcW w:w="24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249</w:t>
            </w:r>
          </w:p>
        </w:tc>
        <w:tc>
          <w:tcPr>
            <w:tcW w:w="160" w:type="dxa"/>
            <w:vAlign w:val="bottom"/>
            <w:shd w:val="clear" w:color="auto" w:fill="F0FFFF"/>
          </w:tcPr>
          <w:p>
            <w:pPr>
              <w:spacing w:after="0"/>
              <w:rPr>
                <w:sz w:val="18"/>
                <w:szCs w:val="18"/>
                <w:color w:val="auto"/>
              </w:rPr>
            </w:pPr>
          </w:p>
        </w:tc>
        <w:tc>
          <w:tcPr>
            <w:tcW w:w="12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197</w:t>
            </w: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Arial" w:cs="Arial" w:eastAsia="Arial" w:hAnsi="Arial"/>
                <w:sz w:val="18"/>
                <w:szCs w:val="18"/>
                <w:color w:val="auto"/>
              </w:rPr>
              <w:t>Commercial &amp; industrial</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350</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356</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891</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Commercial construction</w:t>
            </w:r>
          </w:p>
        </w:tc>
        <w:tc>
          <w:tcPr>
            <w:tcW w:w="4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Arial" w:cs="Arial" w:eastAsia="Arial" w:hAnsi="Arial"/>
                <w:sz w:val="18"/>
                <w:szCs w:val="18"/>
                <w:color w:val="auto"/>
              </w:rPr>
              <w:t>Residential mortgage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292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357</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Home equity lines of credit</w:t>
            </w:r>
          </w:p>
        </w:tc>
        <w:tc>
          <w:tcPr>
            <w:tcW w:w="4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158</w:t>
            </w:r>
          </w:p>
        </w:tc>
        <w:tc>
          <w:tcPr>
            <w:tcW w:w="24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F0FFFF"/>
          </w:tcPr>
          <w:p>
            <w:pPr>
              <w:spacing w:after="0"/>
              <w:rPr>
                <w:sz w:val="18"/>
                <w:szCs w:val="18"/>
                <w:color w:val="auto"/>
              </w:rPr>
            </w:pPr>
          </w:p>
        </w:tc>
        <w:tc>
          <w:tcPr>
            <w:tcW w:w="12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168</w:t>
            </w: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Arial" w:cs="Arial" w:eastAsia="Arial" w:hAnsi="Arial"/>
                <w:sz w:val="18"/>
                <w:szCs w:val="18"/>
                <w:color w:val="auto"/>
              </w:rPr>
              <w:t>Residential construction</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275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369</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Consumer installment</w:t>
            </w:r>
          </w:p>
        </w:tc>
        <w:tc>
          <w:tcPr>
            <w:tcW w:w="4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391</w:t>
            </w:r>
          </w:p>
        </w:tc>
        <w:tc>
          <w:tcPr>
            <w:tcW w:w="24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F0FFFF"/>
          </w:tcPr>
          <w:p>
            <w:pPr>
              <w:spacing w:after="0"/>
              <w:rPr>
                <w:sz w:val="18"/>
                <w:szCs w:val="18"/>
                <w:color w:val="auto"/>
              </w:rPr>
            </w:pPr>
          </w:p>
        </w:tc>
        <w:tc>
          <w:tcPr>
            <w:tcW w:w="12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718</w:t>
            </w: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Arial" w:cs="Arial" w:eastAsia="Arial" w:hAnsi="Arial"/>
                <w:sz w:val="18"/>
                <w:szCs w:val="18"/>
                <w:color w:val="auto"/>
              </w:rPr>
              <w:t>Indirect auto</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F0FFFF"/>
          </w:tcPr>
          <w:p>
            <w:pPr>
              <w:ind w:left="340"/>
              <w:spacing w:after="0"/>
              <w:rPr>
                <w:sz w:val="20"/>
                <w:szCs w:val="20"/>
                <w:color w:val="auto"/>
              </w:rPr>
            </w:pPr>
            <w:r>
              <w:rPr>
                <w:rFonts w:ascii="Arial" w:cs="Arial" w:eastAsia="Arial" w:hAnsi="Arial"/>
                <w:sz w:val="18"/>
                <w:szCs w:val="18"/>
                <w:color w:val="auto"/>
              </w:rPr>
              <w:t>Total recoveries</w:t>
            </w:r>
          </w:p>
        </w:tc>
        <w:tc>
          <w:tcPr>
            <w:tcW w:w="4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4,432</w:t>
            </w: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2,382</w:t>
            </w:r>
          </w:p>
        </w:tc>
        <w:tc>
          <w:tcPr>
            <w:tcW w:w="2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5,570</w:t>
            </w: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3,365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0" w:type="dxa"/>
            <w:vAlign w:val="bottom"/>
            <w:shd w:val="clear" w:color="auto" w:fill="F0FFFF"/>
          </w:tcPr>
          <w:p>
            <w:pPr>
              <w:spacing w:after="0"/>
              <w:rPr>
                <w:sz w:val="2"/>
                <w:szCs w:val="2"/>
                <w:color w:val="auto"/>
              </w:rPr>
            </w:pPr>
          </w:p>
        </w:tc>
        <w:tc>
          <w:tcPr>
            <w:tcW w:w="48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340"/>
              <w:spacing w:after="0"/>
              <w:rPr>
                <w:sz w:val="20"/>
                <w:szCs w:val="20"/>
                <w:color w:val="auto"/>
              </w:rPr>
            </w:pPr>
            <w:r>
              <w:rPr>
                <w:rFonts w:ascii="Arial" w:cs="Arial" w:eastAsia="Arial" w:hAnsi="Arial"/>
                <w:sz w:val="18"/>
                <w:szCs w:val="18"/>
                <w:color w:val="auto"/>
              </w:rPr>
              <w:t>Net charge-offs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4,175</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72,408</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8,214</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84,792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F0FFFF"/>
          </w:tcPr>
          <w:p>
            <w:pPr>
              <w:spacing w:after="0"/>
              <w:rPr>
                <w:sz w:val="20"/>
                <w:szCs w:val="20"/>
                <w:color w:val="auto"/>
              </w:rPr>
            </w:pPr>
            <w:r>
              <w:rPr>
                <w:rFonts w:ascii="Arial" w:cs="Arial" w:eastAsia="Arial" w:hAnsi="Arial"/>
                <w:sz w:val="18"/>
                <w:szCs w:val="18"/>
                <w:color w:val="auto"/>
              </w:rPr>
              <w:t>Provision for loan losses</w:t>
            </w:r>
          </w:p>
        </w:tc>
        <w:tc>
          <w:tcPr>
            <w:tcW w:w="4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2,200</w:t>
            </w:r>
          </w:p>
        </w:tc>
        <w:tc>
          <w:tcPr>
            <w:tcW w:w="24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48,500</w:t>
            </w:r>
          </w:p>
        </w:tc>
        <w:tc>
          <w:tcPr>
            <w:tcW w:w="160" w:type="dxa"/>
            <w:vAlign w:val="bottom"/>
            <w:shd w:val="clear" w:color="auto" w:fill="F0FFFF"/>
          </w:tcPr>
          <w:p>
            <w:pPr>
              <w:spacing w:after="0"/>
              <w:rPr>
                <w:sz w:val="18"/>
                <w:szCs w:val="18"/>
                <w:color w:val="auto"/>
              </w:rPr>
            </w:pPr>
          </w:p>
        </w:tc>
        <w:tc>
          <w:tcPr>
            <w:tcW w:w="12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4,700</w:t>
            </w: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59,500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shd w:val="clear" w:color="auto" w:fill="F0FFFF"/>
          </w:tcPr>
          <w:p>
            <w:pPr>
              <w:spacing w:after="0"/>
              <w:rPr>
                <w:sz w:val="2"/>
                <w:szCs w:val="2"/>
                <w:color w:val="auto"/>
              </w:rPr>
            </w:pPr>
          </w:p>
        </w:tc>
        <w:tc>
          <w:tcPr>
            <w:tcW w:w="48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Allowance for loan losses at end of period</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73,248</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81,845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73,248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81,845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F0FFFF"/>
          </w:tcPr>
          <w:p>
            <w:pPr>
              <w:spacing w:after="0"/>
              <w:rPr>
                <w:sz w:val="20"/>
                <w:szCs w:val="20"/>
                <w:color w:val="auto"/>
              </w:rPr>
            </w:pPr>
            <w:r>
              <w:rPr>
                <w:rFonts w:ascii="Arial" w:cs="Arial" w:eastAsia="Arial" w:hAnsi="Arial"/>
                <w:sz w:val="18"/>
                <w:szCs w:val="18"/>
                <w:color w:val="auto"/>
              </w:rPr>
              <w:t>Allowance for unfunded commitments at beginning of period</w:t>
            </w:r>
          </w:p>
        </w:tc>
        <w:tc>
          <w:tcPr>
            <w:tcW w:w="5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2,165</w:t>
            </w:r>
          </w:p>
        </w:tc>
        <w:tc>
          <w:tcPr>
            <w:tcW w:w="240" w:type="dxa"/>
            <w:vAlign w:val="bottom"/>
            <w:shd w:val="clear" w:color="auto" w:fill="F0FF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2,165</w:t>
            </w:r>
          </w:p>
        </w:tc>
        <w:tc>
          <w:tcPr>
            <w:tcW w:w="24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20"/>
              <w:spacing w:after="0"/>
              <w:rPr>
                <w:sz w:val="20"/>
                <w:szCs w:val="20"/>
                <w:color w:val="auto"/>
              </w:rPr>
            </w:pPr>
            <w:r>
              <w:rPr>
                <w:rFonts w:ascii="Arial" w:cs="Arial" w:eastAsia="Arial" w:hAnsi="Arial"/>
                <w:sz w:val="18"/>
                <w:szCs w:val="18"/>
                <w:color w:val="auto"/>
              </w:rPr>
              <w:t>Provision for losses on unfunded commitments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F0FFFF"/>
          </w:tcPr>
          <w:p>
            <w:pPr>
              <w:spacing w:after="0"/>
              <w:rPr>
                <w:sz w:val="20"/>
                <w:szCs w:val="20"/>
                <w:color w:val="auto"/>
              </w:rPr>
            </w:pPr>
            <w:r>
              <w:rPr>
                <w:rFonts w:ascii="Arial" w:cs="Arial" w:eastAsia="Arial" w:hAnsi="Arial"/>
                <w:sz w:val="18"/>
                <w:szCs w:val="18"/>
                <w:color w:val="auto"/>
              </w:rPr>
              <w:t>Allowance for unfunded commitments at end of period</w:t>
            </w:r>
          </w:p>
        </w:tc>
        <w:tc>
          <w:tcPr>
            <w:tcW w:w="4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2,165</w:t>
            </w:r>
          </w:p>
        </w:tc>
        <w:tc>
          <w:tcPr>
            <w:tcW w:w="24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F0FFFF"/>
          </w:tcPr>
          <w:p>
            <w:pPr>
              <w:spacing w:after="0"/>
              <w:rPr>
                <w:sz w:val="18"/>
                <w:szCs w:val="18"/>
                <w:color w:val="auto"/>
              </w:rPr>
            </w:pPr>
          </w:p>
        </w:tc>
        <w:tc>
          <w:tcPr>
            <w:tcW w:w="12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2,165</w:t>
            </w: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shd w:val="clear" w:color="auto" w:fill="F0FFFF"/>
          </w:tcPr>
          <w:p>
            <w:pPr>
              <w:spacing w:after="0"/>
              <w:rPr>
                <w:sz w:val="2"/>
                <w:szCs w:val="2"/>
                <w:color w:val="auto"/>
              </w:rPr>
            </w:pPr>
          </w:p>
        </w:tc>
        <w:tc>
          <w:tcPr>
            <w:tcW w:w="48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Allowance for credit losses</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75,413</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81,845</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75,413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81,845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F0FFFF"/>
          </w:tcPr>
          <w:p>
            <w:pPr>
              <w:spacing w:after="0"/>
              <w:rPr>
                <w:sz w:val="20"/>
                <w:szCs w:val="20"/>
                <w:color w:val="auto"/>
              </w:rPr>
            </w:pPr>
            <w:r>
              <w:rPr>
                <w:rFonts w:ascii="Arial" w:cs="Arial" w:eastAsia="Arial" w:hAnsi="Arial"/>
                <w:sz w:val="18"/>
                <w:szCs w:val="18"/>
                <w:color w:val="auto"/>
              </w:rPr>
              <w:t>Total loans: *</w:t>
            </w:r>
          </w:p>
        </w:tc>
        <w:tc>
          <w:tcPr>
            <w:tcW w:w="4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20"/>
              <w:spacing w:after="0"/>
              <w:rPr>
                <w:sz w:val="20"/>
                <w:szCs w:val="20"/>
                <w:color w:val="auto"/>
              </w:rPr>
            </w:pPr>
            <w:r>
              <w:rPr>
                <w:rFonts w:ascii="Arial" w:cs="Arial" w:eastAsia="Arial" w:hAnsi="Arial"/>
                <w:sz w:val="18"/>
                <w:szCs w:val="18"/>
                <w:color w:val="auto"/>
              </w:rPr>
              <w:t>At period-end</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4,410,285</w:t>
            </w:r>
          </w:p>
        </w:tc>
        <w:tc>
          <w:tcPr>
            <w:tcW w:w="28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4,189,368</w:t>
            </w:r>
          </w:p>
        </w:tc>
        <w:tc>
          <w:tcPr>
            <w:tcW w:w="2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4,410,285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4,189,368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F0FFFF"/>
          </w:tcPr>
          <w:p>
            <w:pPr>
              <w:ind w:left="120"/>
              <w:spacing w:after="0"/>
              <w:rPr>
                <w:sz w:val="20"/>
                <w:szCs w:val="20"/>
                <w:color w:val="auto"/>
              </w:rPr>
            </w:pPr>
            <w:r>
              <w:rPr>
                <w:rFonts w:ascii="Arial" w:cs="Arial" w:eastAsia="Arial" w:hAnsi="Arial"/>
                <w:sz w:val="18"/>
                <w:szCs w:val="18"/>
                <w:color w:val="auto"/>
              </w:rPr>
              <w:t>Average</w:t>
            </w:r>
          </w:p>
        </w:tc>
        <w:tc>
          <w:tcPr>
            <w:tcW w:w="4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4,358,101</w:t>
            </w:r>
          </w:p>
        </w:tc>
        <w:tc>
          <w:tcPr>
            <w:tcW w:w="2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4,226,952</w:t>
            </w:r>
          </w:p>
        </w:tc>
        <w:tc>
          <w:tcPr>
            <w:tcW w:w="2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2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4,346,974</w:t>
            </w: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4,196,756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Allowance for loan losses as a percentage of period-end loans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1.66%</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1.95%</w:t>
            </w: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1.66%</w:t>
            </w:r>
          </w:p>
        </w:tc>
        <w:tc>
          <w:tcPr>
            <w:tcW w:w="2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F0FFFF"/>
          </w:tcPr>
          <w:p>
            <w:pPr>
              <w:spacing w:after="0"/>
              <w:rPr>
                <w:sz w:val="20"/>
                <w:szCs w:val="20"/>
                <w:color w:val="auto"/>
              </w:rPr>
            </w:pPr>
            <w:r>
              <w:rPr>
                <w:rFonts w:ascii="Arial" w:cs="Arial" w:eastAsia="Arial" w:hAnsi="Arial"/>
                <w:sz w:val="18"/>
                <w:szCs w:val="18"/>
                <w:color w:val="auto"/>
              </w:rPr>
              <w:t>As a percentage of average loans (annualized):</w:t>
            </w:r>
          </w:p>
        </w:tc>
        <w:tc>
          <w:tcPr>
            <w:tcW w:w="4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20"/>
              <w:spacing w:after="0"/>
              <w:rPr>
                <w:sz w:val="20"/>
                <w:szCs w:val="20"/>
                <w:color w:val="auto"/>
              </w:rPr>
            </w:pPr>
            <w:r>
              <w:rPr>
                <w:rFonts w:ascii="Arial" w:cs="Arial" w:eastAsia="Arial" w:hAnsi="Arial"/>
                <w:sz w:val="18"/>
                <w:szCs w:val="18"/>
                <w:color w:val="auto"/>
              </w:rPr>
              <w:t>Net charge-offs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6.87</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F0FFFF"/>
          </w:tcPr>
          <w:p>
            <w:pPr>
              <w:ind w:left="120"/>
              <w:spacing w:after="0"/>
              <w:rPr>
                <w:sz w:val="20"/>
                <w:szCs w:val="20"/>
                <w:color w:val="auto"/>
              </w:rPr>
            </w:pPr>
            <w:r>
              <w:rPr>
                <w:rFonts w:ascii="Arial" w:cs="Arial" w:eastAsia="Arial" w:hAnsi="Arial"/>
                <w:sz w:val="18"/>
                <w:szCs w:val="18"/>
                <w:color w:val="auto"/>
              </w:rPr>
              <w:t>Provision for loan losses</w:t>
            </w:r>
          </w:p>
        </w:tc>
        <w:tc>
          <w:tcPr>
            <w:tcW w:w="4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32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F0FFFF"/>
          </w:tcPr>
          <w:p>
            <w:pPr>
              <w:spacing w:after="0"/>
              <w:rPr>
                <w:sz w:val="18"/>
                <w:szCs w:val="18"/>
                <w:color w:val="auto"/>
              </w:rPr>
            </w:pPr>
          </w:p>
        </w:tc>
        <w:tc>
          <w:tcPr>
            <w:tcW w:w="116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4.60</w:t>
            </w:r>
          </w:p>
        </w:tc>
        <w:tc>
          <w:tcPr>
            <w:tcW w:w="160" w:type="dxa"/>
            <w:vAlign w:val="bottom"/>
            <w:shd w:val="clear" w:color="auto" w:fill="F0FFFF"/>
          </w:tcPr>
          <w:p>
            <w:pPr>
              <w:spacing w:after="0"/>
              <w:rPr>
                <w:sz w:val="18"/>
                <w:szCs w:val="18"/>
                <w:color w:val="auto"/>
              </w:rPr>
            </w:pPr>
          </w:p>
        </w:tc>
        <w:tc>
          <w:tcPr>
            <w:tcW w:w="12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.22</w:t>
            </w:r>
          </w:p>
        </w:tc>
        <w:tc>
          <w:tcPr>
            <w:tcW w:w="24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Allowance for loan losses as a percentage of non-performing loans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353</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294</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353</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F0FFFF"/>
          </w:tcPr>
          <w:p>
            <w:pPr>
              <w:spacing w:after="0"/>
              <w:rPr>
                <w:sz w:val="20"/>
                <w:szCs w:val="20"/>
                <w:color w:val="auto"/>
              </w:rPr>
            </w:pPr>
            <w:r>
              <w:rPr>
                <w:rFonts w:ascii="Arial" w:cs="Arial" w:eastAsia="Arial" w:hAnsi="Arial"/>
                <w:sz w:val="18"/>
                <w:szCs w:val="18"/>
                <w:color w:val="auto"/>
                <w:w w:val="99"/>
              </w:rPr>
              <w:t>* Excludes loans covered by loss sharing agreements with the FDIC</w:t>
            </w:r>
          </w:p>
        </w:tc>
        <w:tc>
          <w:tcPr>
            <w:tcW w:w="4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88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246620" cy="274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provision for credit losses charged to earnings was based upon management’s judgment of the amount necessary to maintain the allowance at a level appropriate to probable incurred losses in the loan portfolio at the balance sheet date. The amount each quarter is dependent upon many factors, including growth and changes in the composition of the loan portfolio, net charge-offs, delinquencies, management’s assessment of loan portfolio quality, the value of collateral, and other macro-economic factors and trends. The evaluation of these factors is performed quarterly by management through an analysis of the appropriateness of the allowance for loan losses. The decreases in the provision and the level of the allowance for loan losses compared to the previous periods reflects stabilizing trends in substandard loans, leading to an expectation that charge-off levels will continue to decline. Further, the declining balance of the allowance for loan losses over the last several quarters reflects an overall improving trend in credit quality of the loan portfolio. A general improvement in economic conditions in United’s market also contributed to the lower level of provision and allowance for loan losses.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072" w:gutter="0" w:footer="0" w:header="0"/>
        </w:sectPr>
      </w:pPr>
    </w:p>
    <w:bookmarkStart w:id="57" w:name="page58"/>
    <w:bookmarkEnd w:id="57"/>
    <w:p>
      <w:pPr>
        <w:jc w:val="both"/>
        <w:ind w:right="20"/>
        <w:spacing w:after="0" w:line="286" w:lineRule="auto"/>
        <w:rPr>
          <w:sz w:val="20"/>
          <w:szCs w:val="20"/>
          <w:color w:val="auto"/>
        </w:rPr>
      </w:pPr>
      <w:r>
        <w:rPr>
          <w:rFonts w:ascii="Arial" w:cs="Arial" w:eastAsia="Arial" w:hAnsi="Arial"/>
          <w:sz w:val="17"/>
          <w:szCs w:val="17"/>
          <w:color w:val="auto"/>
        </w:rPr>
        <w:t>The allowance for credit losses, which includes a portion related to unfunded commitments, totaled $75.4 million at June 30, 2014, compared with $78.9 million at December 31, 2013, and $81.8 million at June 30, 2013. At June 30, 2014, the allowance for loan losses was $73.2 million, or 1.66% of loans, compared with $76.8 million, or 1.77% of total loans, at December 31, 2013 and $81.8 million, or 1.95% of loans, at June 30, 2013.</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 believes that the allowance for loan losses at June 30, 2014 reflects the probable incurred losses in the loan portfolio and unfunded loan commitments. This assessment involves uncertainty and judgment; therefore, the adequacy of the allowance for credit losses cannot be determined with precision and may be subject to change in future periods. The amount of any changes could be significant if management’s assessment of loan quality or collateral values change substantially with respect to one or more loan relationships or portfolios. In addition, bank regulatory authorities, as part of their periodic examination of the Bank, may require adjustments to the provision for credit losses in future periods if, in their opinion, the results of their review warrant such additions. See the “Critical Accounting Policies” section for additional information on the allowance for loan losses.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table below summarizes nonperforming assets, excluding assets covered by the loss-sharing agreements with the FDIC. Those assets have been excluded from nonperforming assets, as the loss-sharing agreements with the FDIC and purchase price adjustments to reflect credit losses effectively eliminate the likelihood of recognizing any losses on the covered assets.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320" w:type="dxa"/>
            <w:vAlign w:val="bottom"/>
          </w:tcPr>
          <w:p>
            <w:pPr>
              <w:spacing w:after="0"/>
              <w:rPr>
                <w:sz w:val="20"/>
                <w:szCs w:val="20"/>
                <w:color w:val="auto"/>
              </w:rPr>
            </w:pPr>
            <w:r>
              <w:rPr>
                <w:rFonts w:ascii="Arial" w:cs="Arial" w:eastAsia="Arial" w:hAnsi="Arial"/>
                <w:sz w:val="18"/>
                <w:szCs w:val="18"/>
                <w:b w:val="1"/>
                <w:bCs w:val="1"/>
                <w:color w:val="auto"/>
              </w:rPr>
              <w:t>Table 10 - Nonperforming Assets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6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0"/>
                <w:szCs w:val="20"/>
                <w:color w:val="auto"/>
              </w:rPr>
            </w:pPr>
          </w:p>
        </w:tc>
        <w:tc>
          <w:tcPr>
            <w:tcW w:w="1240" w:type="dxa"/>
            <w:vAlign w:val="bottom"/>
            <w:gridSpan w:val="2"/>
            <w:vMerge w:val="restart"/>
          </w:tcPr>
          <w:p>
            <w:pPr>
              <w:jc w:val="right"/>
              <w:ind w:right="520"/>
              <w:spacing w:after="0"/>
              <w:rPr>
                <w:sz w:val="20"/>
                <w:szCs w:val="20"/>
                <w:color w:val="auto"/>
              </w:rPr>
            </w:pPr>
            <w:r>
              <w:rPr>
                <w:rFonts w:ascii="Arial" w:cs="Arial" w:eastAsia="Arial" w:hAnsi="Arial"/>
                <w:sz w:val="18"/>
                <w:szCs w:val="18"/>
                <w:b w:val="1"/>
                <w:bCs w:val="1"/>
                <w:color w:val="auto"/>
                <w:w w:val="97"/>
              </w:rPr>
              <w:t>June 30,</w:t>
            </w:r>
          </w:p>
        </w:tc>
        <w:tc>
          <w:tcPr>
            <w:tcW w:w="1400" w:type="dxa"/>
            <w:vAlign w:val="bottom"/>
            <w:gridSpan w:val="3"/>
            <w:vMerge w:val="restart"/>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c>
          <w:tcPr>
            <w:tcW w:w="180" w:type="dxa"/>
            <w:vAlign w:val="bottom"/>
          </w:tcPr>
          <w:p>
            <w:pPr>
              <w:spacing w:after="0"/>
              <w:rPr>
                <w:sz w:val="20"/>
                <w:szCs w:val="20"/>
                <w:color w:val="auto"/>
              </w:rPr>
            </w:pPr>
          </w:p>
        </w:tc>
        <w:tc>
          <w:tcPr>
            <w:tcW w:w="1120" w:type="dxa"/>
            <w:vAlign w:val="bottom"/>
            <w:gridSpan w:val="2"/>
            <w:vMerge w:val="restart"/>
          </w:tcPr>
          <w:p>
            <w:pPr>
              <w:jc w:val="right"/>
              <w:ind w:right="400"/>
              <w:spacing w:after="0"/>
              <w:rPr>
                <w:sz w:val="20"/>
                <w:szCs w:val="20"/>
                <w:color w:val="auto"/>
              </w:rPr>
            </w:pPr>
            <w:r>
              <w:rPr>
                <w:rFonts w:ascii="Arial" w:cs="Arial" w:eastAsia="Arial" w:hAnsi="Arial"/>
                <w:sz w:val="18"/>
                <w:szCs w:val="18"/>
                <w:b w:val="1"/>
                <w:bCs w:val="1"/>
                <w:color w:val="auto"/>
                <w:w w:val="97"/>
              </w:rPr>
              <w:t>June 30,</w:t>
            </w:r>
          </w:p>
        </w:tc>
        <w:tc>
          <w:tcPr>
            <w:tcW w:w="0" w:type="dxa"/>
            <w:vAlign w:val="bottom"/>
          </w:tcPr>
          <w:p>
            <w:pPr>
              <w:spacing w:after="0"/>
              <w:rPr>
                <w:sz w:val="1"/>
                <w:szCs w:val="1"/>
                <w:color w:val="auto"/>
              </w:rPr>
            </w:pPr>
          </w:p>
        </w:tc>
      </w:tr>
      <w:tr>
        <w:trPr>
          <w:trHeight w:val="198"/>
        </w:trPr>
        <w:tc>
          <w:tcPr>
            <w:tcW w:w="7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40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F0FFFF"/>
          </w:tcPr>
          <w:p>
            <w:pPr>
              <w:ind w:left="60"/>
              <w:spacing w:after="0"/>
              <w:rPr>
                <w:sz w:val="20"/>
                <w:szCs w:val="20"/>
                <w:color w:val="auto"/>
              </w:rPr>
            </w:pPr>
            <w:r>
              <w:rPr>
                <w:rFonts w:ascii="Arial" w:cs="Arial" w:eastAsia="Arial" w:hAnsi="Arial"/>
                <w:sz w:val="18"/>
                <w:szCs w:val="18"/>
                <w:color w:val="auto"/>
              </w:rPr>
              <w:t>Nonperforming loans</w:t>
            </w: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20,724</w:t>
            </w:r>
          </w:p>
        </w:tc>
        <w:tc>
          <w:tcPr>
            <w:tcW w:w="240" w:type="dxa"/>
            <w:vAlign w:val="bottom"/>
            <w:shd w:val="clear" w:color="auto" w:fill="F0FFFF"/>
          </w:tcPr>
          <w:p>
            <w:pPr>
              <w:jc w:val="right"/>
              <w:ind w:right="80"/>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26,819</w:t>
            </w: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27,864</w:t>
            </w:r>
          </w:p>
        </w:tc>
        <w:tc>
          <w:tcPr>
            <w:tcW w:w="0" w:type="dxa"/>
            <w:vAlign w:val="bottom"/>
          </w:tcPr>
          <w:p>
            <w:pPr>
              <w:spacing w:after="0"/>
              <w:rPr>
                <w:sz w:val="1"/>
                <w:szCs w:val="1"/>
                <w:color w:val="auto"/>
              </w:rPr>
            </w:pPr>
          </w:p>
        </w:tc>
      </w:tr>
      <w:tr>
        <w:trPr>
          <w:trHeight w:val="223"/>
        </w:trPr>
        <w:tc>
          <w:tcPr>
            <w:tcW w:w="7320" w:type="dxa"/>
            <w:vAlign w:val="bottom"/>
          </w:tcPr>
          <w:p>
            <w:pPr>
              <w:ind w:left="60"/>
              <w:spacing w:after="0"/>
              <w:rPr>
                <w:sz w:val="20"/>
                <w:szCs w:val="20"/>
                <w:color w:val="auto"/>
              </w:rPr>
            </w:pPr>
            <w:r>
              <w:rPr>
                <w:rFonts w:ascii="Arial" w:cs="Arial" w:eastAsia="Arial" w:hAnsi="Arial"/>
                <w:sz w:val="18"/>
                <w:szCs w:val="18"/>
                <w:color w:val="auto"/>
              </w:rPr>
              <w:t>Foreclosed properties (OREO)</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2,969</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4,221</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320" w:type="dxa"/>
            <w:vAlign w:val="bottom"/>
            <w:shd w:val="clear" w:color="auto" w:fill="F0FFFF"/>
          </w:tcPr>
          <w:p>
            <w:pPr>
              <w:ind w:left="180"/>
              <w:spacing w:after="0"/>
              <w:rPr>
                <w:sz w:val="20"/>
                <w:szCs w:val="20"/>
                <w:color w:val="auto"/>
              </w:rPr>
            </w:pPr>
            <w:r>
              <w:rPr>
                <w:rFonts w:ascii="Arial" w:cs="Arial" w:eastAsia="Arial" w:hAnsi="Arial"/>
                <w:sz w:val="18"/>
                <w:szCs w:val="18"/>
                <w:color w:val="auto"/>
              </w:rPr>
              <w:t>Total nonperforming assets</w:t>
            </w: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F0FFFF"/>
          </w:tcPr>
          <w:p>
            <w:pPr>
              <w:jc w:val="right"/>
              <w:ind w:right="280"/>
              <w:spacing w:after="0"/>
              <w:rPr>
                <w:sz w:val="20"/>
                <w:szCs w:val="20"/>
                <w:color w:val="auto"/>
              </w:rPr>
            </w:pPr>
            <w:r>
              <w:rPr>
                <w:rFonts w:ascii="Arial" w:cs="Arial" w:eastAsia="Arial" w:hAnsi="Arial"/>
                <w:sz w:val="18"/>
                <w:szCs w:val="18"/>
                <w:color w:val="auto"/>
              </w:rPr>
              <w:t>23,693</w:t>
            </w:r>
          </w:p>
        </w:tc>
        <w:tc>
          <w:tcPr>
            <w:tcW w:w="240" w:type="dxa"/>
            <w:vAlign w:val="bottom"/>
            <w:shd w:val="clear" w:color="auto" w:fill="F0FFFF"/>
          </w:tcPr>
          <w:p>
            <w:pPr>
              <w:jc w:val="right"/>
              <w:ind w:right="80"/>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31,040</w:t>
            </w: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31,800</w:t>
            </w:r>
          </w:p>
        </w:tc>
        <w:tc>
          <w:tcPr>
            <w:tcW w:w="0" w:type="dxa"/>
            <w:vAlign w:val="bottom"/>
          </w:tcPr>
          <w:p>
            <w:pPr>
              <w:spacing w:after="0"/>
              <w:rPr>
                <w:sz w:val="1"/>
                <w:szCs w:val="1"/>
                <w:color w:val="auto"/>
              </w:rPr>
            </w:pPr>
          </w:p>
        </w:tc>
      </w:tr>
      <w:tr>
        <w:trPr>
          <w:trHeight w:val="20"/>
        </w:trPr>
        <w:tc>
          <w:tcPr>
            <w:tcW w:w="732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20" w:type="dxa"/>
            <w:vAlign w:val="bottom"/>
          </w:tcPr>
          <w:p>
            <w:pPr>
              <w:ind w:left="60"/>
              <w:spacing w:after="0"/>
              <w:rPr>
                <w:sz w:val="20"/>
                <w:szCs w:val="20"/>
                <w:color w:val="auto"/>
              </w:rPr>
            </w:pPr>
            <w:r>
              <w:rPr>
                <w:rFonts w:ascii="Arial" w:cs="Arial" w:eastAsia="Arial" w:hAnsi="Arial"/>
                <w:sz w:val="18"/>
                <w:szCs w:val="18"/>
                <w:color w:val="auto"/>
              </w:rPr>
              <w:t>Nonperforming loans as a percentage of total loans</w:t>
            </w: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7320" w:type="dxa"/>
            <w:vAlign w:val="bottom"/>
            <w:shd w:val="clear" w:color="auto" w:fill="F0FFFF"/>
          </w:tcPr>
          <w:p>
            <w:pPr>
              <w:ind w:left="60"/>
              <w:spacing w:after="0"/>
              <w:rPr>
                <w:sz w:val="20"/>
                <w:szCs w:val="20"/>
                <w:color w:val="auto"/>
              </w:rPr>
            </w:pPr>
            <w:r>
              <w:rPr>
                <w:rFonts w:ascii="Arial" w:cs="Arial" w:eastAsia="Arial" w:hAnsi="Arial"/>
                <w:sz w:val="18"/>
                <w:szCs w:val="18"/>
                <w:color w:val="auto"/>
              </w:rPr>
              <w:t>Nonperforming assets as a percentage of total loans and OREO</w:t>
            </w:r>
          </w:p>
        </w:tc>
        <w:tc>
          <w:tcPr>
            <w:tcW w:w="160" w:type="dxa"/>
            <w:vAlign w:val="bottom"/>
            <w:shd w:val="clear" w:color="auto" w:fill="F0FFFF"/>
          </w:tcPr>
          <w:p>
            <w:pPr>
              <w:spacing w:after="0"/>
              <w:rPr>
                <w:sz w:val="18"/>
                <w:szCs w:val="18"/>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.54</w:t>
            </w:r>
          </w:p>
        </w:tc>
        <w:tc>
          <w:tcPr>
            <w:tcW w:w="28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16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.72</w:t>
            </w:r>
          </w:p>
        </w:tc>
        <w:tc>
          <w:tcPr>
            <w:tcW w:w="18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30"/>
        </w:trPr>
        <w:tc>
          <w:tcPr>
            <w:tcW w:w="7320" w:type="dxa"/>
            <w:vAlign w:val="bottom"/>
          </w:tcPr>
          <w:p>
            <w:pPr>
              <w:ind w:left="60"/>
              <w:spacing w:after="0"/>
              <w:rPr>
                <w:sz w:val="20"/>
                <w:szCs w:val="20"/>
                <w:color w:val="auto"/>
              </w:rPr>
            </w:pPr>
            <w:r>
              <w:rPr>
                <w:rFonts w:ascii="Arial" w:cs="Arial" w:eastAsia="Arial" w:hAnsi="Arial"/>
                <w:sz w:val="18"/>
                <w:szCs w:val="18"/>
                <w:color w:val="auto"/>
              </w:rPr>
              <w:t>Nonperforming assets as a percentage of total assets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June 30, 2014, nonperforming loans were $20.7 million compared to $26.8 million at December 31, 2013 and $27.9 million at June 30, 2013. Nonperforming loans have steadily decreased in dollar amount and as a percentage of total loans. In addition, the second quarter of 2013 sales of classified assets further reduced nonperforming assets. Nonperforming assets, which include nonperforming loans and foreclosed real estate, totaled $23.7 million at June 30, 2014 compared with $31.0 million at December 31, 2013 and $31.8 million at June 30, 2013. United sold $4.43 million of foreclosed properties and added $1.69 million in new foreclosures during the second quarter of 2014.</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United’s policy is to place loans on nonaccrual status when, in the opinion of management, the principal and interest on a loan is not likely to be repaid in accordance with the loan terms or when the loan becomes 90 days past due and is not well secured and in the process of collection. When a loan is classified on nonaccrual status, interest previously accrued but not collected is reversed against current interest revenue. Principal and interest payments received on a nonaccrual loan are applied to reduce outstanding principal.</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58" w:name="page59"/>
    <w:bookmarkEnd w:id="58"/>
    <w:p>
      <w:pPr>
        <w:jc w:val="both"/>
        <w:spacing w:after="0" w:line="277" w:lineRule="auto"/>
        <w:rPr>
          <w:sz w:val="20"/>
          <w:szCs w:val="20"/>
          <w:color w:val="auto"/>
        </w:rPr>
      </w:pPr>
      <w:r>
        <w:rPr>
          <w:rFonts w:ascii="Arial" w:cs="Arial" w:eastAsia="Arial" w:hAnsi="Arial"/>
          <w:sz w:val="18"/>
          <w:szCs w:val="18"/>
          <w:color w:val="auto"/>
        </w:rPr>
        <w:t>The following table summarizes nonperforming assets by category and market. As with Tables 7, 8, 9 and 10, assets covered by the loss-sharing agreements with the FDIC related to the acquisition of SCB are excluded from this table.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11 - Nonperforming Assets by Quarter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w w:val="93"/>
              </w:rPr>
              <w:t>June 30, 2014</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December 31, 2013</w:t>
            </w: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w w:val="93"/>
              </w:rPr>
              <w:t>June 30, 2013</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Nonaccrual</w:t>
            </w:r>
          </w:p>
        </w:tc>
        <w:tc>
          <w:tcPr>
            <w:tcW w:w="102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Foreclosed</w:t>
            </w:r>
          </w:p>
        </w:tc>
        <w:tc>
          <w:tcPr>
            <w:tcW w:w="200" w:type="dxa"/>
            <w:vAlign w:val="bottom"/>
          </w:tcPr>
          <w:p>
            <w:pPr>
              <w:spacing w:after="0"/>
              <w:rPr>
                <w:sz w:val="19"/>
                <w:szCs w:val="19"/>
                <w:color w:val="auto"/>
              </w:rPr>
            </w:pPr>
          </w:p>
        </w:tc>
        <w:tc>
          <w:tcPr>
            <w:tcW w:w="80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7"/>
              </w:rPr>
              <w:t>Total</w:t>
            </w:r>
          </w:p>
        </w:tc>
        <w:tc>
          <w:tcPr>
            <w:tcW w:w="8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Nonaccrual</w:t>
            </w:r>
          </w:p>
        </w:tc>
        <w:tc>
          <w:tcPr>
            <w:tcW w:w="108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Foreclosed</w:t>
            </w:r>
          </w:p>
        </w:tc>
        <w:tc>
          <w:tcPr>
            <w:tcW w:w="140" w:type="dxa"/>
            <w:vAlign w:val="bottom"/>
          </w:tcPr>
          <w:p>
            <w:pPr>
              <w:spacing w:after="0"/>
              <w:rPr>
                <w:sz w:val="19"/>
                <w:szCs w:val="19"/>
                <w:color w:val="auto"/>
              </w:rPr>
            </w:pPr>
          </w:p>
        </w:tc>
        <w:tc>
          <w:tcPr>
            <w:tcW w:w="80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7"/>
              </w:rPr>
              <w:t>Total</w:t>
            </w:r>
          </w:p>
        </w:tc>
        <w:tc>
          <w:tcPr>
            <w:tcW w:w="80" w:type="dxa"/>
            <w:vAlign w:val="bottom"/>
          </w:tcPr>
          <w:p>
            <w:pPr>
              <w:spacing w:after="0"/>
              <w:rPr>
                <w:sz w:val="19"/>
                <w:szCs w:val="19"/>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Nonaccrual</w:t>
            </w:r>
          </w:p>
        </w:tc>
        <w:tc>
          <w:tcPr>
            <w:tcW w:w="1020" w:type="dxa"/>
            <w:vAlign w:val="bottom"/>
            <w:tcBorders>
              <w:right w:val="single" w:sz="8" w:color="auto"/>
            </w:tcBorders>
            <w:gridSpan w:val="3"/>
          </w:tcPr>
          <w:p>
            <w:pPr>
              <w:spacing w:after="0"/>
              <w:rPr>
                <w:sz w:val="20"/>
                <w:szCs w:val="20"/>
                <w:color w:val="auto"/>
              </w:rPr>
            </w:pPr>
            <w:r>
              <w:rPr>
                <w:rFonts w:ascii="Arial" w:cs="Arial" w:eastAsia="Arial" w:hAnsi="Arial"/>
                <w:sz w:val="18"/>
                <w:szCs w:val="18"/>
                <w:b w:val="1"/>
                <w:bCs w:val="1"/>
                <w:color w:val="auto"/>
              </w:rPr>
              <w:t>Foreclosed</w:t>
            </w:r>
          </w:p>
        </w:tc>
        <w:tc>
          <w:tcPr>
            <w:tcW w:w="200" w:type="dxa"/>
            <w:vAlign w:val="bottom"/>
          </w:tcPr>
          <w:p>
            <w:pPr>
              <w:spacing w:after="0"/>
              <w:rPr>
                <w:sz w:val="19"/>
                <w:szCs w:val="19"/>
                <w:color w:val="auto"/>
              </w:rPr>
            </w:pPr>
          </w:p>
        </w:tc>
        <w:tc>
          <w:tcPr>
            <w:tcW w:w="82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w w:val="94"/>
              </w:rPr>
              <w:t>Loans</w:t>
            </w:r>
          </w:p>
        </w:tc>
        <w:tc>
          <w:tcPr>
            <w:tcW w:w="102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Properties</w:t>
            </w:r>
          </w:p>
        </w:tc>
        <w:tc>
          <w:tcPr>
            <w:tcW w:w="200" w:type="dxa"/>
            <w:vAlign w:val="bottom"/>
          </w:tcPr>
          <w:p>
            <w:pPr>
              <w:spacing w:after="0"/>
              <w:rPr>
                <w:sz w:val="20"/>
                <w:szCs w:val="20"/>
                <w:color w:val="auto"/>
              </w:rPr>
            </w:pPr>
          </w:p>
        </w:tc>
        <w:tc>
          <w:tcPr>
            <w:tcW w:w="80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1"/>
              </w:rPr>
              <w:t>NPAs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4"/>
              </w:rPr>
              <w:t>Loans</w:t>
            </w:r>
          </w:p>
        </w:tc>
        <w:tc>
          <w:tcPr>
            <w:tcW w:w="10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Properties</w:t>
            </w:r>
          </w:p>
        </w:tc>
        <w:tc>
          <w:tcPr>
            <w:tcW w:w="140" w:type="dxa"/>
            <w:vAlign w:val="bottom"/>
          </w:tcPr>
          <w:p>
            <w:pPr>
              <w:spacing w:after="0"/>
              <w:rPr>
                <w:sz w:val="20"/>
                <w:szCs w:val="20"/>
                <w:color w:val="auto"/>
              </w:rPr>
            </w:pPr>
          </w:p>
        </w:tc>
        <w:tc>
          <w:tcPr>
            <w:tcW w:w="80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1"/>
              </w:rPr>
              <w:t>NPAs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w w:val="94"/>
              </w:rPr>
              <w:t>Loans</w:t>
            </w:r>
          </w:p>
        </w:tc>
        <w:tc>
          <w:tcPr>
            <w:tcW w:w="102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Properties</w:t>
            </w:r>
          </w:p>
        </w:tc>
        <w:tc>
          <w:tcPr>
            <w:tcW w:w="200" w:type="dxa"/>
            <w:vAlign w:val="bottom"/>
          </w:tcPr>
          <w:p>
            <w:pPr>
              <w:spacing w:after="0"/>
              <w:rPr>
                <w:sz w:val="20"/>
                <w:szCs w:val="20"/>
                <w:color w:val="auto"/>
              </w:rPr>
            </w:pPr>
          </w:p>
        </w:tc>
        <w:tc>
          <w:tcPr>
            <w:tcW w:w="820" w:type="dxa"/>
            <w:vAlign w:val="bottom"/>
            <w:tcBorders>
              <w:right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1"/>
              </w:rPr>
              <w:t>NPAs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BY CATEGORY</w:t>
            </w:r>
          </w:p>
        </w:tc>
        <w:tc>
          <w:tcPr>
            <w:tcW w:w="160" w:type="dxa"/>
            <w:vAlign w:val="bottom"/>
            <w:tcBorders>
              <w:top w:val="single" w:sz="8" w:color="auto"/>
            </w:tcBorders>
            <w:shd w:val="clear" w:color="auto" w:fill="F0FFFF"/>
          </w:tcPr>
          <w:p>
            <w:pPr>
              <w:spacing w:after="0"/>
              <w:rPr>
                <w:sz w:val="18"/>
                <w:szCs w:val="18"/>
                <w:color w:val="auto"/>
              </w:rPr>
            </w:pPr>
          </w:p>
        </w:tc>
        <w:tc>
          <w:tcPr>
            <w:tcW w:w="720" w:type="dxa"/>
            <w:vAlign w:val="bottom"/>
            <w:tcBorders>
              <w:top w:val="single" w:sz="8" w:color="auto"/>
            </w:tcBorders>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560" w:type="dxa"/>
            <w:vAlign w:val="bottom"/>
            <w:tcBorders>
              <w:top w:val="single" w:sz="8" w:color="auto"/>
            </w:tcBorders>
            <w:shd w:val="clear" w:color="auto" w:fill="F0FFFF"/>
          </w:tcPr>
          <w:p>
            <w:pPr>
              <w:spacing w:after="0"/>
              <w:rPr>
                <w:sz w:val="18"/>
                <w:szCs w:val="18"/>
                <w:color w:val="auto"/>
              </w:rPr>
            </w:pPr>
          </w:p>
        </w:tc>
        <w:tc>
          <w:tcPr>
            <w:tcW w:w="200" w:type="dxa"/>
            <w:vAlign w:val="bottom"/>
            <w:tcBorders>
              <w:right w:val="single" w:sz="8" w:color="auto"/>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800" w:type="dxa"/>
            <w:vAlign w:val="bottom"/>
            <w:tcBorders>
              <w:top w:val="single" w:sz="8" w:color="auto"/>
              <w:right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720" w:type="dxa"/>
            <w:vAlign w:val="bottom"/>
            <w:tcBorders>
              <w:top w:val="single" w:sz="8" w:color="auto"/>
            </w:tcBorders>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560" w:type="dxa"/>
            <w:vAlign w:val="bottom"/>
            <w:tcBorders>
              <w:top w:val="single" w:sz="8" w:color="auto"/>
            </w:tcBorders>
            <w:shd w:val="clear" w:color="auto" w:fill="F0FFFF"/>
          </w:tcPr>
          <w:p>
            <w:pPr>
              <w:spacing w:after="0"/>
              <w:rPr>
                <w:sz w:val="18"/>
                <w:szCs w:val="18"/>
                <w:color w:val="auto"/>
              </w:rPr>
            </w:pPr>
          </w:p>
        </w:tc>
        <w:tc>
          <w:tcPr>
            <w:tcW w:w="260" w:type="dxa"/>
            <w:vAlign w:val="bottom"/>
            <w:tcBorders>
              <w:right w:val="single" w:sz="8" w:color="auto"/>
            </w:tcBorders>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800" w:type="dxa"/>
            <w:vAlign w:val="bottom"/>
            <w:tcBorders>
              <w:top w:val="single" w:sz="8" w:color="auto"/>
              <w:right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720" w:type="dxa"/>
            <w:vAlign w:val="bottom"/>
            <w:tcBorders>
              <w:top w:val="single" w:sz="8" w:color="auto"/>
            </w:tcBorders>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260" w:type="dxa"/>
            <w:vAlign w:val="bottom"/>
            <w:tcBorders>
              <w:top w:val="single" w:sz="8" w:color="auto"/>
            </w:tcBorders>
            <w:shd w:val="clear" w:color="auto" w:fill="F0FFFF"/>
          </w:tcPr>
          <w:p>
            <w:pPr>
              <w:spacing w:after="0"/>
              <w:rPr>
                <w:sz w:val="18"/>
                <w:szCs w:val="18"/>
                <w:color w:val="auto"/>
              </w:rPr>
            </w:pPr>
          </w:p>
        </w:tc>
        <w:tc>
          <w:tcPr>
            <w:tcW w:w="560" w:type="dxa"/>
            <w:vAlign w:val="bottom"/>
            <w:tcBorders>
              <w:top w:val="single" w:sz="8" w:color="auto"/>
            </w:tcBorders>
            <w:shd w:val="clear" w:color="auto" w:fill="F0FFFF"/>
          </w:tcPr>
          <w:p>
            <w:pPr>
              <w:spacing w:after="0"/>
              <w:rPr>
                <w:sz w:val="18"/>
                <w:szCs w:val="18"/>
                <w:color w:val="auto"/>
              </w:rPr>
            </w:pPr>
          </w:p>
        </w:tc>
        <w:tc>
          <w:tcPr>
            <w:tcW w:w="200" w:type="dxa"/>
            <w:vAlign w:val="bottom"/>
            <w:tcBorders>
              <w:right w:val="single" w:sz="8" w:color="auto"/>
            </w:tcBorders>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820" w:type="dxa"/>
            <w:vAlign w:val="bottom"/>
            <w:tcBorders>
              <w:top w:val="single" w:sz="8" w:color="auto"/>
              <w:right w:val="single" w:sz="8" w:color="auto"/>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tcPr>
          <w:p>
            <w:pPr>
              <w:spacing w:after="0" w:line="201" w:lineRule="exact"/>
              <w:rPr>
                <w:sz w:val="20"/>
                <w:szCs w:val="20"/>
                <w:color w:val="auto"/>
              </w:rPr>
            </w:pPr>
            <w:r>
              <w:rPr>
                <w:rFonts w:ascii="Arial" w:cs="Arial" w:eastAsia="Arial" w:hAnsi="Arial"/>
                <w:sz w:val="18"/>
                <w:szCs w:val="18"/>
                <w:color w:val="auto"/>
              </w:rPr>
              <w:t>Owner occupied</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ind w:left="160"/>
              <w:spacing w:after="0"/>
              <w:rPr>
                <w:sz w:val="20"/>
                <w:szCs w:val="20"/>
                <w:color w:val="auto"/>
              </w:rPr>
            </w:pPr>
            <w:r>
              <w:rPr>
                <w:rFonts w:ascii="Arial" w:cs="Arial" w:eastAsia="Arial" w:hAnsi="Arial"/>
                <w:sz w:val="18"/>
                <w:szCs w:val="18"/>
                <w:color w:val="auto"/>
              </w:rPr>
              <w:t>commercial real</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ind w:left="160"/>
              <w:spacing w:after="0"/>
              <w:rPr>
                <w:sz w:val="20"/>
                <w:szCs w:val="20"/>
                <w:color w:val="auto"/>
              </w:rPr>
            </w:pPr>
            <w:r>
              <w:rPr>
                <w:rFonts w:ascii="Arial" w:cs="Arial" w:eastAsia="Arial" w:hAnsi="Arial"/>
                <w:sz w:val="18"/>
                <w:szCs w:val="18"/>
                <w:color w:val="auto"/>
              </w:rPr>
              <w:t>estate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70"/>
              <w:spacing w:after="0"/>
              <w:rPr>
                <w:sz w:val="20"/>
                <w:szCs w:val="20"/>
                <w:color w:val="auto"/>
              </w:rPr>
            </w:pPr>
            <w:r>
              <w:rPr>
                <w:rFonts w:ascii="Arial" w:cs="Arial" w:eastAsia="Arial" w:hAnsi="Arial"/>
                <w:sz w:val="18"/>
                <w:szCs w:val="18"/>
                <w:color w:val="auto"/>
              </w:rPr>
              <w:t>2,975</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653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3,628</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5,822</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832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6,654</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70"/>
              <w:spacing w:after="0"/>
              <w:rPr>
                <w:sz w:val="20"/>
                <w:szCs w:val="20"/>
                <w:color w:val="auto"/>
              </w:rPr>
            </w:pPr>
            <w:r>
              <w:rPr>
                <w:rFonts w:ascii="Arial" w:cs="Arial" w:eastAsia="Arial" w:hAnsi="Arial"/>
                <w:sz w:val="18"/>
                <w:szCs w:val="18"/>
                <w:color w:val="auto"/>
              </w:rPr>
              <w:t>5,283</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547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5,830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Income producing</w:t>
            </w:r>
          </w:p>
        </w:tc>
        <w:tc>
          <w:tcPr>
            <w:tcW w:w="16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560" w:type="dxa"/>
            <w:vAlign w:val="bottom"/>
            <w:shd w:val="clear" w:color="auto" w:fill="F0FFFF"/>
          </w:tcPr>
          <w:p>
            <w:pPr>
              <w:spacing w:after="0"/>
              <w:rPr>
                <w:sz w:val="17"/>
                <w:szCs w:val="17"/>
                <w:color w:val="auto"/>
              </w:rPr>
            </w:pPr>
          </w:p>
        </w:tc>
        <w:tc>
          <w:tcPr>
            <w:tcW w:w="200" w:type="dxa"/>
            <w:vAlign w:val="bottom"/>
            <w:tcBorders>
              <w:right w:val="single" w:sz="8" w:color="auto"/>
            </w:tcBorders>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800" w:type="dxa"/>
            <w:vAlign w:val="bottom"/>
            <w:tcBorders>
              <w:right w:val="single" w:sz="8" w:color="auto"/>
            </w:tcBorders>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260" w:type="dxa"/>
            <w:vAlign w:val="bottom"/>
            <w:tcBorders>
              <w:right w:val="single" w:sz="8" w:color="F0FFFF"/>
            </w:tcBorders>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560" w:type="dxa"/>
            <w:vAlign w:val="bottom"/>
            <w:shd w:val="clear" w:color="auto" w:fill="F0FFFF"/>
          </w:tcPr>
          <w:p>
            <w:pPr>
              <w:spacing w:after="0"/>
              <w:rPr>
                <w:sz w:val="17"/>
                <w:szCs w:val="17"/>
                <w:color w:val="auto"/>
              </w:rPr>
            </w:pPr>
          </w:p>
        </w:tc>
        <w:tc>
          <w:tcPr>
            <w:tcW w:w="260" w:type="dxa"/>
            <w:vAlign w:val="bottom"/>
            <w:tcBorders>
              <w:right w:val="single" w:sz="8" w:color="auto"/>
            </w:tcBorders>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0" w:type="dxa"/>
            <w:vAlign w:val="bottom"/>
            <w:tcBorders>
              <w:right w:val="single" w:sz="8" w:color="auto"/>
            </w:tcBorders>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260" w:type="dxa"/>
            <w:vAlign w:val="bottom"/>
            <w:tcBorders>
              <w:right w:val="single" w:sz="8" w:color="F0FFFF"/>
            </w:tcBorders>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560" w:type="dxa"/>
            <w:vAlign w:val="bottom"/>
            <w:shd w:val="clear" w:color="auto" w:fill="F0FFFF"/>
          </w:tcPr>
          <w:p>
            <w:pPr>
              <w:spacing w:after="0"/>
              <w:rPr>
                <w:sz w:val="17"/>
                <w:szCs w:val="17"/>
                <w:color w:val="auto"/>
              </w:rPr>
            </w:pPr>
          </w:p>
        </w:tc>
        <w:tc>
          <w:tcPr>
            <w:tcW w:w="200" w:type="dxa"/>
            <w:vAlign w:val="bottom"/>
            <w:tcBorders>
              <w:right w:val="single" w:sz="8" w:color="auto"/>
            </w:tcBorders>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820" w:type="dxa"/>
            <w:vAlign w:val="bottom"/>
            <w:tcBorders>
              <w:right w:val="single" w:sz="8" w:color="auto"/>
            </w:tcBorders>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commercial real</w:t>
            </w:r>
          </w:p>
        </w:tc>
        <w:tc>
          <w:tcPr>
            <w:tcW w:w="16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560" w:type="dxa"/>
            <w:vAlign w:val="bottom"/>
            <w:shd w:val="clear" w:color="auto" w:fill="F0FFFF"/>
          </w:tcPr>
          <w:p>
            <w:pPr>
              <w:spacing w:after="0"/>
              <w:rPr>
                <w:sz w:val="18"/>
                <w:szCs w:val="18"/>
                <w:color w:val="auto"/>
              </w:rPr>
            </w:pPr>
          </w:p>
        </w:tc>
        <w:tc>
          <w:tcPr>
            <w:tcW w:w="200" w:type="dxa"/>
            <w:vAlign w:val="bottom"/>
            <w:tcBorders>
              <w:right w:val="single" w:sz="8" w:color="auto"/>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0" w:type="dxa"/>
            <w:vAlign w:val="bottom"/>
            <w:tcBorders>
              <w:right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560" w:type="dxa"/>
            <w:vAlign w:val="bottom"/>
            <w:shd w:val="clear" w:color="auto" w:fill="F0FFFF"/>
          </w:tcPr>
          <w:p>
            <w:pPr>
              <w:spacing w:after="0"/>
              <w:rPr>
                <w:sz w:val="18"/>
                <w:szCs w:val="18"/>
                <w:color w:val="auto"/>
              </w:rPr>
            </w:pPr>
          </w:p>
        </w:tc>
        <w:tc>
          <w:tcPr>
            <w:tcW w:w="260" w:type="dxa"/>
            <w:vAlign w:val="bottom"/>
            <w:tcBorders>
              <w:right w:val="single" w:sz="8" w:color="auto"/>
            </w:tcBorders>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0" w:type="dxa"/>
            <w:vAlign w:val="bottom"/>
            <w:tcBorders>
              <w:right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560" w:type="dxa"/>
            <w:vAlign w:val="bottom"/>
            <w:shd w:val="clear" w:color="auto" w:fill="F0FFFF"/>
          </w:tcPr>
          <w:p>
            <w:pPr>
              <w:spacing w:after="0"/>
              <w:rPr>
                <w:sz w:val="18"/>
                <w:szCs w:val="18"/>
                <w:color w:val="auto"/>
              </w:rPr>
            </w:pPr>
          </w:p>
        </w:tc>
        <w:tc>
          <w:tcPr>
            <w:tcW w:w="200" w:type="dxa"/>
            <w:vAlign w:val="bottom"/>
            <w:tcBorders>
              <w:right w:val="single" w:sz="8" w:color="auto"/>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tcBorders>
              <w:right w:val="single" w:sz="8" w:color="auto"/>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shd w:val="clear" w:color="auto" w:fill="F0FFFF"/>
          </w:tcPr>
          <w:p>
            <w:pPr>
              <w:ind w:left="160"/>
              <w:spacing w:after="0"/>
              <w:rPr>
                <w:sz w:val="20"/>
                <w:szCs w:val="20"/>
                <w:color w:val="auto"/>
              </w:rPr>
            </w:pPr>
            <w:r>
              <w:rPr>
                <w:rFonts w:ascii="Arial" w:cs="Arial" w:eastAsia="Arial" w:hAnsi="Arial"/>
                <w:sz w:val="18"/>
                <w:szCs w:val="18"/>
                <w:color w:val="auto"/>
              </w:rPr>
              <w:t>estate</w:t>
            </w:r>
          </w:p>
        </w:tc>
        <w:tc>
          <w:tcPr>
            <w:tcW w:w="160" w:type="dxa"/>
            <w:vAlign w:val="bottom"/>
            <w:shd w:val="clear" w:color="auto" w:fill="F0FFFF"/>
          </w:tcPr>
          <w:p>
            <w:pPr>
              <w:spacing w:after="0"/>
              <w:rPr>
                <w:sz w:val="20"/>
                <w:szCs w:val="20"/>
                <w:color w:val="auto"/>
              </w:rPr>
            </w:pPr>
          </w:p>
        </w:tc>
        <w:tc>
          <w:tcPr>
            <w:tcW w:w="980" w:type="dxa"/>
            <w:vAlign w:val="bottom"/>
            <w:gridSpan w:val="2"/>
            <w:shd w:val="clear" w:color="auto" w:fill="F0FFFF"/>
          </w:tcPr>
          <w:p>
            <w:pPr>
              <w:jc w:val="right"/>
              <w:ind w:right="170"/>
              <w:spacing w:after="0"/>
              <w:rPr>
                <w:sz w:val="20"/>
                <w:szCs w:val="20"/>
                <w:color w:val="auto"/>
              </w:rPr>
            </w:pPr>
            <w:r>
              <w:rPr>
                <w:rFonts w:ascii="Arial" w:cs="Arial" w:eastAsia="Arial" w:hAnsi="Arial"/>
                <w:sz w:val="18"/>
                <w:szCs w:val="18"/>
                <w:color w:val="auto"/>
              </w:rPr>
              <w:t>1,032</w:t>
            </w:r>
          </w:p>
        </w:tc>
        <w:tc>
          <w:tcPr>
            <w:tcW w:w="260" w:type="dxa"/>
            <w:vAlign w:val="bottom"/>
            <w:shd w:val="clear" w:color="auto" w:fill="F0FFFF"/>
          </w:tcPr>
          <w:p>
            <w:pPr>
              <w:spacing w:after="0"/>
              <w:rPr>
                <w:sz w:val="20"/>
                <w:szCs w:val="20"/>
                <w:color w:val="auto"/>
              </w:rPr>
            </w:pPr>
          </w:p>
        </w:tc>
        <w:tc>
          <w:tcPr>
            <w:tcW w:w="760" w:type="dxa"/>
            <w:vAlign w:val="bottom"/>
            <w:tcBorders>
              <w:right w:val="single" w:sz="8" w:color="auto"/>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242</w:t>
            </w:r>
          </w:p>
        </w:tc>
        <w:tc>
          <w:tcPr>
            <w:tcW w:w="200" w:type="dxa"/>
            <w:vAlign w:val="bottom"/>
            <w:shd w:val="clear" w:color="auto" w:fill="F0FFFF"/>
          </w:tcPr>
          <w:p>
            <w:pPr>
              <w:spacing w:after="0"/>
              <w:rPr>
                <w:sz w:val="20"/>
                <w:szCs w:val="20"/>
                <w:color w:val="auto"/>
              </w:rPr>
            </w:pPr>
          </w:p>
        </w:tc>
        <w:tc>
          <w:tcPr>
            <w:tcW w:w="800" w:type="dxa"/>
            <w:vAlign w:val="bottom"/>
            <w:tcBorders>
              <w:right w:val="single" w:sz="8" w:color="auto"/>
            </w:tcBorders>
            <w:shd w:val="clear" w:color="auto" w:fill="F0FFFF"/>
          </w:tcPr>
          <w:p>
            <w:pPr>
              <w:jc w:val="right"/>
              <w:ind w:right="110"/>
              <w:spacing w:after="0"/>
              <w:rPr>
                <w:sz w:val="20"/>
                <w:szCs w:val="20"/>
                <w:color w:val="auto"/>
              </w:rPr>
            </w:pPr>
            <w:r>
              <w:rPr>
                <w:rFonts w:ascii="Arial" w:cs="Arial" w:eastAsia="Arial" w:hAnsi="Arial"/>
                <w:sz w:val="18"/>
                <w:szCs w:val="18"/>
                <w:color w:val="auto"/>
              </w:rPr>
              <w:t>1,274</w:t>
            </w:r>
          </w:p>
        </w:tc>
        <w:tc>
          <w:tcPr>
            <w:tcW w:w="8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2,518</w:t>
            </w:r>
          </w:p>
        </w:tc>
        <w:tc>
          <w:tcPr>
            <w:tcW w:w="260" w:type="dxa"/>
            <w:vAlign w:val="bottom"/>
            <w:tcBorders>
              <w:right w:val="single" w:sz="8" w:color="F0FFFF"/>
            </w:tcBorders>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820" w:type="dxa"/>
            <w:vAlign w:val="bottom"/>
            <w:tcBorders>
              <w:right w:val="single" w:sz="8" w:color="auto"/>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20"/>
                <w:szCs w:val="20"/>
                <w:color w:val="auto"/>
              </w:rPr>
            </w:pPr>
          </w:p>
        </w:tc>
        <w:tc>
          <w:tcPr>
            <w:tcW w:w="800" w:type="dxa"/>
            <w:vAlign w:val="bottom"/>
            <w:tcBorders>
              <w:right w:val="single" w:sz="8" w:color="auto"/>
            </w:tcBorders>
            <w:shd w:val="clear" w:color="auto" w:fill="F0FFFF"/>
          </w:tcPr>
          <w:p>
            <w:pPr>
              <w:jc w:val="right"/>
              <w:ind w:right="110"/>
              <w:spacing w:after="0"/>
              <w:rPr>
                <w:sz w:val="20"/>
                <w:szCs w:val="20"/>
                <w:color w:val="auto"/>
              </w:rPr>
            </w:pPr>
            <w:r>
              <w:rPr>
                <w:rFonts w:ascii="Arial" w:cs="Arial" w:eastAsia="Arial" w:hAnsi="Arial"/>
                <w:sz w:val="18"/>
                <w:szCs w:val="18"/>
                <w:color w:val="auto"/>
              </w:rPr>
              <w:t>2,518</w:t>
            </w:r>
          </w:p>
        </w:tc>
        <w:tc>
          <w:tcPr>
            <w:tcW w:w="8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980" w:type="dxa"/>
            <w:vAlign w:val="bottom"/>
            <w:tcBorders>
              <w:right w:val="single" w:sz="8" w:color="F0FFFF"/>
            </w:tcBorders>
            <w:gridSpan w:val="2"/>
            <w:shd w:val="clear" w:color="auto" w:fill="F0FFFF"/>
          </w:tcPr>
          <w:p>
            <w:pPr>
              <w:jc w:val="right"/>
              <w:ind w:right="170"/>
              <w:spacing w:after="0"/>
              <w:rPr>
                <w:sz w:val="20"/>
                <w:szCs w:val="20"/>
                <w:color w:val="auto"/>
              </w:rPr>
            </w:pPr>
            <w:r>
              <w:rPr>
                <w:rFonts w:ascii="Arial" w:cs="Arial" w:eastAsia="Arial" w:hAnsi="Arial"/>
                <w:sz w:val="18"/>
                <w:szCs w:val="18"/>
                <w:color w:val="auto"/>
              </w:rPr>
              <w:t>1,954</w:t>
            </w:r>
          </w:p>
        </w:tc>
        <w:tc>
          <w:tcPr>
            <w:tcW w:w="260" w:type="dxa"/>
            <w:vAlign w:val="bottom"/>
            <w:shd w:val="clear" w:color="auto" w:fill="F0FFFF"/>
          </w:tcPr>
          <w:p>
            <w:pPr>
              <w:spacing w:after="0"/>
              <w:rPr>
                <w:sz w:val="20"/>
                <w:szCs w:val="20"/>
                <w:color w:val="auto"/>
              </w:rPr>
            </w:pPr>
          </w:p>
        </w:tc>
        <w:tc>
          <w:tcPr>
            <w:tcW w:w="760" w:type="dxa"/>
            <w:vAlign w:val="bottom"/>
            <w:tcBorders>
              <w:right w:val="single" w:sz="8" w:color="auto"/>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20"/>
                <w:szCs w:val="20"/>
                <w:color w:val="auto"/>
              </w:rPr>
            </w:pPr>
          </w:p>
        </w:tc>
        <w:tc>
          <w:tcPr>
            <w:tcW w:w="820" w:type="dxa"/>
            <w:vAlign w:val="bottom"/>
            <w:tcBorders>
              <w:right w:val="single" w:sz="8" w:color="auto"/>
            </w:tcBorders>
            <w:shd w:val="clear" w:color="auto" w:fill="F0FFFF"/>
          </w:tcPr>
          <w:p>
            <w:pPr>
              <w:jc w:val="right"/>
              <w:ind w:right="130"/>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tcPr>
          <w:p>
            <w:pPr>
              <w:spacing w:after="0" w:line="201" w:lineRule="exact"/>
              <w:rPr>
                <w:sz w:val="20"/>
                <w:szCs w:val="20"/>
                <w:color w:val="auto"/>
              </w:rPr>
            </w:pPr>
            <w:r>
              <w:rPr>
                <w:rFonts w:ascii="Arial" w:cs="Arial" w:eastAsia="Arial" w:hAnsi="Arial"/>
                <w:sz w:val="18"/>
                <w:szCs w:val="18"/>
                <w:color w:val="auto"/>
              </w:rPr>
              <w:t>Commercial &amp;</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6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160" w:type="dxa"/>
            <w:vAlign w:val="bottom"/>
          </w:tcPr>
          <w:p>
            <w:pPr>
              <w:spacing w:after="0"/>
              <w:rPr>
                <w:sz w:val="20"/>
                <w:szCs w:val="20"/>
                <w:color w:val="auto"/>
              </w:rPr>
            </w:pPr>
          </w:p>
        </w:tc>
        <w:tc>
          <w:tcPr>
            <w:tcW w:w="980" w:type="dxa"/>
            <w:vAlign w:val="bottom"/>
            <w:gridSpan w:val="2"/>
          </w:tcPr>
          <w:p>
            <w:pPr>
              <w:jc w:val="right"/>
              <w:ind w:right="170"/>
              <w:spacing w:after="0"/>
              <w:rPr>
                <w:sz w:val="20"/>
                <w:szCs w:val="20"/>
                <w:color w:val="auto"/>
              </w:rPr>
            </w:pPr>
            <w:r>
              <w:rPr>
                <w:rFonts w:ascii="Arial" w:cs="Arial" w:eastAsia="Arial" w:hAnsi="Arial"/>
                <w:sz w:val="18"/>
                <w:szCs w:val="18"/>
                <w:color w:val="auto"/>
              </w:rPr>
              <w:t>1,102</w:t>
            </w:r>
          </w:p>
        </w:tc>
        <w:tc>
          <w:tcPr>
            <w:tcW w:w="260" w:type="dxa"/>
            <w:vAlign w:val="bottom"/>
          </w:tcPr>
          <w:p>
            <w:pPr>
              <w:spacing w:after="0"/>
              <w:rPr>
                <w:sz w:val="20"/>
                <w:szCs w:val="20"/>
                <w:color w:val="auto"/>
              </w:rPr>
            </w:pPr>
          </w:p>
        </w:tc>
        <w:tc>
          <w:tcPr>
            <w:tcW w:w="7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1,102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427</w:t>
            </w:r>
          </w:p>
        </w:tc>
        <w:tc>
          <w:tcPr>
            <w:tcW w:w="26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427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70"/>
              <w:spacing w:after="0"/>
              <w:rPr>
                <w:sz w:val="20"/>
                <w:szCs w:val="20"/>
                <w:color w:val="auto"/>
              </w:rPr>
            </w:pPr>
            <w:r>
              <w:rPr>
                <w:rFonts w:ascii="Arial" w:cs="Arial" w:eastAsia="Arial" w:hAnsi="Arial"/>
                <w:sz w:val="18"/>
                <w:szCs w:val="18"/>
                <w:color w:val="auto"/>
              </w:rPr>
              <w:t>548</w:t>
            </w:r>
          </w:p>
        </w:tc>
        <w:tc>
          <w:tcPr>
            <w:tcW w:w="260" w:type="dxa"/>
            <w:vAlign w:val="bottom"/>
          </w:tcPr>
          <w:p>
            <w:pPr>
              <w:spacing w:after="0"/>
              <w:rPr>
                <w:sz w:val="20"/>
                <w:szCs w:val="20"/>
                <w:color w:val="auto"/>
              </w:rPr>
            </w:pPr>
          </w:p>
        </w:tc>
        <w:tc>
          <w:tcPr>
            <w:tcW w:w="7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Commercial</w:t>
            </w:r>
          </w:p>
        </w:tc>
        <w:tc>
          <w:tcPr>
            <w:tcW w:w="16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560" w:type="dxa"/>
            <w:vAlign w:val="bottom"/>
            <w:shd w:val="clear" w:color="auto" w:fill="F0FFFF"/>
          </w:tcPr>
          <w:p>
            <w:pPr>
              <w:spacing w:after="0"/>
              <w:rPr>
                <w:sz w:val="17"/>
                <w:szCs w:val="17"/>
                <w:color w:val="auto"/>
              </w:rPr>
            </w:pPr>
          </w:p>
        </w:tc>
        <w:tc>
          <w:tcPr>
            <w:tcW w:w="200" w:type="dxa"/>
            <w:vAlign w:val="bottom"/>
            <w:tcBorders>
              <w:right w:val="single" w:sz="8" w:color="auto"/>
            </w:tcBorders>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800" w:type="dxa"/>
            <w:vAlign w:val="bottom"/>
            <w:tcBorders>
              <w:right w:val="single" w:sz="8" w:color="auto"/>
            </w:tcBorders>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260" w:type="dxa"/>
            <w:vAlign w:val="bottom"/>
            <w:tcBorders>
              <w:right w:val="single" w:sz="8" w:color="F0FFFF"/>
            </w:tcBorders>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560" w:type="dxa"/>
            <w:vAlign w:val="bottom"/>
            <w:shd w:val="clear" w:color="auto" w:fill="F0FFFF"/>
          </w:tcPr>
          <w:p>
            <w:pPr>
              <w:spacing w:after="0"/>
              <w:rPr>
                <w:sz w:val="17"/>
                <w:szCs w:val="17"/>
                <w:color w:val="auto"/>
              </w:rPr>
            </w:pPr>
          </w:p>
        </w:tc>
        <w:tc>
          <w:tcPr>
            <w:tcW w:w="260" w:type="dxa"/>
            <w:vAlign w:val="bottom"/>
            <w:tcBorders>
              <w:right w:val="single" w:sz="8" w:color="auto"/>
            </w:tcBorders>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0" w:type="dxa"/>
            <w:vAlign w:val="bottom"/>
            <w:tcBorders>
              <w:right w:val="single" w:sz="8" w:color="auto"/>
            </w:tcBorders>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260" w:type="dxa"/>
            <w:vAlign w:val="bottom"/>
            <w:tcBorders>
              <w:right w:val="single" w:sz="8" w:color="F0FFFF"/>
            </w:tcBorders>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560" w:type="dxa"/>
            <w:vAlign w:val="bottom"/>
            <w:shd w:val="clear" w:color="auto" w:fill="F0FFFF"/>
          </w:tcPr>
          <w:p>
            <w:pPr>
              <w:spacing w:after="0"/>
              <w:rPr>
                <w:sz w:val="17"/>
                <w:szCs w:val="17"/>
                <w:color w:val="auto"/>
              </w:rPr>
            </w:pPr>
          </w:p>
        </w:tc>
        <w:tc>
          <w:tcPr>
            <w:tcW w:w="200" w:type="dxa"/>
            <w:vAlign w:val="bottom"/>
            <w:tcBorders>
              <w:right w:val="single" w:sz="8" w:color="auto"/>
            </w:tcBorders>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820" w:type="dxa"/>
            <w:vAlign w:val="bottom"/>
            <w:tcBorders>
              <w:right w:val="single" w:sz="8" w:color="auto"/>
            </w:tcBorders>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shd w:val="clear" w:color="auto" w:fill="F0FFFF"/>
          </w:tcPr>
          <w:p>
            <w:pPr>
              <w:spacing w:after="0"/>
              <w:rPr>
                <w:sz w:val="20"/>
                <w:szCs w:val="20"/>
                <w:color w:val="auto"/>
              </w:rPr>
            </w:pPr>
            <w:r>
              <w:rPr>
                <w:rFonts w:ascii="Arial" w:cs="Arial" w:eastAsia="Arial" w:hAnsi="Arial"/>
                <w:sz w:val="18"/>
                <w:szCs w:val="18"/>
                <w:color w:val="auto"/>
              </w:rPr>
              <w:t>construction</w:t>
            </w:r>
          </w:p>
        </w:tc>
        <w:tc>
          <w:tcPr>
            <w:tcW w:w="160" w:type="dxa"/>
            <w:vAlign w:val="bottom"/>
            <w:shd w:val="clear" w:color="auto" w:fill="F0FFFF"/>
          </w:tcPr>
          <w:p>
            <w:pPr>
              <w:spacing w:after="0"/>
              <w:rPr>
                <w:sz w:val="20"/>
                <w:szCs w:val="20"/>
                <w:color w:val="auto"/>
              </w:rPr>
            </w:pPr>
          </w:p>
        </w:tc>
        <w:tc>
          <w:tcPr>
            <w:tcW w:w="980" w:type="dxa"/>
            <w:vAlign w:val="bottom"/>
            <w:gridSpan w:val="2"/>
            <w:shd w:val="clear" w:color="auto" w:fill="F0FFFF"/>
          </w:tcPr>
          <w:p>
            <w:pPr>
              <w:jc w:val="right"/>
              <w:ind w:right="170"/>
              <w:spacing w:after="0"/>
              <w:rPr>
                <w:sz w:val="20"/>
                <w:szCs w:val="20"/>
                <w:color w:val="auto"/>
              </w:rPr>
            </w:pPr>
            <w:r>
              <w:rPr>
                <w:rFonts w:ascii="Arial" w:cs="Arial" w:eastAsia="Arial" w:hAnsi="Arial"/>
                <w:sz w:val="18"/>
                <w:szCs w:val="18"/>
                <w:color w:val="auto"/>
              </w:rPr>
              <w:t>95</w:t>
            </w:r>
          </w:p>
        </w:tc>
        <w:tc>
          <w:tcPr>
            <w:tcW w:w="260" w:type="dxa"/>
            <w:vAlign w:val="bottom"/>
            <w:shd w:val="clear" w:color="auto" w:fill="F0FFFF"/>
          </w:tcPr>
          <w:p>
            <w:pPr>
              <w:spacing w:after="0"/>
              <w:rPr>
                <w:sz w:val="20"/>
                <w:szCs w:val="20"/>
                <w:color w:val="auto"/>
              </w:rPr>
            </w:pPr>
          </w:p>
        </w:tc>
        <w:tc>
          <w:tcPr>
            <w:tcW w:w="760" w:type="dxa"/>
            <w:vAlign w:val="bottom"/>
            <w:tcBorders>
              <w:right w:val="single" w:sz="8" w:color="auto"/>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20"/>
                <w:szCs w:val="20"/>
                <w:color w:val="auto"/>
              </w:rPr>
            </w:pPr>
          </w:p>
        </w:tc>
        <w:tc>
          <w:tcPr>
            <w:tcW w:w="800" w:type="dxa"/>
            <w:vAlign w:val="bottom"/>
            <w:tcBorders>
              <w:right w:val="single" w:sz="8" w:color="auto"/>
            </w:tcBorders>
            <w:shd w:val="clear" w:color="auto" w:fill="F0FFFF"/>
          </w:tcPr>
          <w:p>
            <w:pPr>
              <w:jc w:val="right"/>
              <w:ind w:right="110"/>
              <w:spacing w:after="0"/>
              <w:rPr>
                <w:sz w:val="20"/>
                <w:szCs w:val="20"/>
                <w:color w:val="auto"/>
              </w:rPr>
            </w:pPr>
            <w:r>
              <w:rPr>
                <w:rFonts w:ascii="Arial" w:cs="Arial" w:eastAsia="Arial" w:hAnsi="Arial"/>
                <w:sz w:val="18"/>
                <w:szCs w:val="18"/>
                <w:color w:val="auto"/>
              </w:rPr>
              <w:t>95</w:t>
            </w:r>
          </w:p>
        </w:tc>
        <w:tc>
          <w:tcPr>
            <w:tcW w:w="8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98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361</w:t>
            </w:r>
          </w:p>
        </w:tc>
        <w:tc>
          <w:tcPr>
            <w:tcW w:w="260" w:type="dxa"/>
            <w:vAlign w:val="bottom"/>
            <w:shd w:val="clear" w:color="auto" w:fill="F0FFFF"/>
          </w:tcPr>
          <w:p>
            <w:pPr>
              <w:spacing w:after="0"/>
              <w:rPr>
                <w:sz w:val="20"/>
                <w:szCs w:val="20"/>
                <w:color w:val="auto"/>
              </w:rPr>
            </w:pPr>
          </w:p>
        </w:tc>
        <w:tc>
          <w:tcPr>
            <w:tcW w:w="820" w:type="dxa"/>
            <w:vAlign w:val="bottom"/>
            <w:tcBorders>
              <w:right w:val="single" w:sz="8" w:color="auto"/>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20"/>
                <w:szCs w:val="20"/>
                <w:color w:val="auto"/>
              </w:rPr>
            </w:pPr>
          </w:p>
        </w:tc>
        <w:tc>
          <w:tcPr>
            <w:tcW w:w="800" w:type="dxa"/>
            <w:vAlign w:val="bottom"/>
            <w:tcBorders>
              <w:right w:val="single" w:sz="8" w:color="auto"/>
            </w:tcBorders>
            <w:shd w:val="clear" w:color="auto" w:fill="F0FFFF"/>
          </w:tcPr>
          <w:p>
            <w:pPr>
              <w:jc w:val="right"/>
              <w:ind w:right="110"/>
              <w:spacing w:after="0"/>
              <w:rPr>
                <w:sz w:val="20"/>
                <w:szCs w:val="20"/>
                <w:color w:val="auto"/>
              </w:rPr>
            </w:pPr>
            <w:r>
              <w:rPr>
                <w:rFonts w:ascii="Arial" w:cs="Arial" w:eastAsia="Arial" w:hAnsi="Arial"/>
                <w:sz w:val="18"/>
                <w:szCs w:val="18"/>
                <w:color w:val="auto"/>
              </w:rPr>
              <w:t>361</w:t>
            </w:r>
          </w:p>
        </w:tc>
        <w:tc>
          <w:tcPr>
            <w:tcW w:w="8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980" w:type="dxa"/>
            <w:vAlign w:val="bottom"/>
            <w:tcBorders>
              <w:right w:val="single" w:sz="8" w:color="F0FFFF"/>
            </w:tcBorders>
            <w:gridSpan w:val="2"/>
            <w:shd w:val="clear" w:color="auto" w:fill="F0FFFF"/>
          </w:tcPr>
          <w:p>
            <w:pPr>
              <w:jc w:val="right"/>
              <w:ind w:right="170"/>
              <w:spacing w:after="0"/>
              <w:rPr>
                <w:sz w:val="20"/>
                <w:szCs w:val="20"/>
                <w:color w:val="auto"/>
              </w:rPr>
            </w:pPr>
            <w:r>
              <w:rPr>
                <w:rFonts w:ascii="Arial" w:cs="Arial" w:eastAsia="Arial" w:hAnsi="Arial"/>
                <w:sz w:val="18"/>
                <w:szCs w:val="18"/>
                <w:color w:val="auto"/>
              </w:rPr>
              <w:t>504</w:t>
            </w:r>
          </w:p>
        </w:tc>
        <w:tc>
          <w:tcPr>
            <w:tcW w:w="260" w:type="dxa"/>
            <w:vAlign w:val="bottom"/>
            <w:shd w:val="clear" w:color="auto" w:fill="F0FFFF"/>
          </w:tcPr>
          <w:p>
            <w:pPr>
              <w:spacing w:after="0"/>
              <w:rPr>
                <w:sz w:val="20"/>
                <w:szCs w:val="20"/>
                <w:color w:val="auto"/>
              </w:rPr>
            </w:pPr>
          </w:p>
        </w:tc>
        <w:tc>
          <w:tcPr>
            <w:tcW w:w="760" w:type="dxa"/>
            <w:vAlign w:val="bottom"/>
            <w:tcBorders>
              <w:right w:val="single" w:sz="8" w:color="auto"/>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376</w:t>
            </w:r>
          </w:p>
        </w:tc>
        <w:tc>
          <w:tcPr>
            <w:tcW w:w="200" w:type="dxa"/>
            <w:vAlign w:val="bottom"/>
            <w:shd w:val="clear" w:color="auto" w:fill="F0FFFF"/>
          </w:tcPr>
          <w:p>
            <w:pPr>
              <w:spacing w:after="0"/>
              <w:rPr>
                <w:sz w:val="20"/>
                <w:szCs w:val="20"/>
                <w:color w:val="auto"/>
              </w:rPr>
            </w:pPr>
          </w:p>
        </w:tc>
        <w:tc>
          <w:tcPr>
            <w:tcW w:w="820" w:type="dxa"/>
            <w:vAlign w:val="bottom"/>
            <w:tcBorders>
              <w:right w:val="single" w:sz="8" w:color="auto"/>
            </w:tcBorders>
            <w:shd w:val="clear" w:color="auto" w:fill="F0FFFF"/>
          </w:tcPr>
          <w:p>
            <w:pPr>
              <w:jc w:val="right"/>
              <w:ind w:right="13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4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Borders>
              <w:right w:val="single" w:sz="8" w:color="auto"/>
            </w:tcBorders>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ind w:left="200"/>
              <w:spacing w:after="0"/>
              <w:rPr>
                <w:sz w:val="20"/>
                <w:szCs w:val="20"/>
                <w:color w:val="auto"/>
              </w:rPr>
            </w:pPr>
            <w:r>
              <w:rPr>
                <w:rFonts w:ascii="Arial" w:cs="Arial" w:eastAsia="Arial" w:hAnsi="Arial"/>
                <w:sz w:val="18"/>
                <w:szCs w:val="18"/>
                <w:color w:val="auto"/>
              </w:rPr>
              <w:t>Total commercial</w:t>
            </w:r>
          </w:p>
        </w:tc>
        <w:tc>
          <w:tcPr>
            <w:tcW w:w="160" w:type="dxa"/>
            <w:vAlign w:val="bottom"/>
          </w:tcPr>
          <w:p>
            <w:pPr>
              <w:spacing w:after="0"/>
              <w:rPr>
                <w:sz w:val="18"/>
                <w:szCs w:val="18"/>
                <w:color w:val="auto"/>
              </w:rPr>
            </w:pPr>
          </w:p>
        </w:tc>
        <w:tc>
          <w:tcPr>
            <w:tcW w:w="980" w:type="dxa"/>
            <w:vAlign w:val="bottom"/>
            <w:gridSpan w:val="2"/>
          </w:tcPr>
          <w:p>
            <w:pPr>
              <w:jc w:val="right"/>
              <w:ind w:right="170"/>
              <w:spacing w:after="0"/>
              <w:rPr>
                <w:sz w:val="20"/>
                <w:szCs w:val="20"/>
                <w:color w:val="auto"/>
              </w:rPr>
            </w:pPr>
            <w:r>
              <w:rPr>
                <w:rFonts w:ascii="Arial" w:cs="Arial" w:eastAsia="Arial" w:hAnsi="Arial"/>
                <w:sz w:val="18"/>
                <w:szCs w:val="18"/>
                <w:color w:val="auto"/>
              </w:rPr>
              <w:t>5,204</w:t>
            </w:r>
          </w:p>
        </w:tc>
        <w:tc>
          <w:tcPr>
            <w:tcW w:w="26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895</w:t>
            </w:r>
          </w:p>
        </w:tc>
        <w:tc>
          <w:tcPr>
            <w:tcW w:w="200" w:type="dxa"/>
            <w:vAlign w:val="bottom"/>
          </w:tcPr>
          <w:p>
            <w:pPr>
              <w:spacing w:after="0"/>
              <w:rPr>
                <w:sz w:val="18"/>
                <w:szCs w:val="18"/>
                <w:color w:val="auto"/>
              </w:rPr>
            </w:pPr>
          </w:p>
        </w:tc>
        <w:tc>
          <w:tcPr>
            <w:tcW w:w="80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6,099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9,128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832</w:t>
            </w:r>
          </w:p>
        </w:tc>
        <w:tc>
          <w:tcPr>
            <w:tcW w:w="140" w:type="dxa"/>
            <w:vAlign w:val="bottom"/>
          </w:tcPr>
          <w:p>
            <w:pPr>
              <w:spacing w:after="0"/>
              <w:rPr>
                <w:sz w:val="18"/>
                <w:szCs w:val="18"/>
                <w:color w:val="auto"/>
              </w:rPr>
            </w:pPr>
          </w:p>
        </w:tc>
        <w:tc>
          <w:tcPr>
            <w:tcW w:w="80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9,960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70"/>
              <w:spacing w:after="0"/>
              <w:rPr>
                <w:sz w:val="20"/>
                <w:szCs w:val="20"/>
                <w:color w:val="auto"/>
              </w:rPr>
            </w:pPr>
            <w:r>
              <w:rPr>
                <w:rFonts w:ascii="Arial" w:cs="Arial" w:eastAsia="Arial" w:hAnsi="Arial"/>
                <w:sz w:val="18"/>
                <w:szCs w:val="18"/>
                <w:color w:val="auto"/>
              </w:rPr>
              <w:t>8,289</w:t>
            </w:r>
          </w:p>
        </w:tc>
        <w:tc>
          <w:tcPr>
            <w:tcW w:w="26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923</w:t>
            </w:r>
          </w:p>
        </w:tc>
        <w:tc>
          <w:tcPr>
            <w:tcW w:w="200" w:type="dxa"/>
            <w:vAlign w:val="bottom"/>
          </w:tcPr>
          <w:p>
            <w:pPr>
              <w:spacing w:after="0"/>
              <w:rPr>
                <w:sz w:val="18"/>
                <w:szCs w:val="18"/>
                <w:color w:val="auto"/>
              </w:rPr>
            </w:pPr>
          </w:p>
        </w:tc>
        <w:tc>
          <w:tcPr>
            <w:tcW w:w="8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9,212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F0FFFF"/>
          </w:tcPr>
          <w:p>
            <w:pPr>
              <w:spacing w:after="0"/>
              <w:rPr>
                <w:sz w:val="20"/>
                <w:szCs w:val="20"/>
                <w:color w:val="auto"/>
              </w:rPr>
            </w:pPr>
            <w:r>
              <w:rPr>
                <w:rFonts w:ascii="Arial" w:cs="Arial" w:eastAsia="Arial" w:hAnsi="Arial"/>
                <w:sz w:val="18"/>
                <w:szCs w:val="18"/>
                <w:color w:val="auto"/>
              </w:rPr>
              <w:t>Residential mortgage</w:t>
            </w:r>
          </w:p>
        </w:tc>
        <w:tc>
          <w:tcPr>
            <w:tcW w:w="16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70"/>
              <w:spacing w:after="0"/>
              <w:rPr>
                <w:sz w:val="20"/>
                <w:szCs w:val="20"/>
                <w:color w:val="auto"/>
              </w:rPr>
            </w:pPr>
            <w:r>
              <w:rPr>
                <w:rFonts w:ascii="Arial" w:cs="Arial" w:eastAsia="Arial" w:hAnsi="Arial"/>
                <w:sz w:val="18"/>
                <w:szCs w:val="18"/>
                <w:color w:val="auto"/>
              </w:rPr>
              <w:t>10,201</w:t>
            </w:r>
          </w:p>
        </w:tc>
        <w:tc>
          <w:tcPr>
            <w:tcW w:w="260" w:type="dxa"/>
            <w:vAlign w:val="bottom"/>
            <w:shd w:val="clear" w:color="auto" w:fill="F0FFFF"/>
          </w:tcPr>
          <w:p>
            <w:pPr>
              <w:spacing w:after="0"/>
              <w:rPr>
                <w:sz w:val="18"/>
                <w:szCs w:val="18"/>
                <w:color w:val="auto"/>
              </w:rPr>
            </w:pPr>
          </w:p>
        </w:tc>
        <w:tc>
          <w:tcPr>
            <w:tcW w:w="760" w:type="dxa"/>
            <w:vAlign w:val="bottom"/>
            <w:tcBorders>
              <w:right w:val="single" w:sz="8" w:color="auto"/>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1,426</w:t>
            </w:r>
          </w:p>
        </w:tc>
        <w:tc>
          <w:tcPr>
            <w:tcW w:w="200" w:type="dxa"/>
            <w:vAlign w:val="bottom"/>
            <w:shd w:val="clear" w:color="auto" w:fill="F0FFFF"/>
          </w:tcPr>
          <w:p>
            <w:pPr>
              <w:spacing w:after="0"/>
              <w:rPr>
                <w:sz w:val="18"/>
                <w:szCs w:val="18"/>
                <w:color w:val="auto"/>
              </w:rPr>
            </w:pPr>
          </w:p>
        </w:tc>
        <w:tc>
          <w:tcPr>
            <w:tcW w:w="800" w:type="dxa"/>
            <w:vAlign w:val="bottom"/>
            <w:tcBorders>
              <w:right w:val="single" w:sz="8" w:color="auto"/>
            </w:tcBorders>
            <w:shd w:val="clear" w:color="auto" w:fill="F0FFFF"/>
          </w:tcPr>
          <w:p>
            <w:pPr>
              <w:jc w:val="right"/>
              <w:ind w:right="110"/>
              <w:spacing w:after="0"/>
              <w:rPr>
                <w:sz w:val="20"/>
                <w:szCs w:val="20"/>
                <w:color w:val="auto"/>
              </w:rPr>
            </w:pPr>
            <w:r>
              <w:rPr>
                <w:rFonts w:ascii="Arial" w:cs="Arial" w:eastAsia="Arial" w:hAnsi="Arial"/>
                <w:sz w:val="18"/>
                <w:szCs w:val="18"/>
                <w:color w:val="auto"/>
              </w:rPr>
              <w:t>11,627</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11,730</w:t>
            </w:r>
          </w:p>
        </w:tc>
        <w:tc>
          <w:tcPr>
            <w:tcW w:w="260" w:type="dxa"/>
            <w:vAlign w:val="bottom"/>
            <w:tcBorders>
              <w:right w:val="single" w:sz="8" w:color="F0FFFF"/>
            </w:tcBorders>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5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2,684</w:t>
            </w:r>
          </w:p>
        </w:tc>
        <w:tc>
          <w:tcPr>
            <w:tcW w:w="260" w:type="dxa"/>
            <w:vAlign w:val="bottom"/>
            <w:tcBorders>
              <w:right w:val="single" w:sz="8" w:color="auto"/>
            </w:tcBorders>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0" w:type="dxa"/>
            <w:vAlign w:val="bottom"/>
            <w:tcBorders>
              <w:right w:val="single" w:sz="8" w:color="auto"/>
            </w:tcBorders>
            <w:shd w:val="clear" w:color="auto" w:fill="F0FFFF"/>
          </w:tcPr>
          <w:p>
            <w:pPr>
              <w:jc w:val="right"/>
              <w:ind w:right="110"/>
              <w:spacing w:after="0"/>
              <w:rPr>
                <w:sz w:val="20"/>
                <w:szCs w:val="20"/>
                <w:color w:val="auto"/>
              </w:rPr>
            </w:pPr>
            <w:r>
              <w:rPr>
                <w:rFonts w:ascii="Arial" w:cs="Arial" w:eastAsia="Arial" w:hAnsi="Arial"/>
                <w:sz w:val="18"/>
                <w:szCs w:val="18"/>
                <w:color w:val="auto"/>
              </w:rPr>
              <w:t>14,414</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tcBorders>
              <w:right w:val="single" w:sz="8" w:color="F0FFFF"/>
            </w:tcBorders>
            <w:gridSpan w:val="2"/>
            <w:shd w:val="clear" w:color="auto" w:fill="F0FFFF"/>
          </w:tcPr>
          <w:p>
            <w:pPr>
              <w:jc w:val="right"/>
              <w:ind w:right="170"/>
              <w:spacing w:after="0"/>
              <w:rPr>
                <w:sz w:val="20"/>
                <w:szCs w:val="20"/>
                <w:color w:val="auto"/>
              </w:rPr>
            </w:pPr>
            <w:r>
              <w:rPr>
                <w:rFonts w:ascii="Arial" w:cs="Arial" w:eastAsia="Arial" w:hAnsi="Arial"/>
                <w:sz w:val="18"/>
                <w:szCs w:val="18"/>
                <w:color w:val="auto"/>
              </w:rPr>
              <w:t>12,847</w:t>
            </w:r>
          </w:p>
        </w:tc>
        <w:tc>
          <w:tcPr>
            <w:tcW w:w="260" w:type="dxa"/>
            <w:vAlign w:val="bottom"/>
            <w:shd w:val="clear" w:color="auto" w:fill="F0FFFF"/>
          </w:tcPr>
          <w:p>
            <w:pPr>
              <w:spacing w:after="0"/>
              <w:rPr>
                <w:sz w:val="18"/>
                <w:szCs w:val="18"/>
                <w:color w:val="auto"/>
              </w:rPr>
            </w:pPr>
          </w:p>
        </w:tc>
        <w:tc>
          <w:tcPr>
            <w:tcW w:w="760" w:type="dxa"/>
            <w:vAlign w:val="bottom"/>
            <w:tcBorders>
              <w:right w:val="single" w:sz="8" w:color="auto"/>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1,303</w:t>
            </w:r>
          </w:p>
        </w:tc>
        <w:tc>
          <w:tcPr>
            <w:tcW w:w="200" w:type="dxa"/>
            <w:vAlign w:val="bottom"/>
            <w:shd w:val="clear" w:color="auto" w:fill="F0FFFF"/>
          </w:tcPr>
          <w:p>
            <w:pPr>
              <w:spacing w:after="0"/>
              <w:rPr>
                <w:sz w:val="18"/>
                <w:szCs w:val="18"/>
                <w:color w:val="auto"/>
              </w:rPr>
            </w:pPr>
          </w:p>
        </w:tc>
        <w:tc>
          <w:tcPr>
            <w:tcW w:w="820" w:type="dxa"/>
            <w:vAlign w:val="bottom"/>
            <w:tcBorders>
              <w:right w:val="single" w:sz="8" w:color="auto"/>
            </w:tcBorders>
            <w:shd w:val="clear" w:color="auto" w:fill="F0FFFF"/>
          </w:tcPr>
          <w:p>
            <w:pPr>
              <w:jc w:val="right"/>
              <w:ind w:right="130"/>
              <w:spacing w:after="0"/>
              <w:rPr>
                <w:sz w:val="20"/>
                <w:szCs w:val="20"/>
                <w:color w:val="auto"/>
              </w:rPr>
            </w:pPr>
            <w:r>
              <w:rPr>
                <w:rFonts w:ascii="Arial" w:cs="Arial" w:eastAsia="Arial" w:hAnsi="Arial"/>
                <w:sz w:val="18"/>
                <w:szCs w:val="18"/>
                <w:color w:val="auto"/>
              </w:rPr>
              <w:t>14,150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Home equity</w:t>
            </w:r>
          </w:p>
        </w:tc>
        <w:tc>
          <w:tcPr>
            <w:tcW w:w="160" w:type="dxa"/>
            <w:vAlign w:val="bottom"/>
          </w:tcPr>
          <w:p>
            <w:pPr>
              <w:spacing w:after="0"/>
              <w:rPr>
                <w:sz w:val="18"/>
                <w:szCs w:val="18"/>
                <w:color w:val="auto"/>
              </w:rPr>
            </w:pPr>
          </w:p>
        </w:tc>
        <w:tc>
          <w:tcPr>
            <w:tcW w:w="980" w:type="dxa"/>
            <w:vAlign w:val="bottom"/>
            <w:gridSpan w:val="2"/>
          </w:tcPr>
          <w:p>
            <w:pPr>
              <w:jc w:val="right"/>
              <w:ind w:right="170"/>
              <w:spacing w:after="0"/>
              <w:rPr>
                <w:sz w:val="20"/>
                <w:szCs w:val="20"/>
                <w:color w:val="auto"/>
              </w:rPr>
            </w:pPr>
            <w:r>
              <w:rPr>
                <w:rFonts w:ascii="Arial" w:cs="Arial" w:eastAsia="Arial" w:hAnsi="Arial"/>
                <w:sz w:val="18"/>
                <w:szCs w:val="18"/>
                <w:color w:val="auto"/>
              </w:rPr>
              <w:t>510</w:t>
            </w:r>
          </w:p>
        </w:tc>
        <w:tc>
          <w:tcPr>
            <w:tcW w:w="26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128</w:t>
            </w:r>
          </w:p>
        </w:tc>
        <w:tc>
          <w:tcPr>
            <w:tcW w:w="200" w:type="dxa"/>
            <w:vAlign w:val="bottom"/>
          </w:tcPr>
          <w:p>
            <w:pPr>
              <w:spacing w:after="0"/>
              <w:rPr>
                <w:sz w:val="18"/>
                <w:szCs w:val="18"/>
                <w:color w:val="auto"/>
              </w:rPr>
            </w:pPr>
          </w:p>
        </w:tc>
        <w:tc>
          <w:tcPr>
            <w:tcW w:w="80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638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1,448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389</w:t>
            </w:r>
          </w:p>
        </w:tc>
        <w:tc>
          <w:tcPr>
            <w:tcW w:w="140" w:type="dxa"/>
            <w:vAlign w:val="bottom"/>
          </w:tcPr>
          <w:p>
            <w:pPr>
              <w:spacing w:after="0"/>
              <w:rPr>
                <w:sz w:val="18"/>
                <w:szCs w:val="18"/>
                <w:color w:val="auto"/>
              </w:rPr>
            </w:pPr>
          </w:p>
        </w:tc>
        <w:tc>
          <w:tcPr>
            <w:tcW w:w="80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1,837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70"/>
              <w:spacing w:after="0"/>
              <w:rPr>
                <w:sz w:val="20"/>
                <w:szCs w:val="20"/>
                <w:color w:val="auto"/>
              </w:rPr>
            </w:pPr>
            <w:r>
              <w:rPr>
                <w:rFonts w:ascii="Arial" w:cs="Arial" w:eastAsia="Arial" w:hAnsi="Arial"/>
                <w:sz w:val="18"/>
                <w:szCs w:val="18"/>
                <w:color w:val="auto"/>
              </w:rPr>
              <w:t>1,491</w:t>
            </w:r>
          </w:p>
        </w:tc>
        <w:tc>
          <w:tcPr>
            <w:tcW w:w="26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18"/>
                <w:szCs w:val="18"/>
                <w:color w:val="auto"/>
              </w:rPr>
            </w:pPr>
          </w:p>
        </w:tc>
        <w:tc>
          <w:tcPr>
            <w:tcW w:w="8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Residential</w:t>
            </w:r>
          </w:p>
        </w:tc>
        <w:tc>
          <w:tcPr>
            <w:tcW w:w="16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560" w:type="dxa"/>
            <w:vAlign w:val="bottom"/>
            <w:shd w:val="clear" w:color="auto" w:fill="F0FFFF"/>
          </w:tcPr>
          <w:p>
            <w:pPr>
              <w:spacing w:after="0"/>
              <w:rPr>
                <w:sz w:val="17"/>
                <w:szCs w:val="17"/>
                <w:color w:val="auto"/>
              </w:rPr>
            </w:pPr>
          </w:p>
        </w:tc>
        <w:tc>
          <w:tcPr>
            <w:tcW w:w="200" w:type="dxa"/>
            <w:vAlign w:val="bottom"/>
            <w:tcBorders>
              <w:right w:val="single" w:sz="8" w:color="auto"/>
            </w:tcBorders>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800" w:type="dxa"/>
            <w:vAlign w:val="bottom"/>
            <w:tcBorders>
              <w:right w:val="single" w:sz="8" w:color="auto"/>
            </w:tcBorders>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260" w:type="dxa"/>
            <w:vAlign w:val="bottom"/>
            <w:tcBorders>
              <w:right w:val="single" w:sz="8" w:color="F0FFFF"/>
            </w:tcBorders>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560" w:type="dxa"/>
            <w:vAlign w:val="bottom"/>
            <w:shd w:val="clear" w:color="auto" w:fill="F0FFFF"/>
          </w:tcPr>
          <w:p>
            <w:pPr>
              <w:spacing w:after="0"/>
              <w:rPr>
                <w:sz w:val="17"/>
                <w:szCs w:val="17"/>
                <w:color w:val="auto"/>
              </w:rPr>
            </w:pPr>
          </w:p>
        </w:tc>
        <w:tc>
          <w:tcPr>
            <w:tcW w:w="260" w:type="dxa"/>
            <w:vAlign w:val="bottom"/>
            <w:tcBorders>
              <w:right w:val="single" w:sz="8" w:color="auto"/>
            </w:tcBorders>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0" w:type="dxa"/>
            <w:vAlign w:val="bottom"/>
            <w:tcBorders>
              <w:right w:val="single" w:sz="8" w:color="auto"/>
            </w:tcBorders>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260" w:type="dxa"/>
            <w:vAlign w:val="bottom"/>
            <w:tcBorders>
              <w:right w:val="single" w:sz="8" w:color="F0FFFF"/>
            </w:tcBorders>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560" w:type="dxa"/>
            <w:vAlign w:val="bottom"/>
            <w:shd w:val="clear" w:color="auto" w:fill="F0FFFF"/>
          </w:tcPr>
          <w:p>
            <w:pPr>
              <w:spacing w:after="0"/>
              <w:rPr>
                <w:sz w:val="17"/>
                <w:szCs w:val="17"/>
                <w:color w:val="auto"/>
              </w:rPr>
            </w:pPr>
          </w:p>
        </w:tc>
        <w:tc>
          <w:tcPr>
            <w:tcW w:w="200" w:type="dxa"/>
            <w:vAlign w:val="bottom"/>
            <w:tcBorders>
              <w:right w:val="single" w:sz="8" w:color="auto"/>
            </w:tcBorders>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820" w:type="dxa"/>
            <w:vAlign w:val="bottom"/>
            <w:tcBorders>
              <w:right w:val="single" w:sz="8" w:color="auto"/>
            </w:tcBorders>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shd w:val="clear" w:color="auto" w:fill="F0FFFF"/>
          </w:tcPr>
          <w:p>
            <w:pPr>
              <w:spacing w:after="0"/>
              <w:rPr>
                <w:sz w:val="20"/>
                <w:szCs w:val="20"/>
                <w:color w:val="auto"/>
              </w:rPr>
            </w:pPr>
            <w:r>
              <w:rPr>
                <w:rFonts w:ascii="Arial" w:cs="Arial" w:eastAsia="Arial" w:hAnsi="Arial"/>
                <w:sz w:val="18"/>
                <w:szCs w:val="18"/>
                <w:color w:val="auto"/>
              </w:rPr>
              <w:t>construction</w:t>
            </w:r>
          </w:p>
        </w:tc>
        <w:tc>
          <w:tcPr>
            <w:tcW w:w="160" w:type="dxa"/>
            <w:vAlign w:val="bottom"/>
            <w:shd w:val="clear" w:color="auto" w:fill="F0FFFF"/>
          </w:tcPr>
          <w:p>
            <w:pPr>
              <w:spacing w:after="0"/>
              <w:rPr>
                <w:sz w:val="20"/>
                <w:szCs w:val="20"/>
                <w:color w:val="auto"/>
              </w:rPr>
            </w:pPr>
          </w:p>
        </w:tc>
        <w:tc>
          <w:tcPr>
            <w:tcW w:w="980" w:type="dxa"/>
            <w:vAlign w:val="bottom"/>
            <w:gridSpan w:val="2"/>
            <w:shd w:val="clear" w:color="auto" w:fill="F0FFFF"/>
          </w:tcPr>
          <w:p>
            <w:pPr>
              <w:jc w:val="right"/>
              <w:ind w:right="170"/>
              <w:spacing w:after="0"/>
              <w:rPr>
                <w:sz w:val="20"/>
                <w:szCs w:val="20"/>
                <w:color w:val="auto"/>
              </w:rPr>
            </w:pPr>
            <w:r>
              <w:rPr>
                <w:rFonts w:ascii="Arial" w:cs="Arial" w:eastAsia="Arial" w:hAnsi="Arial"/>
                <w:sz w:val="18"/>
                <w:szCs w:val="18"/>
                <w:color w:val="auto"/>
              </w:rPr>
              <w:t>4,248</w:t>
            </w:r>
          </w:p>
        </w:tc>
        <w:tc>
          <w:tcPr>
            <w:tcW w:w="260" w:type="dxa"/>
            <w:vAlign w:val="bottom"/>
            <w:shd w:val="clear" w:color="auto" w:fill="F0FFFF"/>
          </w:tcPr>
          <w:p>
            <w:pPr>
              <w:spacing w:after="0"/>
              <w:rPr>
                <w:sz w:val="20"/>
                <w:szCs w:val="20"/>
                <w:color w:val="auto"/>
              </w:rPr>
            </w:pPr>
          </w:p>
        </w:tc>
        <w:tc>
          <w:tcPr>
            <w:tcW w:w="760" w:type="dxa"/>
            <w:vAlign w:val="bottom"/>
            <w:tcBorders>
              <w:right w:val="single" w:sz="8" w:color="auto"/>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520</w:t>
            </w:r>
          </w:p>
        </w:tc>
        <w:tc>
          <w:tcPr>
            <w:tcW w:w="200" w:type="dxa"/>
            <w:vAlign w:val="bottom"/>
            <w:shd w:val="clear" w:color="auto" w:fill="F0FFFF"/>
          </w:tcPr>
          <w:p>
            <w:pPr>
              <w:spacing w:after="0"/>
              <w:rPr>
                <w:sz w:val="20"/>
                <w:szCs w:val="20"/>
                <w:color w:val="auto"/>
              </w:rPr>
            </w:pPr>
          </w:p>
        </w:tc>
        <w:tc>
          <w:tcPr>
            <w:tcW w:w="800" w:type="dxa"/>
            <w:vAlign w:val="bottom"/>
            <w:tcBorders>
              <w:right w:val="single" w:sz="8" w:color="auto"/>
            </w:tcBorders>
            <w:shd w:val="clear" w:color="auto" w:fill="F0FFFF"/>
          </w:tcPr>
          <w:p>
            <w:pPr>
              <w:jc w:val="right"/>
              <w:ind w:right="110"/>
              <w:spacing w:after="0"/>
              <w:rPr>
                <w:sz w:val="20"/>
                <w:szCs w:val="20"/>
                <w:color w:val="auto"/>
              </w:rPr>
            </w:pPr>
            <w:r>
              <w:rPr>
                <w:rFonts w:ascii="Arial" w:cs="Arial" w:eastAsia="Arial" w:hAnsi="Arial"/>
                <w:sz w:val="18"/>
                <w:szCs w:val="18"/>
                <w:color w:val="auto"/>
              </w:rPr>
              <w:t>4,768</w:t>
            </w:r>
          </w:p>
        </w:tc>
        <w:tc>
          <w:tcPr>
            <w:tcW w:w="8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4,264</w:t>
            </w:r>
          </w:p>
        </w:tc>
        <w:tc>
          <w:tcPr>
            <w:tcW w:w="260" w:type="dxa"/>
            <w:vAlign w:val="bottom"/>
            <w:tcBorders>
              <w:right w:val="single" w:sz="8" w:color="F0FFFF"/>
            </w:tcBorders>
            <w:shd w:val="clear" w:color="auto" w:fill="F0FFFF"/>
          </w:tcPr>
          <w:p>
            <w:pPr>
              <w:spacing w:after="0"/>
              <w:rPr>
                <w:sz w:val="20"/>
                <w:szCs w:val="20"/>
                <w:color w:val="auto"/>
              </w:rPr>
            </w:pPr>
          </w:p>
        </w:tc>
        <w:tc>
          <w:tcPr>
            <w:tcW w:w="260" w:type="dxa"/>
            <w:vAlign w:val="bottom"/>
            <w:shd w:val="clear" w:color="auto" w:fill="F0FFFF"/>
          </w:tcPr>
          <w:p>
            <w:pPr>
              <w:spacing w:after="0"/>
              <w:rPr>
                <w:sz w:val="20"/>
                <w:szCs w:val="20"/>
                <w:color w:val="auto"/>
              </w:rPr>
            </w:pPr>
          </w:p>
        </w:tc>
        <w:tc>
          <w:tcPr>
            <w:tcW w:w="820" w:type="dxa"/>
            <w:vAlign w:val="bottom"/>
            <w:tcBorders>
              <w:right w:val="single" w:sz="8" w:color="auto"/>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316</w:t>
            </w:r>
          </w:p>
        </w:tc>
        <w:tc>
          <w:tcPr>
            <w:tcW w:w="140" w:type="dxa"/>
            <w:vAlign w:val="bottom"/>
            <w:shd w:val="clear" w:color="auto" w:fill="F0FFFF"/>
          </w:tcPr>
          <w:p>
            <w:pPr>
              <w:spacing w:after="0"/>
              <w:rPr>
                <w:sz w:val="20"/>
                <w:szCs w:val="20"/>
                <w:color w:val="auto"/>
              </w:rPr>
            </w:pPr>
          </w:p>
        </w:tc>
        <w:tc>
          <w:tcPr>
            <w:tcW w:w="800" w:type="dxa"/>
            <w:vAlign w:val="bottom"/>
            <w:tcBorders>
              <w:right w:val="single" w:sz="8" w:color="auto"/>
            </w:tcBorders>
            <w:shd w:val="clear" w:color="auto" w:fill="F0FFFF"/>
          </w:tcPr>
          <w:p>
            <w:pPr>
              <w:jc w:val="right"/>
              <w:ind w:right="110"/>
              <w:spacing w:after="0"/>
              <w:rPr>
                <w:sz w:val="20"/>
                <w:szCs w:val="20"/>
                <w:color w:val="auto"/>
              </w:rPr>
            </w:pPr>
            <w:r>
              <w:rPr>
                <w:rFonts w:ascii="Arial" w:cs="Arial" w:eastAsia="Arial" w:hAnsi="Arial"/>
                <w:sz w:val="18"/>
                <w:szCs w:val="18"/>
                <w:color w:val="auto"/>
              </w:rPr>
              <w:t>4,580</w:t>
            </w:r>
          </w:p>
        </w:tc>
        <w:tc>
          <w:tcPr>
            <w:tcW w:w="8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980" w:type="dxa"/>
            <w:vAlign w:val="bottom"/>
            <w:tcBorders>
              <w:right w:val="single" w:sz="8" w:color="F0FFFF"/>
            </w:tcBorders>
            <w:gridSpan w:val="2"/>
            <w:shd w:val="clear" w:color="auto" w:fill="F0FFFF"/>
          </w:tcPr>
          <w:p>
            <w:pPr>
              <w:jc w:val="right"/>
              <w:ind w:right="170"/>
              <w:spacing w:after="0"/>
              <w:rPr>
                <w:sz w:val="20"/>
                <w:szCs w:val="20"/>
                <w:color w:val="auto"/>
              </w:rPr>
            </w:pPr>
            <w:r>
              <w:rPr>
                <w:rFonts w:ascii="Arial" w:cs="Arial" w:eastAsia="Arial" w:hAnsi="Arial"/>
                <w:sz w:val="18"/>
                <w:szCs w:val="18"/>
                <w:color w:val="auto"/>
              </w:rPr>
              <w:t>4,838</w:t>
            </w:r>
          </w:p>
        </w:tc>
        <w:tc>
          <w:tcPr>
            <w:tcW w:w="260" w:type="dxa"/>
            <w:vAlign w:val="bottom"/>
            <w:shd w:val="clear" w:color="auto" w:fill="F0FFFF"/>
          </w:tcPr>
          <w:p>
            <w:pPr>
              <w:spacing w:after="0"/>
              <w:rPr>
                <w:sz w:val="20"/>
                <w:szCs w:val="20"/>
                <w:color w:val="auto"/>
              </w:rPr>
            </w:pPr>
          </w:p>
        </w:tc>
        <w:tc>
          <w:tcPr>
            <w:tcW w:w="760" w:type="dxa"/>
            <w:vAlign w:val="bottom"/>
            <w:tcBorders>
              <w:right w:val="single" w:sz="8" w:color="auto"/>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1,570</w:t>
            </w:r>
          </w:p>
        </w:tc>
        <w:tc>
          <w:tcPr>
            <w:tcW w:w="200" w:type="dxa"/>
            <w:vAlign w:val="bottom"/>
            <w:shd w:val="clear" w:color="auto" w:fill="F0FFFF"/>
          </w:tcPr>
          <w:p>
            <w:pPr>
              <w:spacing w:after="0"/>
              <w:rPr>
                <w:sz w:val="20"/>
                <w:szCs w:val="20"/>
                <w:color w:val="auto"/>
              </w:rPr>
            </w:pPr>
          </w:p>
        </w:tc>
        <w:tc>
          <w:tcPr>
            <w:tcW w:w="820" w:type="dxa"/>
            <w:vAlign w:val="bottom"/>
            <w:tcBorders>
              <w:right w:val="single" w:sz="8" w:color="auto"/>
            </w:tcBorders>
            <w:shd w:val="clear" w:color="auto" w:fill="F0FFFF"/>
          </w:tcPr>
          <w:p>
            <w:pPr>
              <w:jc w:val="right"/>
              <w:ind w:right="130"/>
              <w:spacing w:after="0"/>
              <w:rPr>
                <w:sz w:val="20"/>
                <w:szCs w:val="20"/>
                <w:color w:val="auto"/>
              </w:rPr>
            </w:pPr>
            <w:r>
              <w:rPr>
                <w:rFonts w:ascii="Arial" w:cs="Arial" w:eastAsia="Arial" w:hAnsi="Arial"/>
                <w:sz w:val="18"/>
                <w:szCs w:val="18"/>
                <w:color w:val="auto"/>
              </w:rPr>
              <w:t>6,408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w w:val="98"/>
              </w:rPr>
              <w:t>Consumer installment</w:t>
            </w:r>
          </w:p>
        </w:tc>
        <w:tc>
          <w:tcPr>
            <w:tcW w:w="160" w:type="dxa"/>
            <w:vAlign w:val="bottom"/>
          </w:tcPr>
          <w:p>
            <w:pPr>
              <w:spacing w:after="0"/>
              <w:rPr>
                <w:sz w:val="18"/>
                <w:szCs w:val="18"/>
                <w:color w:val="auto"/>
              </w:rPr>
            </w:pPr>
          </w:p>
        </w:tc>
        <w:tc>
          <w:tcPr>
            <w:tcW w:w="980" w:type="dxa"/>
            <w:vAlign w:val="bottom"/>
            <w:gridSpan w:val="2"/>
          </w:tcPr>
          <w:p>
            <w:pPr>
              <w:jc w:val="right"/>
              <w:ind w:right="170"/>
              <w:spacing w:after="0"/>
              <w:rPr>
                <w:sz w:val="20"/>
                <w:szCs w:val="20"/>
                <w:color w:val="auto"/>
              </w:rPr>
            </w:pPr>
            <w:r>
              <w:rPr>
                <w:rFonts w:ascii="Arial" w:cs="Arial" w:eastAsia="Arial" w:hAnsi="Arial"/>
                <w:sz w:val="18"/>
                <w:szCs w:val="18"/>
                <w:color w:val="auto"/>
              </w:rPr>
              <w:t>171</w:t>
            </w:r>
          </w:p>
        </w:tc>
        <w:tc>
          <w:tcPr>
            <w:tcW w:w="26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249</w:t>
            </w:r>
          </w:p>
        </w:tc>
        <w:tc>
          <w:tcPr>
            <w:tcW w:w="26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249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70"/>
              <w:spacing w:after="0"/>
              <w:rPr>
                <w:sz w:val="20"/>
                <w:szCs w:val="20"/>
                <w:color w:val="auto"/>
              </w:rPr>
            </w:pPr>
            <w:r>
              <w:rPr>
                <w:rFonts w:ascii="Arial" w:cs="Arial" w:eastAsia="Arial" w:hAnsi="Arial"/>
                <w:sz w:val="18"/>
                <w:szCs w:val="18"/>
                <w:color w:val="auto"/>
              </w:rPr>
              <w:t>399</w:t>
            </w:r>
          </w:p>
        </w:tc>
        <w:tc>
          <w:tcPr>
            <w:tcW w:w="26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740" w:type="dxa"/>
            <w:vAlign w:val="bottom"/>
            <w:shd w:val="clear" w:color="auto" w:fill="F0FFFF"/>
          </w:tcPr>
          <w:p>
            <w:pPr>
              <w:spacing w:after="0"/>
              <w:rPr>
                <w:sz w:val="20"/>
                <w:szCs w:val="20"/>
                <w:color w:val="auto"/>
              </w:rPr>
            </w:pPr>
            <w:r>
              <w:rPr>
                <w:rFonts w:ascii="Arial" w:cs="Arial" w:eastAsia="Arial" w:hAnsi="Arial"/>
                <w:sz w:val="18"/>
                <w:szCs w:val="18"/>
                <w:color w:val="auto"/>
              </w:rPr>
              <w:t>Indirect auto</w:t>
            </w:r>
          </w:p>
        </w:tc>
        <w:tc>
          <w:tcPr>
            <w:tcW w:w="160" w:type="dxa"/>
            <w:vAlign w:val="bottom"/>
            <w:shd w:val="clear" w:color="auto" w:fill="F0FFFF"/>
          </w:tcPr>
          <w:p>
            <w:pPr>
              <w:spacing w:after="0"/>
              <w:rPr>
                <w:sz w:val="21"/>
                <w:szCs w:val="21"/>
                <w:color w:val="auto"/>
              </w:rPr>
            </w:pPr>
          </w:p>
        </w:tc>
        <w:tc>
          <w:tcPr>
            <w:tcW w:w="980" w:type="dxa"/>
            <w:vAlign w:val="bottom"/>
            <w:gridSpan w:val="2"/>
            <w:shd w:val="clear" w:color="auto" w:fill="F0FFFF"/>
          </w:tcPr>
          <w:p>
            <w:pPr>
              <w:jc w:val="right"/>
              <w:ind w:right="170"/>
              <w:spacing w:after="0"/>
              <w:rPr>
                <w:sz w:val="20"/>
                <w:szCs w:val="20"/>
                <w:color w:val="auto"/>
              </w:rPr>
            </w:pPr>
            <w:r>
              <w:rPr>
                <w:rFonts w:ascii="Arial" w:cs="Arial" w:eastAsia="Arial" w:hAnsi="Arial"/>
                <w:sz w:val="18"/>
                <w:szCs w:val="18"/>
                <w:color w:val="auto"/>
              </w:rPr>
              <w:t>390</w:t>
            </w:r>
          </w:p>
        </w:tc>
        <w:tc>
          <w:tcPr>
            <w:tcW w:w="260" w:type="dxa"/>
            <w:vAlign w:val="bottom"/>
            <w:shd w:val="clear" w:color="auto" w:fill="F0FFFF"/>
          </w:tcPr>
          <w:p>
            <w:pPr>
              <w:spacing w:after="0"/>
              <w:rPr>
                <w:sz w:val="21"/>
                <w:szCs w:val="21"/>
                <w:color w:val="auto"/>
              </w:rPr>
            </w:pPr>
          </w:p>
        </w:tc>
        <w:tc>
          <w:tcPr>
            <w:tcW w:w="760" w:type="dxa"/>
            <w:vAlign w:val="bottom"/>
            <w:tcBorders>
              <w:right w:val="single" w:sz="8" w:color="auto"/>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21"/>
                <w:szCs w:val="21"/>
                <w:color w:val="auto"/>
              </w:rPr>
            </w:pPr>
          </w:p>
        </w:tc>
        <w:tc>
          <w:tcPr>
            <w:tcW w:w="800" w:type="dxa"/>
            <w:vAlign w:val="bottom"/>
            <w:tcBorders>
              <w:right w:val="single" w:sz="8" w:color="auto"/>
            </w:tcBorders>
            <w:shd w:val="clear" w:color="auto" w:fill="F0FFFF"/>
          </w:tcPr>
          <w:p>
            <w:pPr>
              <w:jc w:val="right"/>
              <w:ind w:right="110"/>
              <w:spacing w:after="0"/>
              <w:rPr>
                <w:sz w:val="20"/>
                <w:szCs w:val="20"/>
                <w:color w:val="auto"/>
              </w:rPr>
            </w:pPr>
            <w:r>
              <w:rPr>
                <w:rFonts w:ascii="Arial" w:cs="Arial" w:eastAsia="Arial" w:hAnsi="Arial"/>
                <w:sz w:val="18"/>
                <w:szCs w:val="18"/>
                <w:color w:val="auto"/>
              </w:rPr>
              <w:t>390</w:t>
            </w:r>
          </w:p>
        </w:tc>
        <w:tc>
          <w:tcPr>
            <w:tcW w:w="8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98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F0FFFF"/>
          </w:tcPr>
          <w:p>
            <w:pPr>
              <w:spacing w:after="0"/>
              <w:rPr>
                <w:sz w:val="21"/>
                <w:szCs w:val="21"/>
                <w:color w:val="auto"/>
              </w:rPr>
            </w:pPr>
          </w:p>
        </w:tc>
        <w:tc>
          <w:tcPr>
            <w:tcW w:w="820" w:type="dxa"/>
            <w:vAlign w:val="bottom"/>
            <w:tcBorders>
              <w:right w:val="single" w:sz="8" w:color="auto"/>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21"/>
                <w:szCs w:val="21"/>
                <w:color w:val="auto"/>
              </w:rPr>
            </w:pPr>
          </w:p>
        </w:tc>
        <w:tc>
          <w:tcPr>
            <w:tcW w:w="800" w:type="dxa"/>
            <w:vAlign w:val="bottom"/>
            <w:tcBorders>
              <w:right w:val="single" w:sz="8" w:color="auto"/>
            </w:tcBorders>
            <w:shd w:val="clear" w:color="auto" w:fill="F0FFFF"/>
          </w:tcPr>
          <w:p>
            <w:pPr>
              <w:jc w:val="right"/>
              <w:ind w:right="11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21"/>
                <w:szCs w:val="21"/>
                <w:color w:val="auto"/>
              </w:rPr>
            </w:pPr>
          </w:p>
        </w:tc>
        <w:tc>
          <w:tcPr>
            <w:tcW w:w="160" w:type="dxa"/>
            <w:vAlign w:val="bottom"/>
            <w:shd w:val="clear" w:color="auto" w:fill="F0FFFF"/>
          </w:tcPr>
          <w:p>
            <w:pPr>
              <w:spacing w:after="0"/>
              <w:rPr>
                <w:sz w:val="21"/>
                <w:szCs w:val="21"/>
                <w:color w:val="auto"/>
              </w:rPr>
            </w:pPr>
          </w:p>
        </w:tc>
        <w:tc>
          <w:tcPr>
            <w:tcW w:w="980" w:type="dxa"/>
            <w:vAlign w:val="bottom"/>
            <w:tcBorders>
              <w:right w:val="single" w:sz="8" w:color="F0FFFF"/>
            </w:tcBorders>
            <w:gridSpan w:val="2"/>
            <w:shd w:val="clear" w:color="auto" w:fill="F0FFFF"/>
          </w:tcPr>
          <w:p>
            <w:pPr>
              <w:jc w:val="right"/>
              <w:ind w:right="170"/>
              <w:spacing w:after="0"/>
              <w:rPr>
                <w:sz w:val="20"/>
                <w:szCs w:val="20"/>
                <w:color w:val="auto"/>
              </w:rPr>
            </w:pPr>
            <w:r>
              <w:rPr>
                <w:rFonts w:ascii="Arial" w:cs="Arial" w:eastAsia="Arial" w:hAnsi="Arial"/>
                <w:sz w:val="18"/>
                <w:szCs w:val="18"/>
                <w:color w:val="auto"/>
              </w:rPr>
              <w:t>—</w:t>
            </w:r>
          </w:p>
        </w:tc>
        <w:tc>
          <w:tcPr>
            <w:tcW w:w="260" w:type="dxa"/>
            <w:vAlign w:val="bottom"/>
            <w:shd w:val="clear" w:color="auto" w:fill="F0FFFF"/>
          </w:tcPr>
          <w:p>
            <w:pPr>
              <w:spacing w:after="0"/>
              <w:rPr>
                <w:sz w:val="21"/>
                <w:szCs w:val="21"/>
                <w:color w:val="auto"/>
              </w:rPr>
            </w:pPr>
          </w:p>
        </w:tc>
        <w:tc>
          <w:tcPr>
            <w:tcW w:w="760" w:type="dxa"/>
            <w:vAlign w:val="bottom"/>
            <w:tcBorders>
              <w:right w:val="single" w:sz="8" w:color="auto"/>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21"/>
                <w:szCs w:val="21"/>
                <w:color w:val="auto"/>
              </w:rPr>
            </w:pPr>
          </w:p>
        </w:tc>
        <w:tc>
          <w:tcPr>
            <w:tcW w:w="820" w:type="dxa"/>
            <w:vAlign w:val="bottom"/>
            <w:tcBorders>
              <w:right w:val="single" w:sz="8" w:color="auto"/>
            </w:tcBorders>
            <w:shd w:val="clear" w:color="auto" w:fill="F0FF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4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Borders>
              <w:right w:val="single" w:sz="8" w:color="auto"/>
            </w:tcBorders>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Borders>
              <w:right w:val="single" w:sz="8" w:color="auto"/>
            </w:tcBorders>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ind w:left="200"/>
              <w:spacing w:after="0"/>
              <w:rPr>
                <w:sz w:val="20"/>
                <w:szCs w:val="20"/>
                <w:color w:val="auto"/>
              </w:rPr>
            </w:pPr>
            <w:r>
              <w:rPr>
                <w:rFonts w:ascii="Arial" w:cs="Arial" w:eastAsia="Arial" w:hAnsi="Arial"/>
                <w:sz w:val="18"/>
                <w:szCs w:val="18"/>
                <w:b w:val="1"/>
                <w:bCs w:val="1"/>
                <w:color w:val="auto"/>
              </w:rPr>
              <w:t>Total NPAs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70"/>
              <w:spacing w:after="0"/>
              <w:rPr>
                <w:sz w:val="20"/>
                <w:szCs w:val="20"/>
                <w:color w:val="auto"/>
              </w:rPr>
            </w:pPr>
            <w:r>
              <w:rPr>
                <w:rFonts w:ascii="Arial" w:cs="Arial" w:eastAsia="Arial" w:hAnsi="Arial"/>
                <w:sz w:val="18"/>
                <w:szCs w:val="18"/>
                <w:color w:val="auto"/>
              </w:rPr>
              <w:t>20,724</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2,969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23,693</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26,819</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4,221</w:t>
            </w:r>
          </w:p>
        </w:tc>
        <w:tc>
          <w:tcPr>
            <w:tcW w:w="260" w:type="dxa"/>
            <w:vAlign w:val="bottom"/>
            <w:tcBorders>
              <w:right w:val="single" w:sz="8" w:color="auto"/>
            </w:tcBorders>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31,040</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70"/>
              <w:spacing w:after="0"/>
              <w:rPr>
                <w:sz w:val="20"/>
                <w:szCs w:val="20"/>
                <w:color w:val="auto"/>
              </w:rPr>
            </w:pPr>
            <w:r>
              <w:rPr>
                <w:rFonts w:ascii="Arial" w:cs="Arial" w:eastAsia="Arial" w:hAnsi="Arial"/>
                <w:sz w:val="18"/>
                <w:szCs w:val="18"/>
                <w:color w:val="auto"/>
              </w:rPr>
              <w:t>27,864</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3,936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31,800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40" w:type="dxa"/>
            <w:vAlign w:val="bottom"/>
            <w:tcBorders>
              <w:bottom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F0FFFF"/>
              <w:right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F0FFFF"/>
              <w:right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80" w:type="dxa"/>
            <w:vAlign w:val="bottom"/>
            <w:tcBorders>
              <w:bottom w:val="single" w:sz="8" w:color="F0FF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F0FF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F0FFFF"/>
              <w:right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40" w:type="dxa"/>
            <w:vAlign w:val="bottom"/>
            <w:shd w:val="clear" w:color="auto" w:fill="F0FFFF"/>
          </w:tcPr>
          <w:p>
            <w:pPr>
              <w:ind w:left="220"/>
              <w:spacing w:after="0"/>
              <w:rPr>
                <w:sz w:val="20"/>
                <w:szCs w:val="20"/>
                <w:color w:val="auto"/>
              </w:rPr>
            </w:pPr>
            <w:r>
              <w:rPr>
                <w:rFonts w:ascii="Arial" w:cs="Arial" w:eastAsia="Arial" w:hAnsi="Arial"/>
                <w:sz w:val="18"/>
                <w:szCs w:val="18"/>
                <w:b w:val="1"/>
                <w:bCs w:val="1"/>
                <w:color w:val="auto"/>
                <w:w w:val="98"/>
              </w:rPr>
              <w:t>Balance as a % of</w:t>
            </w:r>
          </w:p>
        </w:tc>
        <w:tc>
          <w:tcPr>
            <w:tcW w:w="16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560" w:type="dxa"/>
            <w:vAlign w:val="bottom"/>
            <w:shd w:val="clear" w:color="auto" w:fill="F0FFFF"/>
          </w:tcPr>
          <w:p>
            <w:pPr>
              <w:spacing w:after="0"/>
              <w:rPr>
                <w:sz w:val="18"/>
                <w:szCs w:val="18"/>
                <w:color w:val="auto"/>
              </w:rPr>
            </w:pPr>
          </w:p>
        </w:tc>
        <w:tc>
          <w:tcPr>
            <w:tcW w:w="200" w:type="dxa"/>
            <w:vAlign w:val="bottom"/>
            <w:tcBorders>
              <w:right w:val="single" w:sz="8" w:color="auto"/>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0" w:type="dxa"/>
            <w:vAlign w:val="bottom"/>
            <w:tcBorders>
              <w:right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560" w:type="dxa"/>
            <w:vAlign w:val="bottom"/>
            <w:shd w:val="clear" w:color="auto" w:fill="F0FFFF"/>
          </w:tcPr>
          <w:p>
            <w:pPr>
              <w:spacing w:after="0"/>
              <w:rPr>
                <w:sz w:val="18"/>
                <w:szCs w:val="18"/>
                <w:color w:val="auto"/>
              </w:rPr>
            </w:pPr>
          </w:p>
        </w:tc>
        <w:tc>
          <w:tcPr>
            <w:tcW w:w="260" w:type="dxa"/>
            <w:vAlign w:val="bottom"/>
            <w:tcBorders>
              <w:right w:val="single" w:sz="8" w:color="auto"/>
            </w:tcBorders>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0" w:type="dxa"/>
            <w:vAlign w:val="bottom"/>
            <w:tcBorders>
              <w:right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560" w:type="dxa"/>
            <w:vAlign w:val="bottom"/>
            <w:shd w:val="clear" w:color="auto" w:fill="F0FFFF"/>
          </w:tcPr>
          <w:p>
            <w:pPr>
              <w:spacing w:after="0"/>
              <w:rPr>
                <w:sz w:val="18"/>
                <w:szCs w:val="18"/>
                <w:color w:val="auto"/>
              </w:rPr>
            </w:pPr>
          </w:p>
        </w:tc>
        <w:tc>
          <w:tcPr>
            <w:tcW w:w="200" w:type="dxa"/>
            <w:vAlign w:val="bottom"/>
            <w:tcBorders>
              <w:right w:val="single" w:sz="8" w:color="auto"/>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tcBorders>
              <w:right w:val="single" w:sz="8" w:color="auto"/>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740" w:type="dxa"/>
            <w:vAlign w:val="bottom"/>
          </w:tcPr>
          <w:p>
            <w:pPr>
              <w:ind w:left="440"/>
              <w:spacing w:after="0" w:line="198" w:lineRule="exact"/>
              <w:rPr>
                <w:sz w:val="20"/>
                <w:szCs w:val="20"/>
                <w:color w:val="auto"/>
              </w:rPr>
            </w:pPr>
            <w:r>
              <w:rPr>
                <w:rFonts w:ascii="Arial" w:cs="Arial" w:eastAsia="Arial" w:hAnsi="Arial"/>
                <w:sz w:val="18"/>
                <w:szCs w:val="18"/>
                <w:b w:val="1"/>
                <w:bCs w:val="1"/>
                <w:color w:val="auto"/>
              </w:rPr>
              <w:t>Unpaid</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60" w:type="dxa"/>
            <w:vAlign w:val="bottom"/>
            <w:gridSpan w:val="2"/>
          </w:tcPr>
          <w:p>
            <w:pPr>
              <w:spacing w:after="0"/>
              <w:rPr>
                <w:sz w:val="20"/>
                <w:szCs w:val="20"/>
                <w:color w:val="auto"/>
              </w:rPr>
            </w:pPr>
            <w:r>
              <w:rPr>
                <w:rFonts w:ascii="Arial" w:cs="Arial" w:eastAsia="Arial" w:hAnsi="Arial"/>
                <w:sz w:val="18"/>
                <w:szCs w:val="18"/>
                <w:b w:val="1"/>
                <w:bCs w:val="1"/>
                <w:color w:val="auto"/>
              </w:rPr>
              <w:t>Principal</w:t>
            </w:r>
          </w:p>
        </w:tc>
        <w:tc>
          <w:tcPr>
            <w:tcW w:w="160" w:type="dxa"/>
            <w:vAlign w:val="bottom"/>
          </w:tcPr>
          <w:p>
            <w:pPr>
              <w:spacing w:after="0"/>
              <w:rPr>
                <w:sz w:val="20"/>
                <w:szCs w:val="20"/>
                <w:color w:val="auto"/>
              </w:rPr>
            </w:pP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66.5%</w:t>
            </w:r>
          </w:p>
        </w:tc>
        <w:tc>
          <w:tcPr>
            <w:tcW w:w="260" w:type="dxa"/>
            <w:vAlign w:val="bottom"/>
          </w:tcPr>
          <w:p>
            <w:pPr>
              <w:spacing w:after="0"/>
              <w:rPr>
                <w:sz w:val="20"/>
                <w:szCs w:val="20"/>
                <w:color w:val="auto"/>
              </w:rPr>
            </w:pPr>
          </w:p>
        </w:tc>
        <w:tc>
          <w:tcPr>
            <w:tcW w:w="76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50.4%</w:t>
            </w:r>
          </w:p>
        </w:tc>
        <w:tc>
          <w:tcPr>
            <w:tcW w:w="200" w:type="dxa"/>
            <w:vAlign w:val="bottom"/>
          </w:tcPr>
          <w:p>
            <w:pPr>
              <w:spacing w:after="0"/>
              <w:rPr>
                <w:sz w:val="20"/>
                <w:szCs w:val="20"/>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65.3%</w:t>
            </w:r>
          </w:p>
        </w:tc>
        <w:tc>
          <w:tcPr>
            <w:tcW w:w="26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44.5%</w:t>
            </w:r>
          </w:p>
        </w:tc>
        <w:tc>
          <w:tcPr>
            <w:tcW w:w="140" w:type="dxa"/>
            <w:vAlign w:val="bottom"/>
          </w:tcPr>
          <w:p>
            <w:pPr>
              <w:spacing w:after="0"/>
              <w:rPr>
                <w:sz w:val="20"/>
                <w:szCs w:val="20"/>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62.6%</w:t>
            </w:r>
          </w:p>
        </w:tc>
        <w:tc>
          <w:tcPr>
            <w:tcW w:w="260" w:type="dxa"/>
            <w:vAlign w:val="bottom"/>
          </w:tcPr>
          <w:p>
            <w:pPr>
              <w:spacing w:after="0"/>
              <w:rPr>
                <w:sz w:val="20"/>
                <w:szCs w:val="20"/>
                <w:color w:val="auto"/>
              </w:rPr>
            </w:pPr>
          </w:p>
        </w:tc>
        <w:tc>
          <w:tcPr>
            <w:tcW w:w="76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31.6%</w:t>
            </w:r>
          </w:p>
        </w:tc>
        <w:tc>
          <w:tcPr>
            <w:tcW w:w="200" w:type="dxa"/>
            <w:vAlign w:val="bottom"/>
          </w:tcPr>
          <w:p>
            <w:pPr>
              <w:spacing w:after="0"/>
              <w:rPr>
                <w:sz w:val="20"/>
                <w:szCs w:val="20"/>
                <w:color w:val="auto"/>
              </w:rPr>
            </w:pP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560" w:type="dxa"/>
            <w:vAlign w:val="bottom"/>
            <w:shd w:val="clear" w:color="auto" w:fill="F0FFFF"/>
          </w:tcPr>
          <w:p>
            <w:pPr>
              <w:spacing w:after="0"/>
              <w:rPr>
                <w:sz w:val="18"/>
                <w:szCs w:val="18"/>
                <w:color w:val="auto"/>
              </w:rPr>
            </w:pPr>
          </w:p>
        </w:tc>
        <w:tc>
          <w:tcPr>
            <w:tcW w:w="200" w:type="dxa"/>
            <w:vAlign w:val="bottom"/>
            <w:tcBorders>
              <w:right w:val="single" w:sz="8" w:color="auto"/>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0" w:type="dxa"/>
            <w:vAlign w:val="bottom"/>
            <w:tcBorders>
              <w:right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560" w:type="dxa"/>
            <w:vAlign w:val="bottom"/>
            <w:shd w:val="clear" w:color="auto" w:fill="F0FFFF"/>
          </w:tcPr>
          <w:p>
            <w:pPr>
              <w:spacing w:after="0"/>
              <w:rPr>
                <w:sz w:val="18"/>
                <w:szCs w:val="18"/>
                <w:color w:val="auto"/>
              </w:rPr>
            </w:pPr>
          </w:p>
        </w:tc>
        <w:tc>
          <w:tcPr>
            <w:tcW w:w="260" w:type="dxa"/>
            <w:vAlign w:val="bottom"/>
            <w:tcBorders>
              <w:right w:val="single" w:sz="8" w:color="auto"/>
            </w:tcBorders>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0" w:type="dxa"/>
            <w:vAlign w:val="bottom"/>
            <w:tcBorders>
              <w:right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20" w:type="dxa"/>
            <w:vAlign w:val="bottom"/>
            <w:shd w:val="clear" w:color="auto" w:fill="F0FFFF"/>
          </w:tcPr>
          <w:p>
            <w:pPr>
              <w:spacing w:after="0"/>
              <w:rPr>
                <w:sz w:val="18"/>
                <w:szCs w:val="18"/>
                <w:color w:val="auto"/>
              </w:rPr>
            </w:pPr>
          </w:p>
        </w:tc>
        <w:tc>
          <w:tcPr>
            <w:tcW w:w="260" w:type="dxa"/>
            <w:vAlign w:val="bottom"/>
            <w:tcBorders>
              <w:right w:val="single" w:sz="8" w:color="F0FFFF"/>
            </w:tcBorders>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560" w:type="dxa"/>
            <w:vAlign w:val="bottom"/>
            <w:shd w:val="clear" w:color="auto" w:fill="F0FFFF"/>
          </w:tcPr>
          <w:p>
            <w:pPr>
              <w:spacing w:after="0"/>
              <w:rPr>
                <w:sz w:val="18"/>
                <w:szCs w:val="18"/>
                <w:color w:val="auto"/>
              </w:rPr>
            </w:pPr>
          </w:p>
        </w:tc>
        <w:tc>
          <w:tcPr>
            <w:tcW w:w="200" w:type="dxa"/>
            <w:vAlign w:val="bottom"/>
            <w:tcBorders>
              <w:right w:val="single" w:sz="8" w:color="auto"/>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20" w:type="dxa"/>
            <w:vAlign w:val="bottom"/>
            <w:tcBorders>
              <w:right w:val="single" w:sz="8" w:color="auto"/>
            </w:tcBorders>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b w:val="1"/>
                <w:bCs w:val="1"/>
                <w:color w:val="auto"/>
              </w:rPr>
              <w:t>BY MARKET</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F0FFFF"/>
          </w:tcPr>
          <w:p>
            <w:pPr>
              <w:spacing w:after="0"/>
              <w:rPr>
                <w:sz w:val="20"/>
                <w:szCs w:val="20"/>
                <w:color w:val="auto"/>
              </w:rPr>
            </w:pPr>
            <w:r>
              <w:rPr>
                <w:rFonts w:ascii="Arial" w:cs="Arial" w:eastAsia="Arial" w:hAnsi="Arial"/>
                <w:sz w:val="18"/>
                <w:szCs w:val="18"/>
                <w:color w:val="auto"/>
              </w:rPr>
              <w:t>North Georgia</w:t>
            </w:r>
          </w:p>
        </w:tc>
        <w:tc>
          <w:tcPr>
            <w:tcW w:w="16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F0FFFF"/>
          </w:tcPr>
          <w:p>
            <w:pPr>
              <w:jc w:val="right"/>
              <w:ind w:right="170"/>
              <w:spacing w:after="0"/>
              <w:rPr>
                <w:sz w:val="20"/>
                <w:szCs w:val="20"/>
                <w:color w:val="auto"/>
              </w:rPr>
            </w:pPr>
            <w:r>
              <w:rPr>
                <w:rFonts w:ascii="Arial" w:cs="Arial" w:eastAsia="Arial" w:hAnsi="Arial"/>
                <w:sz w:val="18"/>
                <w:szCs w:val="18"/>
                <w:color w:val="auto"/>
              </w:rPr>
              <w:t>8,216</w:t>
            </w:r>
          </w:p>
        </w:tc>
        <w:tc>
          <w:tcPr>
            <w:tcW w:w="26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1,392</w:t>
            </w:r>
          </w:p>
        </w:tc>
        <w:tc>
          <w:tcPr>
            <w:tcW w:w="2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F0FFFF"/>
          </w:tcPr>
          <w:p>
            <w:pPr>
              <w:jc w:val="right"/>
              <w:ind w:right="110"/>
              <w:spacing w:after="0"/>
              <w:rPr>
                <w:sz w:val="20"/>
                <w:szCs w:val="20"/>
                <w:color w:val="auto"/>
              </w:rPr>
            </w:pPr>
            <w:r>
              <w:rPr>
                <w:rFonts w:ascii="Arial" w:cs="Arial" w:eastAsia="Arial" w:hAnsi="Arial"/>
                <w:sz w:val="18"/>
                <w:szCs w:val="18"/>
                <w:color w:val="auto"/>
              </w:rPr>
              <w:t>9,608</w:t>
            </w:r>
          </w:p>
        </w:tc>
        <w:tc>
          <w:tcPr>
            <w:tcW w:w="24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12,352</w:t>
            </w:r>
          </w:p>
        </w:tc>
        <w:tc>
          <w:tcPr>
            <w:tcW w:w="26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2,494</w:t>
            </w:r>
          </w:p>
        </w:tc>
        <w:tc>
          <w:tcPr>
            <w:tcW w:w="260" w:type="dxa"/>
            <w:vAlign w:val="bottom"/>
            <w:tcBorders>
              <w:right w:val="single" w:sz="8" w:color="auto"/>
            </w:tcBorders>
            <w:shd w:val="clear" w:color="auto" w:fill="F0FFFF"/>
          </w:tcPr>
          <w:p>
            <w:pPr>
              <w:spacing w:after="0"/>
              <w:rPr>
                <w:sz w:val="18"/>
                <w:szCs w:val="18"/>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shd w:val="clear" w:color="auto" w:fill="F0FFFF"/>
          </w:tcPr>
          <w:p>
            <w:pPr>
              <w:jc w:val="right"/>
              <w:ind w:right="110"/>
              <w:spacing w:after="0"/>
              <w:rPr>
                <w:sz w:val="20"/>
                <w:szCs w:val="20"/>
                <w:color w:val="auto"/>
              </w:rPr>
            </w:pPr>
            <w:r>
              <w:rPr>
                <w:rFonts w:ascii="Arial" w:cs="Arial" w:eastAsia="Arial" w:hAnsi="Arial"/>
                <w:sz w:val="18"/>
                <w:szCs w:val="18"/>
                <w:color w:val="auto"/>
              </w:rPr>
              <w:t>14,846</w:t>
            </w:r>
          </w:p>
        </w:tc>
        <w:tc>
          <w:tcPr>
            <w:tcW w:w="24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F0FFFF"/>
            </w:tcBorders>
            <w:gridSpan w:val="2"/>
            <w:shd w:val="clear" w:color="auto" w:fill="F0FFFF"/>
          </w:tcPr>
          <w:p>
            <w:pPr>
              <w:jc w:val="right"/>
              <w:ind w:right="170"/>
              <w:spacing w:after="0"/>
              <w:rPr>
                <w:sz w:val="20"/>
                <w:szCs w:val="20"/>
                <w:color w:val="auto"/>
              </w:rPr>
            </w:pPr>
            <w:r>
              <w:rPr>
                <w:rFonts w:ascii="Arial" w:cs="Arial" w:eastAsia="Arial" w:hAnsi="Arial"/>
                <w:sz w:val="18"/>
                <w:szCs w:val="18"/>
                <w:color w:val="auto"/>
              </w:rPr>
              <w:t>12,830</w:t>
            </w:r>
          </w:p>
        </w:tc>
        <w:tc>
          <w:tcPr>
            <w:tcW w:w="26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1,617</w:t>
            </w:r>
          </w:p>
        </w:tc>
        <w:tc>
          <w:tcPr>
            <w:tcW w:w="2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F0FFFF"/>
          </w:tcPr>
          <w:p>
            <w:pPr>
              <w:jc w:val="right"/>
              <w:ind w:right="130"/>
              <w:spacing w:after="0"/>
              <w:rPr>
                <w:sz w:val="20"/>
                <w:szCs w:val="20"/>
                <w:color w:val="auto"/>
              </w:rPr>
            </w:pPr>
            <w:r>
              <w:rPr>
                <w:rFonts w:ascii="Arial" w:cs="Arial" w:eastAsia="Arial" w:hAnsi="Arial"/>
                <w:sz w:val="18"/>
                <w:szCs w:val="18"/>
                <w:color w:val="auto"/>
              </w:rPr>
              <w:t>14,447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Atlanta MSA</w:t>
            </w:r>
          </w:p>
        </w:tc>
        <w:tc>
          <w:tcPr>
            <w:tcW w:w="160" w:type="dxa"/>
            <w:vAlign w:val="bottom"/>
          </w:tcPr>
          <w:p>
            <w:pPr>
              <w:spacing w:after="0"/>
              <w:rPr>
                <w:sz w:val="18"/>
                <w:szCs w:val="18"/>
                <w:color w:val="auto"/>
              </w:rPr>
            </w:pPr>
          </w:p>
        </w:tc>
        <w:tc>
          <w:tcPr>
            <w:tcW w:w="980" w:type="dxa"/>
            <w:vAlign w:val="bottom"/>
            <w:gridSpan w:val="2"/>
          </w:tcPr>
          <w:p>
            <w:pPr>
              <w:jc w:val="right"/>
              <w:ind w:right="170"/>
              <w:spacing w:after="0"/>
              <w:rPr>
                <w:sz w:val="20"/>
                <w:szCs w:val="20"/>
                <w:color w:val="auto"/>
              </w:rPr>
            </w:pPr>
            <w:r>
              <w:rPr>
                <w:rFonts w:ascii="Arial" w:cs="Arial" w:eastAsia="Arial" w:hAnsi="Arial"/>
                <w:sz w:val="18"/>
                <w:szCs w:val="18"/>
                <w:color w:val="auto"/>
              </w:rPr>
              <w:t>3,883</w:t>
            </w:r>
          </w:p>
        </w:tc>
        <w:tc>
          <w:tcPr>
            <w:tcW w:w="26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510</w:t>
            </w:r>
          </w:p>
        </w:tc>
        <w:tc>
          <w:tcPr>
            <w:tcW w:w="200" w:type="dxa"/>
            <w:vAlign w:val="bottom"/>
          </w:tcPr>
          <w:p>
            <w:pPr>
              <w:spacing w:after="0"/>
              <w:rPr>
                <w:sz w:val="18"/>
                <w:szCs w:val="18"/>
                <w:color w:val="auto"/>
              </w:rPr>
            </w:pPr>
          </w:p>
        </w:tc>
        <w:tc>
          <w:tcPr>
            <w:tcW w:w="80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4,393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2,830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684</w:t>
            </w:r>
          </w:p>
        </w:tc>
        <w:tc>
          <w:tcPr>
            <w:tcW w:w="140" w:type="dxa"/>
            <w:vAlign w:val="bottom"/>
          </w:tcPr>
          <w:p>
            <w:pPr>
              <w:spacing w:after="0"/>
              <w:rPr>
                <w:sz w:val="18"/>
                <w:szCs w:val="18"/>
                <w:color w:val="auto"/>
              </w:rPr>
            </w:pPr>
          </w:p>
        </w:tc>
        <w:tc>
          <w:tcPr>
            <w:tcW w:w="80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3,514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70"/>
              <w:spacing w:after="0"/>
              <w:rPr>
                <w:sz w:val="20"/>
                <w:szCs w:val="20"/>
                <w:color w:val="auto"/>
              </w:rPr>
            </w:pPr>
            <w:r>
              <w:rPr>
                <w:rFonts w:ascii="Arial" w:cs="Arial" w:eastAsia="Arial" w:hAnsi="Arial"/>
                <w:sz w:val="18"/>
                <w:szCs w:val="18"/>
                <w:color w:val="auto"/>
              </w:rPr>
              <w:t>3,803</w:t>
            </w:r>
          </w:p>
        </w:tc>
        <w:tc>
          <w:tcPr>
            <w:tcW w:w="26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1,197</w:t>
            </w:r>
          </w:p>
        </w:tc>
        <w:tc>
          <w:tcPr>
            <w:tcW w:w="200" w:type="dxa"/>
            <w:vAlign w:val="bottom"/>
          </w:tcPr>
          <w:p>
            <w:pPr>
              <w:spacing w:after="0"/>
              <w:rPr>
                <w:sz w:val="18"/>
                <w:szCs w:val="18"/>
                <w:color w:val="auto"/>
              </w:rPr>
            </w:pPr>
          </w:p>
        </w:tc>
        <w:tc>
          <w:tcPr>
            <w:tcW w:w="8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F0FFFF"/>
          </w:tcPr>
          <w:p>
            <w:pPr>
              <w:spacing w:after="0"/>
              <w:rPr>
                <w:sz w:val="20"/>
                <w:szCs w:val="20"/>
                <w:color w:val="auto"/>
              </w:rPr>
            </w:pPr>
            <w:r>
              <w:rPr>
                <w:rFonts w:ascii="Arial" w:cs="Arial" w:eastAsia="Arial" w:hAnsi="Arial"/>
                <w:sz w:val="18"/>
                <w:szCs w:val="18"/>
                <w:color w:val="auto"/>
              </w:rPr>
              <w:t>North Carolina</w:t>
            </w:r>
          </w:p>
        </w:tc>
        <w:tc>
          <w:tcPr>
            <w:tcW w:w="16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70"/>
              <w:spacing w:after="0"/>
              <w:rPr>
                <w:sz w:val="20"/>
                <w:szCs w:val="20"/>
                <w:color w:val="auto"/>
              </w:rPr>
            </w:pPr>
            <w:r>
              <w:rPr>
                <w:rFonts w:ascii="Arial" w:cs="Arial" w:eastAsia="Arial" w:hAnsi="Arial"/>
                <w:sz w:val="18"/>
                <w:szCs w:val="18"/>
                <w:color w:val="auto"/>
              </w:rPr>
              <w:t>5,314</w:t>
            </w:r>
          </w:p>
        </w:tc>
        <w:tc>
          <w:tcPr>
            <w:tcW w:w="260" w:type="dxa"/>
            <w:vAlign w:val="bottom"/>
            <w:shd w:val="clear" w:color="auto" w:fill="F0FFFF"/>
          </w:tcPr>
          <w:p>
            <w:pPr>
              <w:spacing w:after="0"/>
              <w:rPr>
                <w:sz w:val="18"/>
                <w:szCs w:val="18"/>
                <w:color w:val="auto"/>
              </w:rPr>
            </w:pPr>
          </w:p>
        </w:tc>
        <w:tc>
          <w:tcPr>
            <w:tcW w:w="760" w:type="dxa"/>
            <w:vAlign w:val="bottom"/>
            <w:tcBorders>
              <w:right w:val="single" w:sz="8" w:color="auto"/>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615</w:t>
            </w:r>
          </w:p>
        </w:tc>
        <w:tc>
          <w:tcPr>
            <w:tcW w:w="200" w:type="dxa"/>
            <w:vAlign w:val="bottom"/>
            <w:shd w:val="clear" w:color="auto" w:fill="F0FFFF"/>
          </w:tcPr>
          <w:p>
            <w:pPr>
              <w:spacing w:after="0"/>
              <w:rPr>
                <w:sz w:val="18"/>
                <w:szCs w:val="18"/>
                <w:color w:val="auto"/>
              </w:rPr>
            </w:pPr>
          </w:p>
        </w:tc>
        <w:tc>
          <w:tcPr>
            <w:tcW w:w="800" w:type="dxa"/>
            <w:vAlign w:val="bottom"/>
            <w:tcBorders>
              <w:right w:val="single" w:sz="8" w:color="auto"/>
            </w:tcBorders>
            <w:shd w:val="clear" w:color="auto" w:fill="F0FFFF"/>
          </w:tcPr>
          <w:p>
            <w:pPr>
              <w:jc w:val="right"/>
              <w:ind w:right="110"/>
              <w:spacing w:after="0"/>
              <w:rPr>
                <w:sz w:val="20"/>
                <w:szCs w:val="20"/>
                <w:color w:val="auto"/>
              </w:rPr>
            </w:pPr>
            <w:r>
              <w:rPr>
                <w:rFonts w:ascii="Arial" w:cs="Arial" w:eastAsia="Arial" w:hAnsi="Arial"/>
                <w:sz w:val="18"/>
                <w:szCs w:val="18"/>
                <w:color w:val="auto"/>
              </w:rPr>
              <w:t>5,929</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6,567</w:t>
            </w:r>
          </w:p>
        </w:tc>
        <w:tc>
          <w:tcPr>
            <w:tcW w:w="260" w:type="dxa"/>
            <w:vAlign w:val="bottom"/>
            <w:tcBorders>
              <w:right w:val="single" w:sz="8" w:color="F0FFFF"/>
            </w:tcBorders>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820" w:type="dxa"/>
            <w:vAlign w:val="bottom"/>
            <w:tcBorders>
              <w:right w:val="single" w:sz="8" w:color="auto"/>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683</w:t>
            </w:r>
          </w:p>
        </w:tc>
        <w:tc>
          <w:tcPr>
            <w:tcW w:w="140" w:type="dxa"/>
            <w:vAlign w:val="bottom"/>
            <w:shd w:val="clear" w:color="auto" w:fill="F0FFFF"/>
          </w:tcPr>
          <w:p>
            <w:pPr>
              <w:spacing w:after="0"/>
              <w:rPr>
                <w:sz w:val="18"/>
                <w:szCs w:val="18"/>
                <w:color w:val="auto"/>
              </w:rPr>
            </w:pPr>
          </w:p>
        </w:tc>
        <w:tc>
          <w:tcPr>
            <w:tcW w:w="800" w:type="dxa"/>
            <w:vAlign w:val="bottom"/>
            <w:tcBorders>
              <w:right w:val="single" w:sz="8" w:color="auto"/>
            </w:tcBorders>
            <w:shd w:val="clear" w:color="auto" w:fill="F0FFFF"/>
          </w:tcPr>
          <w:p>
            <w:pPr>
              <w:jc w:val="right"/>
              <w:ind w:right="110"/>
              <w:spacing w:after="0"/>
              <w:rPr>
                <w:sz w:val="20"/>
                <w:szCs w:val="20"/>
                <w:color w:val="auto"/>
              </w:rPr>
            </w:pPr>
            <w:r>
              <w:rPr>
                <w:rFonts w:ascii="Arial" w:cs="Arial" w:eastAsia="Arial" w:hAnsi="Arial"/>
                <w:sz w:val="18"/>
                <w:szCs w:val="18"/>
                <w:color w:val="auto"/>
              </w:rPr>
              <w:t>7,250</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tcBorders>
              <w:right w:val="single" w:sz="8" w:color="F0FFFF"/>
            </w:tcBorders>
            <w:gridSpan w:val="2"/>
            <w:shd w:val="clear" w:color="auto" w:fill="F0FFFF"/>
          </w:tcPr>
          <w:p>
            <w:pPr>
              <w:jc w:val="right"/>
              <w:ind w:right="170"/>
              <w:spacing w:after="0"/>
              <w:rPr>
                <w:sz w:val="20"/>
                <w:szCs w:val="20"/>
                <w:color w:val="auto"/>
              </w:rPr>
            </w:pPr>
            <w:r>
              <w:rPr>
                <w:rFonts w:ascii="Arial" w:cs="Arial" w:eastAsia="Arial" w:hAnsi="Arial"/>
                <w:sz w:val="18"/>
                <w:szCs w:val="18"/>
                <w:color w:val="auto"/>
              </w:rPr>
              <w:t>6,512</w:t>
            </w:r>
          </w:p>
        </w:tc>
        <w:tc>
          <w:tcPr>
            <w:tcW w:w="260" w:type="dxa"/>
            <w:vAlign w:val="bottom"/>
            <w:shd w:val="clear" w:color="auto" w:fill="F0FFFF"/>
          </w:tcPr>
          <w:p>
            <w:pPr>
              <w:spacing w:after="0"/>
              <w:rPr>
                <w:sz w:val="18"/>
                <w:szCs w:val="18"/>
                <w:color w:val="auto"/>
              </w:rPr>
            </w:pPr>
          </w:p>
        </w:tc>
        <w:tc>
          <w:tcPr>
            <w:tcW w:w="760" w:type="dxa"/>
            <w:vAlign w:val="bottom"/>
            <w:tcBorders>
              <w:right w:val="single" w:sz="8" w:color="auto"/>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295</w:t>
            </w:r>
          </w:p>
        </w:tc>
        <w:tc>
          <w:tcPr>
            <w:tcW w:w="200" w:type="dxa"/>
            <w:vAlign w:val="bottom"/>
            <w:shd w:val="clear" w:color="auto" w:fill="F0FFFF"/>
          </w:tcPr>
          <w:p>
            <w:pPr>
              <w:spacing w:after="0"/>
              <w:rPr>
                <w:sz w:val="18"/>
                <w:szCs w:val="18"/>
                <w:color w:val="auto"/>
              </w:rPr>
            </w:pPr>
          </w:p>
        </w:tc>
        <w:tc>
          <w:tcPr>
            <w:tcW w:w="820" w:type="dxa"/>
            <w:vAlign w:val="bottom"/>
            <w:tcBorders>
              <w:right w:val="single" w:sz="8" w:color="auto"/>
            </w:tcBorders>
            <w:shd w:val="clear" w:color="auto" w:fill="F0FFFF"/>
          </w:tcPr>
          <w:p>
            <w:pPr>
              <w:jc w:val="right"/>
              <w:ind w:right="130"/>
              <w:spacing w:after="0"/>
              <w:rPr>
                <w:sz w:val="20"/>
                <w:szCs w:val="20"/>
                <w:color w:val="auto"/>
              </w:rPr>
            </w:pPr>
            <w:r>
              <w:rPr>
                <w:rFonts w:ascii="Arial" w:cs="Arial" w:eastAsia="Arial" w:hAnsi="Arial"/>
                <w:sz w:val="18"/>
                <w:szCs w:val="18"/>
                <w:color w:val="auto"/>
              </w:rPr>
              <w:t>6,807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Coastal Georgia</w:t>
            </w:r>
          </w:p>
        </w:tc>
        <w:tc>
          <w:tcPr>
            <w:tcW w:w="160" w:type="dxa"/>
            <w:vAlign w:val="bottom"/>
          </w:tcPr>
          <w:p>
            <w:pPr>
              <w:spacing w:after="0"/>
              <w:rPr>
                <w:sz w:val="18"/>
                <w:szCs w:val="18"/>
                <w:color w:val="auto"/>
              </w:rPr>
            </w:pPr>
          </w:p>
        </w:tc>
        <w:tc>
          <w:tcPr>
            <w:tcW w:w="980" w:type="dxa"/>
            <w:vAlign w:val="bottom"/>
            <w:gridSpan w:val="2"/>
          </w:tcPr>
          <w:p>
            <w:pPr>
              <w:jc w:val="right"/>
              <w:ind w:right="170"/>
              <w:spacing w:after="0"/>
              <w:rPr>
                <w:sz w:val="20"/>
                <w:szCs w:val="20"/>
                <w:color w:val="auto"/>
              </w:rPr>
            </w:pPr>
            <w:r>
              <w:rPr>
                <w:rFonts w:ascii="Arial" w:cs="Arial" w:eastAsia="Arial" w:hAnsi="Arial"/>
                <w:sz w:val="18"/>
                <w:szCs w:val="18"/>
                <w:color w:val="auto"/>
              </w:rPr>
              <w:t>782</w:t>
            </w:r>
          </w:p>
        </w:tc>
        <w:tc>
          <w:tcPr>
            <w:tcW w:w="26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8"/>
                <w:szCs w:val="18"/>
                <w:color w:val="auto"/>
              </w:rPr>
            </w:pPr>
          </w:p>
        </w:tc>
        <w:tc>
          <w:tcPr>
            <w:tcW w:w="80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862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2,342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18"/>
                <w:szCs w:val="18"/>
                <w:color w:val="auto"/>
              </w:rPr>
            </w:pPr>
          </w:p>
        </w:tc>
        <w:tc>
          <w:tcPr>
            <w:tcW w:w="80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2,515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70"/>
              <w:spacing w:after="0"/>
              <w:rPr>
                <w:sz w:val="20"/>
                <w:szCs w:val="20"/>
                <w:color w:val="auto"/>
              </w:rPr>
            </w:pPr>
            <w:r>
              <w:rPr>
                <w:rFonts w:ascii="Arial" w:cs="Arial" w:eastAsia="Arial" w:hAnsi="Arial"/>
                <w:sz w:val="18"/>
                <w:szCs w:val="18"/>
                <w:color w:val="auto"/>
              </w:rPr>
              <w:t>2,588</w:t>
            </w:r>
          </w:p>
        </w:tc>
        <w:tc>
          <w:tcPr>
            <w:tcW w:w="26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627</w:t>
            </w:r>
          </w:p>
        </w:tc>
        <w:tc>
          <w:tcPr>
            <w:tcW w:w="200" w:type="dxa"/>
            <w:vAlign w:val="bottom"/>
          </w:tcPr>
          <w:p>
            <w:pPr>
              <w:spacing w:after="0"/>
              <w:rPr>
                <w:sz w:val="18"/>
                <w:szCs w:val="18"/>
                <w:color w:val="auto"/>
              </w:rPr>
            </w:pPr>
          </w:p>
        </w:tc>
        <w:tc>
          <w:tcPr>
            <w:tcW w:w="8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3,215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F0FFFF"/>
          </w:tcPr>
          <w:p>
            <w:pPr>
              <w:spacing w:after="0"/>
              <w:rPr>
                <w:sz w:val="20"/>
                <w:szCs w:val="20"/>
                <w:color w:val="auto"/>
              </w:rPr>
            </w:pPr>
            <w:r>
              <w:rPr>
                <w:rFonts w:ascii="Arial" w:cs="Arial" w:eastAsia="Arial" w:hAnsi="Arial"/>
                <w:sz w:val="18"/>
                <w:szCs w:val="18"/>
                <w:color w:val="auto"/>
              </w:rPr>
              <w:t>Gainesville MSA</w:t>
            </w:r>
          </w:p>
        </w:tc>
        <w:tc>
          <w:tcPr>
            <w:tcW w:w="16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70"/>
              <w:spacing w:after="0"/>
              <w:rPr>
                <w:sz w:val="20"/>
                <w:szCs w:val="20"/>
                <w:color w:val="auto"/>
              </w:rPr>
            </w:pPr>
            <w:r>
              <w:rPr>
                <w:rFonts w:ascii="Arial" w:cs="Arial" w:eastAsia="Arial" w:hAnsi="Arial"/>
                <w:sz w:val="18"/>
                <w:szCs w:val="18"/>
                <w:color w:val="auto"/>
              </w:rPr>
              <w:t>921</w:t>
            </w:r>
          </w:p>
        </w:tc>
        <w:tc>
          <w:tcPr>
            <w:tcW w:w="260" w:type="dxa"/>
            <w:vAlign w:val="bottom"/>
            <w:shd w:val="clear" w:color="auto" w:fill="F0FFFF"/>
          </w:tcPr>
          <w:p>
            <w:pPr>
              <w:spacing w:after="0"/>
              <w:rPr>
                <w:sz w:val="18"/>
                <w:szCs w:val="18"/>
                <w:color w:val="auto"/>
              </w:rPr>
            </w:pPr>
          </w:p>
        </w:tc>
        <w:tc>
          <w:tcPr>
            <w:tcW w:w="760" w:type="dxa"/>
            <w:vAlign w:val="bottom"/>
            <w:tcBorders>
              <w:right w:val="single" w:sz="8" w:color="auto"/>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49</w:t>
            </w:r>
          </w:p>
        </w:tc>
        <w:tc>
          <w:tcPr>
            <w:tcW w:w="200" w:type="dxa"/>
            <w:vAlign w:val="bottom"/>
            <w:shd w:val="clear" w:color="auto" w:fill="F0FFFF"/>
          </w:tcPr>
          <w:p>
            <w:pPr>
              <w:spacing w:after="0"/>
              <w:rPr>
                <w:sz w:val="18"/>
                <w:szCs w:val="18"/>
                <w:color w:val="auto"/>
              </w:rPr>
            </w:pPr>
          </w:p>
        </w:tc>
        <w:tc>
          <w:tcPr>
            <w:tcW w:w="800" w:type="dxa"/>
            <w:vAlign w:val="bottom"/>
            <w:tcBorders>
              <w:right w:val="single" w:sz="8" w:color="auto"/>
            </w:tcBorders>
            <w:shd w:val="clear" w:color="auto" w:fill="F0FFFF"/>
          </w:tcPr>
          <w:p>
            <w:pPr>
              <w:jc w:val="right"/>
              <w:ind w:right="110"/>
              <w:spacing w:after="0"/>
              <w:rPr>
                <w:sz w:val="20"/>
                <w:szCs w:val="20"/>
                <w:color w:val="auto"/>
              </w:rPr>
            </w:pPr>
            <w:r>
              <w:rPr>
                <w:rFonts w:ascii="Arial" w:cs="Arial" w:eastAsia="Arial" w:hAnsi="Arial"/>
                <w:sz w:val="18"/>
                <w:szCs w:val="18"/>
                <w:color w:val="auto"/>
              </w:rPr>
              <w:t>970</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928</w:t>
            </w:r>
          </w:p>
        </w:tc>
        <w:tc>
          <w:tcPr>
            <w:tcW w:w="260" w:type="dxa"/>
            <w:vAlign w:val="bottom"/>
            <w:shd w:val="clear" w:color="auto" w:fill="F0FFFF"/>
          </w:tcPr>
          <w:p>
            <w:pPr>
              <w:spacing w:after="0"/>
              <w:rPr>
                <w:sz w:val="18"/>
                <w:szCs w:val="18"/>
                <w:color w:val="auto"/>
              </w:rPr>
            </w:pPr>
          </w:p>
        </w:tc>
        <w:tc>
          <w:tcPr>
            <w:tcW w:w="820" w:type="dxa"/>
            <w:vAlign w:val="bottom"/>
            <w:tcBorders>
              <w:right w:val="single" w:sz="8" w:color="auto"/>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18"/>
                <w:szCs w:val="18"/>
                <w:color w:val="auto"/>
              </w:rPr>
            </w:pPr>
          </w:p>
        </w:tc>
        <w:tc>
          <w:tcPr>
            <w:tcW w:w="800" w:type="dxa"/>
            <w:vAlign w:val="bottom"/>
            <w:tcBorders>
              <w:right w:val="single" w:sz="8" w:color="auto"/>
            </w:tcBorders>
            <w:shd w:val="clear" w:color="auto" w:fill="F0FFFF"/>
          </w:tcPr>
          <w:p>
            <w:pPr>
              <w:jc w:val="right"/>
              <w:ind w:right="110"/>
              <w:spacing w:after="0"/>
              <w:rPr>
                <w:sz w:val="20"/>
                <w:szCs w:val="20"/>
                <w:color w:val="auto"/>
              </w:rPr>
            </w:pPr>
            <w:r>
              <w:rPr>
                <w:rFonts w:ascii="Arial" w:cs="Arial" w:eastAsia="Arial" w:hAnsi="Arial"/>
                <w:sz w:val="18"/>
                <w:szCs w:val="18"/>
                <w:color w:val="auto"/>
              </w:rPr>
              <w:t>928</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tcBorders>
              <w:right w:val="single" w:sz="8" w:color="F0FFFF"/>
            </w:tcBorders>
            <w:gridSpan w:val="2"/>
            <w:shd w:val="clear" w:color="auto" w:fill="F0FFFF"/>
          </w:tcPr>
          <w:p>
            <w:pPr>
              <w:jc w:val="right"/>
              <w:ind w:right="170"/>
              <w:spacing w:after="0"/>
              <w:rPr>
                <w:sz w:val="20"/>
                <w:szCs w:val="20"/>
                <w:color w:val="auto"/>
              </w:rPr>
            </w:pPr>
            <w:r>
              <w:rPr>
                <w:rFonts w:ascii="Arial" w:cs="Arial" w:eastAsia="Arial" w:hAnsi="Arial"/>
                <w:sz w:val="18"/>
                <w:szCs w:val="18"/>
                <w:color w:val="auto"/>
              </w:rPr>
              <w:t>1,008</w:t>
            </w:r>
          </w:p>
        </w:tc>
        <w:tc>
          <w:tcPr>
            <w:tcW w:w="260" w:type="dxa"/>
            <w:vAlign w:val="bottom"/>
            <w:shd w:val="clear" w:color="auto" w:fill="F0FFFF"/>
          </w:tcPr>
          <w:p>
            <w:pPr>
              <w:spacing w:after="0"/>
              <w:rPr>
                <w:sz w:val="18"/>
                <w:szCs w:val="18"/>
                <w:color w:val="auto"/>
              </w:rPr>
            </w:pPr>
          </w:p>
        </w:tc>
        <w:tc>
          <w:tcPr>
            <w:tcW w:w="760" w:type="dxa"/>
            <w:vAlign w:val="bottom"/>
            <w:tcBorders>
              <w:right w:val="single" w:sz="8" w:color="auto"/>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820" w:type="dxa"/>
            <w:vAlign w:val="bottom"/>
            <w:tcBorders>
              <w:right w:val="single" w:sz="8" w:color="auto"/>
            </w:tcBorders>
            <w:shd w:val="clear" w:color="auto" w:fill="F0FFFF"/>
          </w:tcPr>
          <w:p>
            <w:pPr>
              <w:jc w:val="right"/>
              <w:ind w:right="13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East Tennessee</w:t>
            </w:r>
          </w:p>
        </w:tc>
        <w:tc>
          <w:tcPr>
            <w:tcW w:w="160" w:type="dxa"/>
            <w:vAlign w:val="bottom"/>
          </w:tcPr>
          <w:p>
            <w:pPr>
              <w:spacing w:after="0"/>
              <w:rPr>
                <w:sz w:val="18"/>
                <w:szCs w:val="18"/>
                <w:color w:val="auto"/>
              </w:rPr>
            </w:pPr>
          </w:p>
        </w:tc>
        <w:tc>
          <w:tcPr>
            <w:tcW w:w="980" w:type="dxa"/>
            <w:vAlign w:val="bottom"/>
            <w:gridSpan w:val="2"/>
          </w:tcPr>
          <w:p>
            <w:pPr>
              <w:jc w:val="right"/>
              <w:ind w:right="170"/>
              <w:spacing w:after="0"/>
              <w:rPr>
                <w:sz w:val="20"/>
                <w:szCs w:val="20"/>
                <w:color w:val="auto"/>
              </w:rPr>
            </w:pPr>
            <w:r>
              <w:rPr>
                <w:rFonts w:ascii="Arial" w:cs="Arial" w:eastAsia="Arial" w:hAnsi="Arial"/>
                <w:sz w:val="18"/>
                <w:szCs w:val="18"/>
                <w:color w:val="auto"/>
              </w:rPr>
              <w:t>1,218</w:t>
            </w:r>
          </w:p>
        </w:tc>
        <w:tc>
          <w:tcPr>
            <w:tcW w:w="26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323</w:t>
            </w:r>
          </w:p>
        </w:tc>
        <w:tc>
          <w:tcPr>
            <w:tcW w:w="200" w:type="dxa"/>
            <w:vAlign w:val="bottom"/>
          </w:tcPr>
          <w:p>
            <w:pPr>
              <w:spacing w:after="0"/>
              <w:rPr>
                <w:sz w:val="18"/>
                <w:szCs w:val="18"/>
                <w:color w:val="auto"/>
              </w:rPr>
            </w:pPr>
          </w:p>
        </w:tc>
        <w:tc>
          <w:tcPr>
            <w:tcW w:w="80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1,541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187</w:t>
            </w:r>
          </w:p>
        </w:tc>
        <w:tc>
          <w:tcPr>
            <w:tcW w:w="140" w:type="dxa"/>
            <w:vAlign w:val="bottom"/>
          </w:tcPr>
          <w:p>
            <w:pPr>
              <w:spacing w:after="0"/>
              <w:rPr>
                <w:sz w:val="18"/>
                <w:szCs w:val="18"/>
                <w:color w:val="auto"/>
              </w:rPr>
            </w:pPr>
          </w:p>
        </w:tc>
        <w:tc>
          <w:tcPr>
            <w:tcW w:w="80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1,987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70"/>
              <w:spacing w:after="0"/>
              <w:rPr>
                <w:sz w:val="20"/>
                <w:szCs w:val="20"/>
                <w:color w:val="auto"/>
              </w:rPr>
            </w:pPr>
            <w:r>
              <w:rPr>
                <w:rFonts w:ascii="Arial" w:cs="Arial" w:eastAsia="Arial" w:hAnsi="Arial"/>
                <w:sz w:val="18"/>
                <w:szCs w:val="18"/>
                <w:color w:val="auto"/>
              </w:rPr>
              <w:t>1,123</w:t>
            </w:r>
          </w:p>
        </w:tc>
        <w:tc>
          <w:tcPr>
            <w:tcW w:w="26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18"/>
                <w:szCs w:val="18"/>
                <w:color w:val="auto"/>
              </w:rPr>
            </w:pPr>
          </w:p>
        </w:tc>
        <w:tc>
          <w:tcPr>
            <w:tcW w:w="8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F0FFFF"/>
          </w:tcPr>
          <w:p>
            <w:pPr>
              <w:spacing w:after="0"/>
              <w:rPr>
                <w:sz w:val="20"/>
                <w:szCs w:val="20"/>
                <w:color w:val="auto"/>
              </w:rPr>
            </w:pPr>
            <w:r>
              <w:rPr>
                <w:rFonts w:ascii="Arial" w:cs="Arial" w:eastAsia="Arial" w:hAnsi="Arial"/>
                <w:sz w:val="18"/>
                <w:szCs w:val="18"/>
                <w:color w:val="auto"/>
              </w:rPr>
              <w:t>South Carolina</w:t>
            </w:r>
          </w:p>
        </w:tc>
        <w:tc>
          <w:tcPr>
            <w:tcW w:w="160" w:type="dxa"/>
            <w:vAlign w:val="bottom"/>
            <w:shd w:val="clear" w:color="auto" w:fill="F0FFFF"/>
          </w:tcPr>
          <w:p>
            <w:pPr>
              <w:spacing w:after="0"/>
              <w:rPr>
                <w:sz w:val="18"/>
                <w:szCs w:val="18"/>
                <w:color w:val="auto"/>
              </w:rPr>
            </w:pPr>
          </w:p>
        </w:tc>
        <w:tc>
          <w:tcPr>
            <w:tcW w:w="980" w:type="dxa"/>
            <w:vAlign w:val="bottom"/>
            <w:gridSpan w:val="2"/>
            <w:shd w:val="clear" w:color="auto" w:fill="F0FFFF"/>
          </w:tcPr>
          <w:p>
            <w:pPr>
              <w:jc w:val="right"/>
              <w:ind w:right="170"/>
              <w:spacing w:after="0"/>
              <w:rPr>
                <w:sz w:val="20"/>
                <w:szCs w:val="20"/>
                <w:color w:val="auto"/>
              </w:rPr>
            </w:pPr>
            <w:r>
              <w:rPr>
                <w:rFonts w:ascii="Arial" w:cs="Arial" w:eastAsia="Arial" w:hAnsi="Arial"/>
                <w:sz w:val="18"/>
                <w:szCs w:val="18"/>
                <w:color w:val="auto"/>
              </w:rPr>
              <w:t>—</w:t>
            </w:r>
          </w:p>
        </w:tc>
        <w:tc>
          <w:tcPr>
            <w:tcW w:w="260" w:type="dxa"/>
            <w:vAlign w:val="bottom"/>
            <w:shd w:val="clear" w:color="auto" w:fill="F0FFFF"/>
          </w:tcPr>
          <w:p>
            <w:pPr>
              <w:spacing w:after="0"/>
              <w:rPr>
                <w:sz w:val="18"/>
                <w:szCs w:val="18"/>
                <w:color w:val="auto"/>
              </w:rPr>
            </w:pPr>
          </w:p>
        </w:tc>
        <w:tc>
          <w:tcPr>
            <w:tcW w:w="760" w:type="dxa"/>
            <w:vAlign w:val="bottom"/>
            <w:tcBorders>
              <w:right w:val="single" w:sz="8" w:color="auto"/>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800" w:type="dxa"/>
            <w:vAlign w:val="bottom"/>
            <w:tcBorders>
              <w:right w:val="single" w:sz="8" w:color="auto"/>
            </w:tcBorders>
            <w:shd w:val="clear" w:color="auto" w:fill="F0FFFF"/>
          </w:tcPr>
          <w:p>
            <w:pPr>
              <w:jc w:val="right"/>
              <w:ind w:right="11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F0FFFF"/>
          </w:tcPr>
          <w:p>
            <w:pPr>
              <w:spacing w:after="0"/>
              <w:rPr>
                <w:sz w:val="18"/>
                <w:szCs w:val="18"/>
                <w:color w:val="auto"/>
              </w:rPr>
            </w:pPr>
          </w:p>
        </w:tc>
        <w:tc>
          <w:tcPr>
            <w:tcW w:w="820" w:type="dxa"/>
            <w:vAlign w:val="bottom"/>
            <w:tcBorders>
              <w:right w:val="single" w:sz="8" w:color="auto"/>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18"/>
                <w:szCs w:val="18"/>
                <w:color w:val="auto"/>
              </w:rPr>
            </w:pPr>
          </w:p>
        </w:tc>
        <w:tc>
          <w:tcPr>
            <w:tcW w:w="800" w:type="dxa"/>
            <w:vAlign w:val="bottom"/>
            <w:tcBorders>
              <w:right w:val="single" w:sz="8" w:color="auto"/>
            </w:tcBorders>
            <w:shd w:val="clear" w:color="auto" w:fill="F0FFFF"/>
          </w:tcPr>
          <w:p>
            <w:pPr>
              <w:jc w:val="right"/>
              <w:ind w:right="11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tcBorders>
              <w:right w:val="single" w:sz="8" w:color="F0FFFF"/>
            </w:tcBorders>
            <w:gridSpan w:val="2"/>
            <w:shd w:val="clear" w:color="auto" w:fill="F0FFFF"/>
          </w:tcPr>
          <w:p>
            <w:pPr>
              <w:jc w:val="right"/>
              <w:ind w:right="170"/>
              <w:spacing w:after="0"/>
              <w:rPr>
                <w:sz w:val="20"/>
                <w:szCs w:val="20"/>
                <w:color w:val="auto"/>
              </w:rPr>
            </w:pPr>
            <w:r>
              <w:rPr>
                <w:rFonts w:ascii="Arial" w:cs="Arial" w:eastAsia="Arial" w:hAnsi="Arial"/>
                <w:sz w:val="18"/>
                <w:szCs w:val="18"/>
                <w:color w:val="auto"/>
              </w:rPr>
              <w:t>—</w:t>
            </w:r>
          </w:p>
        </w:tc>
        <w:tc>
          <w:tcPr>
            <w:tcW w:w="260" w:type="dxa"/>
            <w:vAlign w:val="bottom"/>
            <w:shd w:val="clear" w:color="auto" w:fill="F0FFFF"/>
          </w:tcPr>
          <w:p>
            <w:pPr>
              <w:spacing w:after="0"/>
              <w:rPr>
                <w:sz w:val="18"/>
                <w:szCs w:val="18"/>
                <w:color w:val="auto"/>
              </w:rPr>
            </w:pPr>
          </w:p>
        </w:tc>
        <w:tc>
          <w:tcPr>
            <w:tcW w:w="760" w:type="dxa"/>
            <w:vAlign w:val="bottom"/>
            <w:tcBorders>
              <w:right w:val="single" w:sz="8" w:color="auto"/>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820" w:type="dxa"/>
            <w:vAlign w:val="bottom"/>
            <w:tcBorders>
              <w:right w:val="single" w:sz="8" w:color="auto"/>
            </w:tcBorders>
            <w:shd w:val="clear" w:color="auto" w:fill="F0FF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Indirect auto</w:t>
            </w:r>
          </w:p>
        </w:tc>
        <w:tc>
          <w:tcPr>
            <w:tcW w:w="160" w:type="dxa"/>
            <w:vAlign w:val="bottom"/>
          </w:tcPr>
          <w:p>
            <w:pPr>
              <w:spacing w:after="0"/>
              <w:rPr>
                <w:sz w:val="18"/>
                <w:szCs w:val="18"/>
                <w:color w:val="auto"/>
              </w:rPr>
            </w:pPr>
          </w:p>
        </w:tc>
        <w:tc>
          <w:tcPr>
            <w:tcW w:w="980" w:type="dxa"/>
            <w:vAlign w:val="bottom"/>
            <w:gridSpan w:val="2"/>
          </w:tcPr>
          <w:p>
            <w:pPr>
              <w:jc w:val="right"/>
              <w:ind w:right="170"/>
              <w:spacing w:after="0"/>
              <w:rPr>
                <w:sz w:val="20"/>
                <w:szCs w:val="20"/>
                <w:color w:val="auto"/>
              </w:rPr>
            </w:pPr>
            <w:r>
              <w:rPr>
                <w:rFonts w:ascii="Arial" w:cs="Arial" w:eastAsia="Arial" w:hAnsi="Arial"/>
                <w:sz w:val="18"/>
                <w:szCs w:val="18"/>
                <w:color w:val="auto"/>
              </w:rPr>
              <w:t>390</w:t>
            </w:r>
          </w:p>
        </w:tc>
        <w:tc>
          <w:tcPr>
            <w:tcW w:w="26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390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740" w:type="dxa"/>
            <w:vAlign w:val="bottom"/>
            <w:shd w:val="clear" w:color="auto" w:fill="F0FFFF"/>
          </w:tcPr>
          <w:p>
            <w:pPr>
              <w:ind w:left="200"/>
              <w:spacing w:after="0"/>
              <w:rPr>
                <w:sz w:val="20"/>
                <w:szCs w:val="20"/>
                <w:color w:val="auto"/>
              </w:rPr>
            </w:pPr>
            <w:r>
              <w:rPr>
                <w:rFonts w:ascii="Arial" w:cs="Arial" w:eastAsia="Arial" w:hAnsi="Arial"/>
                <w:sz w:val="18"/>
                <w:szCs w:val="18"/>
                <w:b w:val="1"/>
                <w:bCs w:val="1"/>
                <w:color w:val="auto"/>
              </w:rPr>
              <w:t>Total NPAs</w:t>
            </w:r>
          </w:p>
        </w:tc>
        <w:tc>
          <w:tcPr>
            <w:tcW w:w="16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F0FFFF"/>
          </w:tcPr>
          <w:p>
            <w:pPr>
              <w:jc w:val="right"/>
              <w:ind w:right="170"/>
              <w:spacing w:after="0"/>
              <w:rPr>
                <w:sz w:val="20"/>
                <w:szCs w:val="20"/>
                <w:color w:val="auto"/>
              </w:rPr>
            </w:pPr>
            <w:r>
              <w:rPr>
                <w:rFonts w:ascii="Arial" w:cs="Arial" w:eastAsia="Arial" w:hAnsi="Arial"/>
                <w:sz w:val="18"/>
                <w:szCs w:val="18"/>
                <w:color w:val="auto"/>
              </w:rPr>
              <w:t>20,724</w:t>
            </w:r>
          </w:p>
        </w:tc>
        <w:tc>
          <w:tcPr>
            <w:tcW w:w="26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2,969</w:t>
            </w:r>
          </w:p>
        </w:tc>
        <w:tc>
          <w:tcPr>
            <w:tcW w:w="2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F0FFFF"/>
          </w:tcPr>
          <w:p>
            <w:pPr>
              <w:jc w:val="right"/>
              <w:ind w:right="110"/>
              <w:spacing w:after="0"/>
              <w:rPr>
                <w:sz w:val="20"/>
                <w:szCs w:val="20"/>
                <w:color w:val="auto"/>
              </w:rPr>
            </w:pPr>
            <w:r>
              <w:rPr>
                <w:rFonts w:ascii="Arial" w:cs="Arial" w:eastAsia="Arial" w:hAnsi="Arial"/>
                <w:sz w:val="18"/>
                <w:szCs w:val="18"/>
                <w:color w:val="auto"/>
              </w:rPr>
              <w:t>23,693</w:t>
            </w:r>
          </w:p>
        </w:tc>
        <w:tc>
          <w:tcPr>
            <w:tcW w:w="24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8"/>
                <w:szCs w:val="18"/>
                <w:color w:val="auto"/>
              </w:rPr>
              <w:t>26,819</w:t>
            </w:r>
          </w:p>
        </w:tc>
        <w:tc>
          <w:tcPr>
            <w:tcW w:w="26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4,221</w:t>
            </w:r>
          </w:p>
        </w:tc>
        <w:tc>
          <w:tcPr>
            <w:tcW w:w="260" w:type="dxa"/>
            <w:vAlign w:val="bottom"/>
            <w:tcBorders>
              <w:right w:val="single" w:sz="8" w:color="auto"/>
            </w:tcBorders>
            <w:shd w:val="clear" w:color="auto" w:fill="F0FFFF"/>
          </w:tcPr>
          <w:p>
            <w:pPr>
              <w:spacing w:after="0"/>
              <w:rPr>
                <w:sz w:val="20"/>
                <w:szCs w:val="20"/>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auto"/>
            </w:tcBorders>
            <w:shd w:val="clear" w:color="auto" w:fill="F0FFFF"/>
          </w:tcPr>
          <w:p>
            <w:pPr>
              <w:jc w:val="right"/>
              <w:ind w:right="110"/>
              <w:spacing w:after="0"/>
              <w:rPr>
                <w:sz w:val="20"/>
                <w:szCs w:val="20"/>
                <w:color w:val="auto"/>
              </w:rPr>
            </w:pPr>
            <w:r>
              <w:rPr>
                <w:rFonts w:ascii="Arial" w:cs="Arial" w:eastAsia="Arial" w:hAnsi="Arial"/>
                <w:sz w:val="18"/>
                <w:szCs w:val="18"/>
                <w:color w:val="auto"/>
              </w:rPr>
              <w:t>31,040</w:t>
            </w:r>
          </w:p>
        </w:tc>
        <w:tc>
          <w:tcPr>
            <w:tcW w:w="240" w:type="dxa"/>
            <w:vAlign w:val="bottom"/>
            <w:gridSpan w:val="2"/>
            <w:shd w:val="clear" w:color="auto" w:fill="F0FFFF"/>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F0FFFF"/>
            </w:tcBorders>
            <w:gridSpan w:val="2"/>
            <w:shd w:val="clear" w:color="auto" w:fill="F0FFFF"/>
          </w:tcPr>
          <w:p>
            <w:pPr>
              <w:jc w:val="right"/>
              <w:ind w:right="170"/>
              <w:spacing w:after="0"/>
              <w:rPr>
                <w:sz w:val="20"/>
                <w:szCs w:val="20"/>
                <w:color w:val="auto"/>
              </w:rPr>
            </w:pPr>
            <w:r>
              <w:rPr>
                <w:rFonts w:ascii="Arial" w:cs="Arial" w:eastAsia="Arial" w:hAnsi="Arial"/>
                <w:sz w:val="18"/>
                <w:szCs w:val="18"/>
                <w:color w:val="auto"/>
              </w:rPr>
              <w:t>27,864</w:t>
            </w:r>
          </w:p>
        </w:tc>
        <w:tc>
          <w:tcPr>
            <w:tcW w:w="260" w:type="dxa"/>
            <w:vAlign w:val="bottom"/>
            <w:shd w:val="clear" w:color="auto" w:fill="F0FFFF"/>
          </w:tcPr>
          <w:p>
            <w:pPr>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3,936</w:t>
            </w:r>
          </w:p>
        </w:tc>
        <w:tc>
          <w:tcPr>
            <w:tcW w:w="2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F0FFFF"/>
          </w:tcPr>
          <w:p>
            <w:pPr>
              <w:jc w:val="right"/>
              <w:ind w:right="130"/>
              <w:spacing w:after="0"/>
              <w:rPr>
                <w:sz w:val="20"/>
                <w:szCs w:val="20"/>
                <w:color w:val="auto"/>
              </w:rPr>
            </w:pPr>
            <w:r>
              <w:rPr>
                <w:rFonts w:ascii="Arial" w:cs="Arial" w:eastAsia="Arial" w:hAnsi="Arial"/>
                <w:sz w:val="18"/>
                <w:szCs w:val="18"/>
                <w:color w:val="auto"/>
              </w:rPr>
              <w:t>31,800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F0FFFF"/>
              <w:right w:val="single" w:sz="8" w:color="auto"/>
            </w:tcBorders>
            <w:shd w:val="clear" w:color="auto" w:fill="F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F0FFFF"/>
              <w:right w:val="single" w:sz="8" w:color="auto"/>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F0FFFF"/>
              <w:right w:val="single" w:sz="8" w:color="auto"/>
            </w:tcBorders>
            <w:shd w:val="clear" w:color="auto" w:fill="F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Nonperforming assets in the residential construction category were $4.77 million at June 30, 2014, compared with $6.41 million at June 30, 2013, a decrease of $1.64 million, or 26%. Commercial nonperforming assets decreased from $9.21 million at June 30, 2013 to $6.10 million at June 30, 2014. Residential mortgage nonperforming assets of $11.6 million decreased $2.52 million from June 30, 2013. Classified assets have continued to decrease since the asset sales during the second quarter of 2013.</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June 30, 2014, December 31, 2013, and June 30, 2013, United had $91.0 million, $87.0 million and $84.9 million, respectively, in loans with terms that have been modified in troubled debt restructurings (“TDRs”). Included therein were $6.23 million, $8.25 million and $7.05 million, respectively, of TDRs that were not performing in accordance with their modified terms and were included in nonperforming loans. The remaining TDRs with an aggregate balance of $84.8 million, $78.7 million and $77.8 million, respectively, were performing according to their modified terms and are therefore not considered to be nonperforming assets.</w:t>
      </w:r>
    </w:p>
    <w:p>
      <w:pPr>
        <w:spacing w:after="0" w:line="21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At June 30, 2014, December 31, 2013 and June 30, 2013, there were $107 million, $115 million and $104 million, respectively, of loans classified as impaired under the definition outlined in the Accounting Standards Codification, including TDRs which are by definition considered impaired. Included in impaired loans at June 30, 2014, December 31, 2013 and June 30, 2013 was $35.0 million, $38.9 million and $34.0 million, respectively, that did not require specific reserves or had previously been charged down to net realizable value. The balance of impaired loans at June 30, 2014, December 31, 2013 and June 30, 2013 of $72.5 million, $75.7 million and $69.8 million, respectively, had specific reserves that totaled $9.02 million, $6.02 million and $5.06 million, respectively. The average recorded investment in impaired loans for the second quarters of 2014 and 2013 was $108 million and $104 million, respectively. For the six months ended June 30, 2014 and 2013, the average recorded investment in impaired loans was $108 million and $179 million, respectively. For the three and six months ended June 30, 2014, United recognized $1.28 million and $2.50 million in interest revenue on impaired loans compared to $1.20 million and $3.02 million for the same period of the prior year. United’s policy is to discontinue the recognition of interest revenue for loans classified as impaired under ASC 310-10-35, </w:t>
      </w:r>
      <w:r>
        <w:rPr>
          <w:rFonts w:ascii="Arial" w:cs="Arial" w:eastAsia="Arial" w:hAnsi="Arial"/>
          <w:sz w:val="17"/>
          <w:szCs w:val="17"/>
          <w:i w:val="1"/>
          <w:iCs w:val="1"/>
          <w:color w:val="auto"/>
        </w:rPr>
        <w:t>Receivables,</w:t>
      </w:r>
      <w:r>
        <w:rPr>
          <w:rFonts w:ascii="Arial" w:cs="Arial" w:eastAsia="Arial" w:hAnsi="Arial"/>
          <w:sz w:val="17"/>
          <w:szCs w:val="17"/>
          <w:color w:val="auto"/>
        </w:rPr>
        <w:t xml:space="preserve"> when a loan meets the criteria for nonaccrual status. Impaired loans increased 4% from June 30, 2013 to June 30, 2014, primarily due to the higher level of TDRs.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451" w:gutter="0" w:footer="0" w:header="0"/>
        </w:sectPr>
      </w:pPr>
    </w:p>
    <w:bookmarkStart w:id="59" w:name="page60"/>
    <w:bookmarkEnd w:id="59"/>
    <w:p>
      <w:pPr>
        <w:ind w:right="100"/>
        <w:spacing w:after="0" w:line="277" w:lineRule="auto"/>
        <w:rPr>
          <w:sz w:val="20"/>
          <w:szCs w:val="20"/>
          <w:color w:val="auto"/>
        </w:rPr>
      </w:pPr>
      <w:r>
        <w:rPr>
          <w:rFonts w:ascii="Arial" w:cs="Arial" w:eastAsia="Arial" w:hAnsi="Arial"/>
          <w:sz w:val="18"/>
          <w:szCs w:val="18"/>
          <w:color w:val="auto"/>
        </w:rPr>
        <w:t>The table below summarizes activity in nonperforming assets by quarter. Assets covered by loss-sharing agreements with the FDIC related to the acquisition of SCB, are not included in this table.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12 - Activity in Nonperforming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7"/>
          </w:tcPr>
          <w:p>
            <w:pPr>
              <w:jc w:val="center"/>
              <w:ind w:left="950"/>
              <w:spacing w:after="0"/>
              <w:rPr>
                <w:sz w:val="20"/>
                <w:szCs w:val="20"/>
                <w:color w:val="auto"/>
              </w:rPr>
            </w:pPr>
            <w:r>
              <w:rPr>
                <w:rFonts w:ascii="Arial" w:cs="Arial" w:eastAsia="Arial" w:hAnsi="Arial"/>
                <w:sz w:val="18"/>
                <w:szCs w:val="18"/>
                <w:b w:val="1"/>
                <w:bCs w:val="1"/>
                <w:color w:val="auto"/>
                <w:w w:val="91"/>
              </w:rPr>
              <w:t>Second Quarter 2014</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6"/>
          </w:tcPr>
          <w:p>
            <w:pPr>
              <w:jc w:val="center"/>
              <w:ind w:left="710"/>
              <w:spacing w:after="0"/>
              <w:rPr>
                <w:sz w:val="20"/>
                <w:szCs w:val="20"/>
                <w:color w:val="auto"/>
              </w:rPr>
            </w:pPr>
            <w:r>
              <w:rPr>
                <w:rFonts w:ascii="Arial" w:cs="Arial" w:eastAsia="Arial" w:hAnsi="Arial"/>
                <w:sz w:val="18"/>
                <w:szCs w:val="18"/>
                <w:b w:val="1"/>
                <w:bCs w:val="1"/>
                <w:color w:val="auto"/>
                <w:w w:val="89"/>
              </w:rPr>
              <w:t>Second Quarter 2013</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280"/>
              <w:spacing w:after="0" w:line="198" w:lineRule="exact"/>
              <w:rPr>
                <w:sz w:val="20"/>
                <w:szCs w:val="20"/>
                <w:color w:val="auto"/>
              </w:rPr>
            </w:pPr>
            <w:r>
              <w:rPr>
                <w:rFonts w:ascii="Arial" w:cs="Arial" w:eastAsia="Arial" w:hAnsi="Arial"/>
                <w:sz w:val="18"/>
                <w:szCs w:val="18"/>
                <w:b w:val="1"/>
                <w:bCs w:val="1"/>
                <w:color w:val="auto"/>
                <w:w w:val="91"/>
              </w:rPr>
              <w:t>Nonaccrual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right w:val="single" w:sz="8" w:color="auto"/>
            </w:tcBorders>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85"/>
              </w:rPr>
              <w:t>Foreclosed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Borders>
              <w:right w:val="single" w:sz="8" w:color="auto"/>
            </w:tcBorders>
          </w:tcPr>
          <w:p>
            <w:pPr>
              <w:jc w:val="right"/>
              <w:ind w:right="370"/>
              <w:spacing w:after="0" w:line="198"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89"/>
              </w:rPr>
              <w:t>Nonaccrual</w:t>
            </w:r>
          </w:p>
        </w:tc>
        <w:tc>
          <w:tcPr>
            <w:tcW w:w="120" w:type="dxa"/>
            <w:vAlign w:val="bottom"/>
          </w:tcPr>
          <w:p>
            <w:pPr>
              <w:spacing w:after="0"/>
              <w:rPr>
                <w:sz w:val="17"/>
                <w:szCs w:val="17"/>
                <w:color w:val="auto"/>
              </w:rPr>
            </w:pPr>
          </w:p>
        </w:tc>
        <w:tc>
          <w:tcPr>
            <w:tcW w:w="1160" w:type="dxa"/>
            <w:vAlign w:val="bottom"/>
            <w:tcBorders>
              <w:right w:val="single" w:sz="8" w:color="auto"/>
            </w:tcBorders>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85"/>
              </w:rPr>
              <w:t>Foreclosed</w:t>
            </w:r>
          </w:p>
        </w:tc>
        <w:tc>
          <w:tcPr>
            <w:tcW w:w="300" w:type="dxa"/>
            <w:vAlign w:val="bottom"/>
          </w:tcPr>
          <w:p>
            <w:pPr>
              <w:spacing w:after="0"/>
              <w:rPr>
                <w:sz w:val="17"/>
                <w:szCs w:val="17"/>
                <w:color w:val="auto"/>
              </w:rPr>
            </w:pPr>
          </w:p>
        </w:tc>
        <w:tc>
          <w:tcPr>
            <w:tcW w:w="1020" w:type="dxa"/>
            <w:vAlign w:val="bottom"/>
            <w:tcBorders>
              <w:right w:val="single" w:sz="8" w:color="auto"/>
            </w:tcBorders>
          </w:tcPr>
          <w:p>
            <w:pPr>
              <w:jc w:val="right"/>
              <w:ind w:right="390"/>
              <w:spacing w:after="0" w:line="198"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Loans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89"/>
              </w:rPr>
              <w:t>Properties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Borders>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NPAs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Loans</w:t>
            </w:r>
          </w:p>
        </w:tc>
        <w:tc>
          <w:tcPr>
            <w:tcW w:w="120" w:type="dxa"/>
            <w:vAlign w:val="bottom"/>
          </w:tcPr>
          <w:p>
            <w:pPr>
              <w:spacing w:after="0"/>
              <w:rPr>
                <w:sz w:val="20"/>
                <w:szCs w:val="20"/>
                <w:color w:val="auto"/>
              </w:rPr>
            </w:pPr>
          </w:p>
        </w:tc>
        <w:tc>
          <w:tcPr>
            <w:tcW w:w="11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9"/>
              </w:rPr>
              <w:t>Properties</w:t>
            </w:r>
          </w:p>
        </w:tc>
        <w:tc>
          <w:tcPr>
            <w:tcW w:w="300" w:type="dxa"/>
            <w:vAlign w:val="bottom"/>
          </w:tcPr>
          <w:p>
            <w:pPr>
              <w:spacing w:after="0"/>
              <w:rPr>
                <w:sz w:val="20"/>
                <w:szCs w:val="20"/>
                <w:color w:val="auto"/>
              </w:rPr>
            </w:pPr>
          </w:p>
        </w:tc>
        <w:tc>
          <w:tcPr>
            <w:tcW w:w="1020" w:type="dxa"/>
            <w:vAlign w:val="bottom"/>
            <w:tcBorders>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NPAs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Beginning Balance</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25,250</w:t>
            </w:r>
          </w:p>
        </w:tc>
        <w:tc>
          <w:tcPr>
            <w:tcW w:w="140" w:type="dxa"/>
            <w:vAlign w:val="bottom"/>
            <w:shd w:val="clear" w:color="auto" w:fill="F0FFFF"/>
          </w:tcPr>
          <w:p>
            <w:pPr>
              <w:spacing w:after="0"/>
              <w:rPr>
                <w:sz w:val="18"/>
                <w:szCs w:val="18"/>
                <w:color w:val="auto"/>
              </w:rPr>
            </w:pPr>
          </w:p>
        </w:tc>
        <w:tc>
          <w:tcPr>
            <w:tcW w:w="2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5,594</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30,844</w:t>
            </w:r>
          </w:p>
        </w:tc>
        <w:tc>
          <w:tcPr>
            <w:tcW w:w="2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96,006</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auto"/>
            </w:tcBorders>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16,734</w:t>
            </w:r>
          </w:p>
        </w:tc>
        <w:tc>
          <w:tcPr>
            <w:tcW w:w="30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112,740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Loans placed on non-accrual</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9,529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13,200</w:t>
            </w:r>
          </w:p>
        </w:tc>
        <w:tc>
          <w:tcPr>
            <w:tcW w:w="12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13,200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color w:val="auto"/>
              </w:rPr>
              <w:t>Payments received</w:t>
            </w:r>
          </w:p>
        </w:tc>
        <w:tc>
          <w:tcPr>
            <w:tcW w:w="10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(4,027)</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80" w:type="dxa"/>
            <w:vAlign w:val="bottom"/>
            <w:tcBorders>
              <w:right w:val="single" w:sz="8" w:color="auto"/>
            </w:tcBorders>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tcBorders>
              <w:right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(4,027)</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(47,937)</w:t>
            </w:r>
          </w:p>
        </w:tc>
        <w:tc>
          <w:tcPr>
            <w:tcW w:w="120" w:type="dxa"/>
            <w:vAlign w:val="bottom"/>
            <w:shd w:val="clear" w:color="auto" w:fill="F0FFFF"/>
          </w:tcPr>
          <w:p>
            <w:pPr>
              <w:spacing w:after="0"/>
              <w:rPr>
                <w:sz w:val="18"/>
                <w:szCs w:val="18"/>
                <w:color w:val="auto"/>
              </w:rPr>
            </w:pPr>
          </w:p>
        </w:tc>
        <w:tc>
          <w:tcPr>
            <w:tcW w:w="1160" w:type="dxa"/>
            <w:vAlign w:val="bottom"/>
            <w:tcBorders>
              <w:right w:val="single" w:sz="8" w:color="auto"/>
            </w:tcBorders>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F0FFFF"/>
          </w:tcPr>
          <w:p>
            <w:pPr>
              <w:spacing w:after="0"/>
              <w:rPr>
                <w:sz w:val="18"/>
                <w:szCs w:val="18"/>
                <w:color w:val="auto"/>
              </w:rPr>
            </w:pPr>
          </w:p>
        </w:tc>
        <w:tc>
          <w:tcPr>
            <w:tcW w:w="1020" w:type="dxa"/>
            <w:vAlign w:val="bottom"/>
            <w:tcBorders>
              <w:right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(47,937)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Loan charge-offs</w:t>
            </w: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(8,341)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(8,341)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(23,972)</w:t>
            </w:r>
          </w:p>
        </w:tc>
        <w:tc>
          <w:tcPr>
            <w:tcW w:w="12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(23,972)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color w:val="auto"/>
              </w:rPr>
              <w:t>Foreclosures</w:t>
            </w:r>
          </w:p>
        </w:tc>
        <w:tc>
          <w:tcPr>
            <w:tcW w:w="10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(1,687)</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80" w:type="dxa"/>
            <w:vAlign w:val="bottom"/>
            <w:tcBorders>
              <w:right w:val="single" w:sz="8" w:color="auto"/>
            </w:tcBorders>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1,687</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tcBorders>
              <w:right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(9,433)</w:t>
            </w:r>
          </w:p>
        </w:tc>
        <w:tc>
          <w:tcPr>
            <w:tcW w:w="120" w:type="dxa"/>
            <w:vAlign w:val="bottom"/>
            <w:shd w:val="clear" w:color="auto" w:fill="F0FFFF"/>
          </w:tcPr>
          <w:p>
            <w:pPr>
              <w:spacing w:after="0"/>
              <w:rPr>
                <w:sz w:val="18"/>
                <w:szCs w:val="18"/>
                <w:color w:val="auto"/>
              </w:rPr>
            </w:pPr>
          </w:p>
        </w:tc>
        <w:tc>
          <w:tcPr>
            <w:tcW w:w="1160" w:type="dxa"/>
            <w:vAlign w:val="bottom"/>
            <w:tcBorders>
              <w:right w:val="single" w:sz="8" w:color="auto"/>
            </w:tcBorders>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9,433</w:t>
            </w:r>
          </w:p>
        </w:tc>
        <w:tc>
          <w:tcPr>
            <w:tcW w:w="300" w:type="dxa"/>
            <w:vAlign w:val="bottom"/>
            <w:shd w:val="clear" w:color="auto" w:fill="F0FFFF"/>
          </w:tcPr>
          <w:p>
            <w:pPr>
              <w:spacing w:after="0"/>
              <w:rPr>
                <w:sz w:val="18"/>
                <w:szCs w:val="18"/>
                <w:color w:val="auto"/>
              </w:rPr>
            </w:pPr>
          </w:p>
        </w:tc>
        <w:tc>
          <w:tcPr>
            <w:tcW w:w="1020" w:type="dxa"/>
            <w:vAlign w:val="bottom"/>
            <w:tcBorders>
              <w:right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Capitalized costs</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8"/>
                <w:szCs w:val="18"/>
                <w:color w:val="auto"/>
              </w:rPr>
            </w:pPr>
          </w:p>
        </w:tc>
        <w:tc>
          <w:tcPr>
            <w:tcW w:w="10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color w:val="auto"/>
              </w:rPr>
              <w:t>Property sales</w:t>
            </w:r>
          </w:p>
        </w:tc>
        <w:tc>
          <w:tcPr>
            <w:tcW w:w="10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80" w:type="dxa"/>
            <w:vAlign w:val="bottom"/>
            <w:tcBorders>
              <w:right w:val="single" w:sz="8" w:color="auto"/>
            </w:tcBorders>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(4,430)</w:t>
            </w: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tcBorders>
              <w:right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(4,430)</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160" w:type="dxa"/>
            <w:vAlign w:val="bottom"/>
            <w:tcBorders>
              <w:right w:val="single" w:sz="8" w:color="auto"/>
            </w:tcBorders>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(17,972)</w:t>
            </w:r>
          </w:p>
        </w:tc>
        <w:tc>
          <w:tcPr>
            <w:tcW w:w="300" w:type="dxa"/>
            <w:vAlign w:val="bottom"/>
            <w:shd w:val="clear" w:color="auto" w:fill="F0FFFF"/>
          </w:tcPr>
          <w:p>
            <w:pPr>
              <w:spacing w:after="0"/>
              <w:rPr>
                <w:sz w:val="18"/>
                <w:szCs w:val="18"/>
                <w:color w:val="auto"/>
              </w:rPr>
            </w:pPr>
          </w:p>
        </w:tc>
        <w:tc>
          <w:tcPr>
            <w:tcW w:w="1020" w:type="dxa"/>
            <w:vAlign w:val="bottom"/>
            <w:tcBorders>
              <w:right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Write downs</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(305)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(1,369)</w:t>
            </w:r>
          </w:p>
        </w:tc>
        <w:tc>
          <w:tcPr>
            <w:tcW w:w="300" w:type="dxa"/>
            <w:vAlign w:val="bottom"/>
          </w:tcPr>
          <w:p>
            <w:pPr>
              <w:spacing w:after="0"/>
              <w:rPr>
                <w:sz w:val="18"/>
                <w:szCs w:val="18"/>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color w:val="auto"/>
              </w:rPr>
              <w:t>Net losses on sales</w:t>
            </w:r>
          </w:p>
        </w:tc>
        <w:tc>
          <w:tcPr>
            <w:tcW w:w="10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423</w:t>
            </w:r>
          </w:p>
        </w:tc>
        <w:tc>
          <w:tcPr>
            <w:tcW w:w="140" w:type="dxa"/>
            <w:vAlign w:val="bottom"/>
            <w:tcBorders>
              <w:right w:val="single" w:sz="8" w:color="auto"/>
            </w:tcBorders>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020" w:type="dxa"/>
            <w:vAlign w:val="bottom"/>
            <w:tcBorders>
              <w:right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423</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60" w:type="dxa"/>
            <w:vAlign w:val="bottom"/>
            <w:tcBorders>
              <w:right w:val="single" w:sz="8" w:color="auto"/>
            </w:tcBorders>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(2,945)</w:t>
            </w:r>
          </w:p>
        </w:tc>
        <w:tc>
          <w:tcPr>
            <w:tcW w:w="300" w:type="dxa"/>
            <w:vAlign w:val="bottom"/>
            <w:shd w:val="clear" w:color="auto" w:fill="F0FFFF"/>
          </w:tcPr>
          <w:p>
            <w:pPr>
              <w:spacing w:after="0"/>
              <w:rPr>
                <w:sz w:val="18"/>
                <w:szCs w:val="18"/>
                <w:color w:val="auto"/>
              </w:rPr>
            </w:pPr>
          </w:p>
        </w:tc>
        <w:tc>
          <w:tcPr>
            <w:tcW w:w="1020" w:type="dxa"/>
            <w:vAlign w:val="bottom"/>
            <w:tcBorders>
              <w:right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(2,945)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2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F0FF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tcBorders>
              <w:right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20"/>
              <w:spacing w:after="0"/>
              <w:rPr>
                <w:sz w:val="20"/>
                <w:szCs w:val="20"/>
                <w:color w:val="auto"/>
              </w:rPr>
            </w:pPr>
            <w:r>
              <w:rPr>
                <w:rFonts w:ascii="Arial" w:cs="Arial" w:eastAsia="Arial" w:hAnsi="Arial"/>
                <w:sz w:val="18"/>
                <w:szCs w:val="18"/>
                <w:b w:val="1"/>
                <w:bCs w:val="1"/>
                <w:color w:val="auto"/>
              </w:rPr>
              <w:t>Ending Balance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20,724</w:t>
            </w:r>
          </w:p>
        </w:tc>
        <w:tc>
          <w:tcPr>
            <w:tcW w:w="1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2,969</w:t>
            </w:r>
          </w:p>
        </w:tc>
        <w:tc>
          <w:tcPr>
            <w:tcW w:w="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23,693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27,864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3,936</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31,800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6000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600075"/>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332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auto"/>
            </w:tcBorders>
            <w:shd w:val="clear" w:color="auto" w:fill="F0FFFF"/>
          </w:tcPr>
          <w:p>
            <w:pPr>
              <w:spacing w:after="0"/>
              <w:rPr>
                <w:sz w:val="21"/>
                <w:szCs w:val="21"/>
                <w:color w:val="auto"/>
              </w:rPr>
            </w:pPr>
          </w:p>
        </w:tc>
        <w:tc>
          <w:tcPr>
            <w:tcW w:w="2900" w:type="dxa"/>
            <w:vAlign w:val="bottom"/>
            <w:tcBorders>
              <w:bottom w:val="single" w:sz="8" w:color="auto"/>
            </w:tcBorders>
            <w:gridSpan w:val="7"/>
            <w:shd w:val="clear" w:color="auto" w:fill="F0FFFF"/>
          </w:tcPr>
          <w:p>
            <w:pPr>
              <w:jc w:val="center"/>
              <w:ind w:left="710"/>
              <w:spacing w:after="0"/>
              <w:rPr>
                <w:sz w:val="20"/>
                <w:szCs w:val="20"/>
                <w:color w:val="auto"/>
              </w:rPr>
            </w:pPr>
            <w:r>
              <w:rPr>
                <w:rFonts w:ascii="Arial" w:cs="Arial" w:eastAsia="Arial" w:hAnsi="Arial"/>
                <w:sz w:val="18"/>
                <w:szCs w:val="18"/>
                <w:b w:val="1"/>
                <w:bCs w:val="1"/>
                <w:color w:val="auto"/>
                <w:w w:val="91"/>
              </w:rPr>
              <w:t>First Six Months 2014</w:t>
            </w:r>
          </w:p>
        </w:tc>
        <w:tc>
          <w:tcPr>
            <w:tcW w:w="1020" w:type="dxa"/>
            <w:vAlign w:val="bottom"/>
            <w:tcBorders>
              <w:bottom w:val="single" w:sz="8" w:color="auto"/>
              <w:right w:val="single" w:sz="8" w:color="F0FFFF"/>
            </w:tcBorders>
            <w:shd w:val="clear" w:color="auto" w:fill="F0FFFF"/>
          </w:tcPr>
          <w:p>
            <w:pPr>
              <w:spacing w:after="0"/>
              <w:rPr>
                <w:sz w:val="21"/>
                <w:szCs w:val="21"/>
                <w:color w:val="auto"/>
              </w:rPr>
            </w:pPr>
          </w:p>
        </w:tc>
        <w:tc>
          <w:tcPr>
            <w:tcW w:w="120" w:type="dxa"/>
            <w:vAlign w:val="bottom"/>
            <w:tcBorders>
              <w:bottom w:val="single" w:sz="8" w:color="F0FFFF"/>
            </w:tcBorders>
            <w:shd w:val="clear" w:color="auto" w:fill="F0FFFF"/>
          </w:tcPr>
          <w:p>
            <w:pPr>
              <w:spacing w:after="0"/>
              <w:rPr>
                <w:sz w:val="21"/>
                <w:szCs w:val="21"/>
                <w:color w:val="auto"/>
              </w:rPr>
            </w:pPr>
          </w:p>
        </w:tc>
        <w:tc>
          <w:tcPr>
            <w:tcW w:w="100" w:type="dxa"/>
            <w:vAlign w:val="bottom"/>
            <w:tcBorders>
              <w:bottom w:val="single" w:sz="8" w:color="auto"/>
            </w:tcBorders>
            <w:shd w:val="clear" w:color="auto" w:fill="F0FFFF"/>
          </w:tcPr>
          <w:p>
            <w:pPr>
              <w:spacing w:after="0"/>
              <w:rPr>
                <w:sz w:val="21"/>
                <w:szCs w:val="21"/>
                <w:color w:val="auto"/>
              </w:rPr>
            </w:pPr>
          </w:p>
        </w:tc>
        <w:tc>
          <w:tcPr>
            <w:tcW w:w="2820" w:type="dxa"/>
            <w:vAlign w:val="bottom"/>
            <w:tcBorders>
              <w:bottom w:val="single" w:sz="8" w:color="auto"/>
            </w:tcBorders>
            <w:gridSpan w:val="6"/>
            <w:shd w:val="clear" w:color="auto" w:fill="F0FFFF"/>
          </w:tcPr>
          <w:p>
            <w:pPr>
              <w:jc w:val="center"/>
              <w:ind w:left="710"/>
              <w:spacing w:after="0"/>
              <w:rPr>
                <w:sz w:val="20"/>
                <w:szCs w:val="20"/>
                <w:color w:val="auto"/>
              </w:rPr>
            </w:pPr>
            <w:r>
              <w:rPr>
                <w:rFonts w:ascii="Arial" w:cs="Arial" w:eastAsia="Arial" w:hAnsi="Arial"/>
                <w:sz w:val="18"/>
                <w:szCs w:val="18"/>
                <w:b w:val="1"/>
                <w:bCs w:val="1"/>
                <w:color w:val="auto"/>
                <w:w w:val="91"/>
              </w:rPr>
              <w:t>First Six Months 2013</w:t>
            </w:r>
          </w:p>
        </w:tc>
        <w:tc>
          <w:tcPr>
            <w:tcW w:w="1020" w:type="dxa"/>
            <w:vAlign w:val="bottom"/>
            <w:tcBorders>
              <w:bottom w:val="single" w:sz="8" w:color="auto"/>
              <w:right w:val="single" w:sz="8" w:color="F0FFFF"/>
            </w:tcBorders>
            <w:shd w:val="clear" w:color="auto" w:fill="F0FF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1"/>
              </w:rPr>
              <w:t>Nonaccrual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85"/>
              </w:rPr>
              <w:t>Foreclosed</w:t>
            </w:r>
          </w:p>
        </w:tc>
        <w:tc>
          <w:tcPr>
            <w:tcW w:w="300" w:type="dxa"/>
            <w:vAlign w:val="bottom"/>
          </w:tcPr>
          <w:p>
            <w:pPr>
              <w:spacing w:after="0"/>
              <w:rPr>
                <w:sz w:val="18"/>
                <w:szCs w:val="18"/>
                <w:color w:val="auto"/>
              </w:rPr>
            </w:pPr>
          </w:p>
        </w:tc>
        <w:tc>
          <w:tcPr>
            <w:tcW w:w="1020" w:type="dxa"/>
            <w:vAlign w:val="bottom"/>
            <w:tcBorders>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9"/>
              </w:rPr>
              <w:t>Nonaccrual</w:t>
            </w:r>
          </w:p>
        </w:tc>
        <w:tc>
          <w:tcPr>
            <w:tcW w:w="120" w:type="dxa"/>
            <w:vAlign w:val="bottom"/>
          </w:tcPr>
          <w:p>
            <w:pPr>
              <w:spacing w:after="0"/>
              <w:rPr>
                <w:sz w:val="18"/>
                <w:szCs w:val="18"/>
                <w:color w:val="auto"/>
              </w:rPr>
            </w:pPr>
          </w:p>
        </w:tc>
        <w:tc>
          <w:tcPr>
            <w:tcW w:w="11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85"/>
              </w:rPr>
              <w:t>Foreclosed</w:t>
            </w:r>
          </w:p>
        </w:tc>
        <w:tc>
          <w:tcPr>
            <w:tcW w:w="300" w:type="dxa"/>
            <w:vAlign w:val="bottom"/>
          </w:tcPr>
          <w:p>
            <w:pPr>
              <w:spacing w:after="0"/>
              <w:rPr>
                <w:sz w:val="18"/>
                <w:szCs w:val="18"/>
                <w:color w:val="auto"/>
              </w:rPr>
            </w:pPr>
          </w:p>
        </w:tc>
        <w:tc>
          <w:tcPr>
            <w:tcW w:w="1020" w:type="dxa"/>
            <w:vAlign w:val="bottom"/>
            <w:tcBorders>
              <w:right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200" w:type="dxa"/>
            <w:vAlign w:val="bottom"/>
            <w:gridSpan w:val="2"/>
            <w:shd w:val="clear" w:color="auto" w:fill="F0FFFF"/>
          </w:tcPr>
          <w:p>
            <w:pPr>
              <w:jc w:val="right"/>
              <w:ind w:right="500"/>
              <w:spacing w:after="0"/>
              <w:rPr>
                <w:sz w:val="20"/>
                <w:szCs w:val="20"/>
                <w:color w:val="auto"/>
              </w:rPr>
            </w:pPr>
            <w:r>
              <w:rPr>
                <w:rFonts w:ascii="Arial" w:cs="Arial" w:eastAsia="Arial" w:hAnsi="Arial"/>
                <w:sz w:val="18"/>
                <w:szCs w:val="18"/>
                <w:b w:val="1"/>
                <w:bCs w:val="1"/>
                <w:color w:val="auto"/>
              </w:rPr>
              <w:t>Loans</w:t>
            </w:r>
          </w:p>
        </w:tc>
        <w:tc>
          <w:tcPr>
            <w:tcW w:w="10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180" w:type="dxa"/>
            <w:vAlign w:val="bottom"/>
            <w:tcBorders>
              <w:right w:val="single" w:sz="8" w:color="auto"/>
            </w:tcBorders>
            <w:gridSpan w:val="2"/>
            <w:shd w:val="clear" w:color="auto" w:fill="F0FFFF"/>
          </w:tcPr>
          <w:p>
            <w:pPr>
              <w:jc w:val="center"/>
              <w:ind w:right="260"/>
              <w:spacing w:after="0"/>
              <w:rPr>
                <w:sz w:val="20"/>
                <w:szCs w:val="20"/>
                <w:color w:val="auto"/>
              </w:rPr>
            </w:pPr>
            <w:r>
              <w:rPr>
                <w:rFonts w:ascii="Arial" w:cs="Arial" w:eastAsia="Arial" w:hAnsi="Arial"/>
                <w:sz w:val="18"/>
                <w:szCs w:val="18"/>
                <w:b w:val="1"/>
                <w:bCs w:val="1"/>
                <w:color w:val="auto"/>
                <w:w w:val="89"/>
              </w:rPr>
              <w:t>Properties</w:t>
            </w:r>
          </w:p>
        </w:tc>
        <w:tc>
          <w:tcPr>
            <w:tcW w:w="300" w:type="dxa"/>
            <w:vAlign w:val="bottom"/>
            <w:shd w:val="clear" w:color="auto" w:fill="F0FFFF"/>
          </w:tcPr>
          <w:p>
            <w:pPr>
              <w:spacing w:after="0"/>
              <w:rPr>
                <w:sz w:val="19"/>
                <w:szCs w:val="19"/>
                <w:color w:val="auto"/>
              </w:rPr>
            </w:pPr>
          </w:p>
        </w:tc>
        <w:tc>
          <w:tcPr>
            <w:tcW w:w="1020" w:type="dxa"/>
            <w:vAlign w:val="bottom"/>
            <w:tcBorders>
              <w:right w:val="single" w:sz="8" w:color="auto"/>
            </w:tcBorders>
            <w:shd w:val="clear" w:color="auto" w:fill="F0FFFF"/>
          </w:tcPr>
          <w:p>
            <w:pPr>
              <w:jc w:val="right"/>
              <w:ind w:right="370"/>
              <w:spacing w:after="0"/>
              <w:rPr>
                <w:sz w:val="20"/>
                <w:szCs w:val="20"/>
                <w:color w:val="auto"/>
              </w:rPr>
            </w:pPr>
            <w:r>
              <w:rPr>
                <w:rFonts w:ascii="Arial" w:cs="Arial" w:eastAsia="Arial" w:hAnsi="Arial"/>
                <w:sz w:val="18"/>
                <w:szCs w:val="18"/>
                <w:b w:val="1"/>
                <w:bCs w:val="1"/>
                <w:color w:val="auto"/>
              </w:rPr>
              <w:t>NPAs</w:t>
            </w:r>
          </w:p>
        </w:tc>
        <w:tc>
          <w:tcPr>
            <w:tcW w:w="12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240" w:type="dxa"/>
            <w:vAlign w:val="bottom"/>
            <w:gridSpan w:val="2"/>
            <w:shd w:val="clear" w:color="auto" w:fill="F0FFFF"/>
          </w:tcPr>
          <w:p>
            <w:pPr>
              <w:jc w:val="right"/>
              <w:ind w:right="540"/>
              <w:spacing w:after="0"/>
              <w:rPr>
                <w:sz w:val="20"/>
                <w:szCs w:val="20"/>
                <w:color w:val="auto"/>
              </w:rPr>
            </w:pPr>
            <w:r>
              <w:rPr>
                <w:rFonts w:ascii="Arial" w:cs="Arial" w:eastAsia="Arial" w:hAnsi="Arial"/>
                <w:sz w:val="18"/>
                <w:szCs w:val="18"/>
                <w:b w:val="1"/>
                <w:bCs w:val="1"/>
                <w:color w:val="auto"/>
              </w:rPr>
              <w:t>Loans</w:t>
            </w:r>
          </w:p>
        </w:tc>
        <w:tc>
          <w:tcPr>
            <w:tcW w:w="120" w:type="dxa"/>
            <w:vAlign w:val="bottom"/>
            <w:shd w:val="clear" w:color="auto" w:fill="F0FFFF"/>
          </w:tcPr>
          <w:p>
            <w:pPr>
              <w:spacing w:after="0"/>
              <w:rPr>
                <w:sz w:val="19"/>
                <w:szCs w:val="19"/>
                <w:color w:val="auto"/>
              </w:rPr>
            </w:pPr>
          </w:p>
        </w:tc>
        <w:tc>
          <w:tcPr>
            <w:tcW w:w="1160" w:type="dxa"/>
            <w:vAlign w:val="bottom"/>
            <w:tcBorders>
              <w:right w:val="single" w:sz="8" w:color="auto"/>
            </w:tcBorders>
            <w:gridSpan w:val="2"/>
            <w:shd w:val="clear" w:color="auto" w:fill="F0FFFF"/>
          </w:tcPr>
          <w:p>
            <w:pPr>
              <w:jc w:val="center"/>
              <w:ind w:right="240"/>
              <w:spacing w:after="0"/>
              <w:rPr>
                <w:sz w:val="20"/>
                <w:szCs w:val="20"/>
                <w:color w:val="auto"/>
              </w:rPr>
            </w:pPr>
            <w:r>
              <w:rPr>
                <w:rFonts w:ascii="Arial" w:cs="Arial" w:eastAsia="Arial" w:hAnsi="Arial"/>
                <w:sz w:val="18"/>
                <w:szCs w:val="18"/>
                <w:b w:val="1"/>
                <w:bCs w:val="1"/>
                <w:color w:val="auto"/>
                <w:w w:val="89"/>
              </w:rPr>
              <w:t>Properties</w:t>
            </w:r>
          </w:p>
        </w:tc>
        <w:tc>
          <w:tcPr>
            <w:tcW w:w="300" w:type="dxa"/>
            <w:vAlign w:val="bottom"/>
            <w:shd w:val="clear" w:color="auto" w:fill="F0FFFF"/>
          </w:tcPr>
          <w:p>
            <w:pPr>
              <w:spacing w:after="0"/>
              <w:rPr>
                <w:sz w:val="19"/>
                <w:szCs w:val="19"/>
                <w:color w:val="auto"/>
              </w:rPr>
            </w:pPr>
          </w:p>
        </w:tc>
        <w:tc>
          <w:tcPr>
            <w:tcW w:w="1020" w:type="dxa"/>
            <w:vAlign w:val="bottom"/>
            <w:tcBorders>
              <w:right w:val="single" w:sz="8" w:color="auto"/>
            </w:tcBorders>
            <w:shd w:val="clear" w:color="auto" w:fill="F0FFFF"/>
          </w:tcPr>
          <w:p>
            <w:pPr>
              <w:jc w:val="right"/>
              <w:ind w:right="370"/>
              <w:spacing w:after="0"/>
              <w:rPr>
                <w:sz w:val="20"/>
                <w:szCs w:val="20"/>
                <w:color w:val="auto"/>
              </w:rPr>
            </w:pPr>
            <w:r>
              <w:rPr>
                <w:rFonts w:ascii="Arial" w:cs="Arial" w:eastAsia="Arial" w:hAnsi="Arial"/>
                <w:sz w:val="18"/>
                <w:szCs w:val="18"/>
                <w:b w:val="1"/>
                <w:bCs w:val="1"/>
                <w:color w:val="auto"/>
              </w:rPr>
              <w:t>NPAs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F0FFFF"/>
              <w:right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right w:val="single" w:sz="8" w:color="auto"/>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F0FFFF"/>
              <w:right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b w:val="1"/>
                <w:bCs w:val="1"/>
                <w:color w:val="auto"/>
              </w:rPr>
              <w:t>Beginning Balance</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26,819</w:t>
            </w:r>
          </w:p>
        </w:tc>
        <w:tc>
          <w:tcPr>
            <w:tcW w:w="140" w:type="dxa"/>
            <w:vAlign w:val="bottom"/>
            <w:shd w:val="clear" w:color="auto" w:fill="F0FFFF"/>
          </w:tcPr>
          <w:p>
            <w:pPr>
              <w:spacing w:after="0"/>
              <w:rPr>
                <w:sz w:val="18"/>
                <w:szCs w:val="18"/>
                <w:color w:val="auto"/>
              </w:rPr>
            </w:pPr>
          </w:p>
        </w:tc>
        <w:tc>
          <w:tcPr>
            <w:tcW w:w="2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4,221</w:t>
            </w:r>
          </w:p>
        </w:tc>
        <w:tc>
          <w:tcPr>
            <w:tcW w:w="30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31,040</w:t>
            </w:r>
          </w:p>
        </w:tc>
        <w:tc>
          <w:tcPr>
            <w:tcW w:w="22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109,894</w:t>
            </w:r>
          </w:p>
        </w:tc>
        <w:tc>
          <w:tcPr>
            <w:tcW w:w="12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auto"/>
            </w:tcBorders>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18,264</w:t>
            </w:r>
          </w:p>
        </w:tc>
        <w:tc>
          <w:tcPr>
            <w:tcW w:w="300" w:type="dxa"/>
            <w:vAlign w:val="bottom"/>
            <w:shd w:val="clear" w:color="auto" w:fill="F0FF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128,158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line="216" w:lineRule="exact"/>
              <w:rPr>
                <w:sz w:val="20"/>
                <w:szCs w:val="20"/>
                <w:color w:val="auto"/>
              </w:rPr>
            </w:pPr>
            <w:r>
              <w:rPr>
                <w:rFonts w:ascii="Arial" w:cs="Arial" w:eastAsia="Arial" w:hAnsi="Arial"/>
                <w:sz w:val="18"/>
                <w:szCs w:val="18"/>
                <w:color w:val="auto"/>
              </w:rPr>
              <w:t xml:space="preserve">Loans placed on non-accrual </w:t>
            </w:r>
            <w:r>
              <w:rPr>
                <w:rFonts w:ascii="Arial" w:cs="Arial" w:eastAsia="Arial" w:hAnsi="Arial"/>
                <w:sz w:val="25"/>
                <w:szCs w:val="25"/>
                <w:color w:val="auto"/>
                <w:vertAlign w:val="superscript"/>
              </w:rPr>
              <w:t>(2)</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18,832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22,865</w:t>
            </w:r>
          </w:p>
        </w:tc>
        <w:tc>
          <w:tcPr>
            <w:tcW w:w="12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22,865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color w:val="auto"/>
              </w:rPr>
              <w:t>Payments received</w:t>
            </w:r>
          </w:p>
        </w:tc>
        <w:tc>
          <w:tcPr>
            <w:tcW w:w="10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(5,693)</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80" w:type="dxa"/>
            <w:vAlign w:val="bottom"/>
            <w:tcBorders>
              <w:right w:val="single" w:sz="8" w:color="auto"/>
            </w:tcBorders>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F0FFFF"/>
          </w:tcPr>
          <w:p>
            <w:pPr>
              <w:spacing w:after="0"/>
              <w:rPr>
                <w:sz w:val="18"/>
                <w:szCs w:val="18"/>
                <w:color w:val="auto"/>
              </w:rPr>
            </w:pPr>
          </w:p>
        </w:tc>
        <w:tc>
          <w:tcPr>
            <w:tcW w:w="1020" w:type="dxa"/>
            <w:vAlign w:val="bottom"/>
            <w:tcBorders>
              <w:right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(5,693)</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(54,746)</w:t>
            </w:r>
          </w:p>
        </w:tc>
        <w:tc>
          <w:tcPr>
            <w:tcW w:w="120" w:type="dxa"/>
            <w:vAlign w:val="bottom"/>
            <w:shd w:val="clear" w:color="auto" w:fill="F0FFFF"/>
          </w:tcPr>
          <w:p>
            <w:pPr>
              <w:spacing w:after="0"/>
              <w:rPr>
                <w:sz w:val="18"/>
                <w:szCs w:val="18"/>
                <w:color w:val="auto"/>
              </w:rPr>
            </w:pPr>
          </w:p>
        </w:tc>
        <w:tc>
          <w:tcPr>
            <w:tcW w:w="1160" w:type="dxa"/>
            <w:vAlign w:val="bottom"/>
            <w:tcBorders>
              <w:right w:val="single" w:sz="8" w:color="auto"/>
            </w:tcBorders>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F0FFFF"/>
          </w:tcPr>
          <w:p>
            <w:pPr>
              <w:spacing w:after="0"/>
              <w:rPr>
                <w:sz w:val="18"/>
                <w:szCs w:val="18"/>
                <w:color w:val="auto"/>
              </w:rPr>
            </w:pPr>
          </w:p>
        </w:tc>
        <w:tc>
          <w:tcPr>
            <w:tcW w:w="1020" w:type="dxa"/>
            <w:vAlign w:val="bottom"/>
            <w:tcBorders>
              <w:right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(54,746)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Loan charge-offs</w:t>
            </w:r>
          </w:p>
        </w:tc>
        <w:tc>
          <w:tcPr>
            <w:tcW w:w="10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(13,180)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(13,180)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(34,428)</w:t>
            </w:r>
          </w:p>
        </w:tc>
        <w:tc>
          <w:tcPr>
            <w:tcW w:w="12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(34,428)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color w:val="auto"/>
              </w:rPr>
              <w:t>Foreclosures</w:t>
            </w:r>
          </w:p>
        </w:tc>
        <w:tc>
          <w:tcPr>
            <w:tcW w:w="10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(6,054)</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80" w:type="dxa"/>
            <w:vAlign w:val="bottom"/>
            <w:tcBorders>
              <w:right w:val="single" w:sz="8" w:color="auto"/>
            </w:tcBorders>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6,054</w:t>
            </w:r>
          </w:p>
        </w:tc>
        <w:tc>
          <w:tcPr>
            <w:tcW w:w="300" w:type="dxa"/>
            <w:vAlign w:val="bottom"/>
            <w:shd w:val="clear" w:color="auto" w:fill="F0FFFF"/>
          </w:tcPr>
          <w:p>
            <w:pPr>
              <w:spacing w:after="0"/>
              <w:rPr>
                <w:sz w:val="18"/>
                <w:szCs w:val="18"/>
                <w:color w:val="auto"/>
              </w:rPr>
            </w:pPr>
          </w:p>
        </w:tc>
        <w:tc>
          <w:tcPr>
            <w:tcW w:w="1020" w:type="dxa"/>
            <w:vAlign w:val="bottom"/>
            <w:tcBorders>
              <w:right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(15,721)</w:t>
            </w:r>
          </w:p>
        </w:tc>
        <w:tc>
          <w:tcPr>
            <w:tcW w:w="120" w:type="dxa"/>
            <w:vAlign w:val="bottom"/>
            <w:shd w:val="clear" w:color="auto" w:fill="F0FFFF"/>
          </w:tcPr>
          <w:p>
            <w:pPr>
              <w:spacing w:after="0"/>
              <w:rPr>
                <w:sz w:val="18"/>
                <w:szCs w:val="18"/>
                <w:color w:val="auto"/>
              </w:rPr>
            </w:pPr>
          </w:p>
        </w:tc>
        <w:tc>
          <w:tcPr>
            <w:tcW w:w="1160" w:type="dxa"/>
            <w:vAlign w:val="bottom"/>
            <w:tcBorders>
              <w:right w:val="single" w:sz="8" w:color="auto"/>
            </w:tcBorders>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15,721</w:t>
            </w:r>
          </w:p>
        </w:tc>
        <w:tc>
          <w:tcPr>
            <w:tcW w:w="300" w:type="dxa"/>
            <w:vAlign w:val="bottom"/>
            <w:shd w:val="clear" w:color="auto" w:fill="F0FFFF"/>
          </w:tcPr>
          <w:p>
            <w:pPr>
              <w:spacing w:after="0"/>
              <w:rPr>
                <w:sz w:val="18"/>
                <w:szCs w:val="18"/>
                <w:color w:val="auto"/>
              </w:rPr>
            </w:pPr>
          </w:p>
        </w:tc>
        <w:tc>
          <w:tcPr>
            <w:tcW w:w="1020" w:type="dxa"/>
            <w:vAlign w:val="bottom"/>
            <w:tcBorders>
              <w:right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Capitalized costs</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109</w:t>
            </w:r>
          </w:p>
        </w:tc>
        <w:tc>
          <w:tcPr>
            <w:tcW w:w="300" w:type="dxa"/>
            <w:vAlign w:val="bottom"/>
          </w:tcPr>
          <w:p>
            <w:pPr>
              <w:spacing w:after="0"/>
              <w:rPr>
                <w:sz w:val="18"/>
                <w:szCs w:val="18"/>
                <w:color w:val="auto"/>
              </w:rPr>
            </w:pPr>
          </w:p>
        </w:tc>
        <w:tc>
          <w:tcPr>
            <w:tcW w:w="10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color w:val="auto"/>
              </w:rPr>
              <w:t>Note / property sales</w:t>
            </w:r>
          </w:p>
        </w:tc>
        <w:tc>
          <w:tcPr>
            <w:tcW w:w="100" w:type="dxa"/>
            <w:vAlign w:val="bottom"/>
            <w:shd w:val="clear" w:color="auto" w:fill="F0FFFF"/>
          </w:tcPr>
          <w:p>
            <w:pPr>
              <w:spacing w:after="0"/>
              <w:rPr>
                <w:sz w:val="18"/>
                <w:szCs w:val="18"/>
                <w:color w:val="auto"/>
              </w:rPr>
            </w:pPr>
          </w:p>
        </w:tc>
        <w:tc>
          <w:tcPr>
            <w:tcW w:w="120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80" w:type="dxa"/>
            <w:vAlign w:val="bottom"/>
            <w:tcBorders>
              <w:right w:val="single" w:sz="8" w:color="auto"/>
            </w:tcBorders>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(7,668)</w:t>
            </w:r>
          </w:p>
        </w:tc>
        <w:tc>
          <w:tcPr>
            <w:tcW w:w="300" w:type="dxa"/>
            <w:vAlign w:val="bottom"/>
            <w:shd w:val="clear" w:color="auto" w:fill="F0FFFF"/>
          </w:tcPr>
          <w:p>
            <w:pPr>
              <w:spacing w:after="0"/>
              <w:rPr>
                <w:sz w:val="18"/>
                <w:szCs w:val="18"/>
                <w:color w:val="auto"/>
              </w:rPr>
            </w:pPr>
          </w:p>
        </w:tc>
        <w:tc>
          <w:tcPr>
            <w:tcW w:w="1020" w:type="dxa"/>
            <w:vAlign w:val="bottom"/>
            <w:tcBorders>
              <w:right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(7,668)</w:t>
            </w: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1160" w:type="dxa"/>
            <w:vAlign w:val="bottom"/>
            <w:tcBorders>
              <w:right w:val="single" w:sz="8" w:color="auto"/>
            </w:tcBorders>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(24,698)</w:t>
            </w:r>
          </w:p>
        </w:tc>
        <w:tc>
          <w:tcPr>
            <w:tcW w:w="300" w:type="dxa"/>
            <w:vAlign w:val="bottom"/>
            <w:shd w:val="clear" w:color="auto" w:fill="F0FFFF"/>
          </w:tcPr>
          <w:p>
            <w:pPr>
              <w:spacing w:after="0"/>
              <w:rPr>
                <w:sz w:val="18"/>
                <w:szCs w:val="18"/>
                <w:color w:val="auto"/>
              </w:rPr>
            </w:pPr>
          </w:p>
        </w:tc>
        <w:tc>
          <w:tcPr>
            <w:tcW w:w="1020" w:type="dxa"/>
            <w:vAlign w:val="bottom"/>
            <w:tcBorders>
              <w:right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(24,698)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Write downs</w:t>
            </w: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(582)</w:t>
            </w:r>
          </w:p>
        </w:tc>
        <w:tc>
          <w:tcPr>
            <w:tcW w:w="300" w:type="dxa"/>
            <w:vAlign w:val="bottom"/>
          </w:tcPr>
          <w:p>
            <w:pPr>
              <w:spacing w:after="0"/>
              <w:rPr>
                <w:sz w:val="18"/>
                <w:szCs w:val="18"/>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(2,410)</w:t>
            </w:r>
          </w:p>
        </w:tc>
        <w:tc>
          <w:tcPr>
            <w:tcW w:w="300" w:type="dxa"/>
            <w:vAlign w:val="bottom"/>
          </w:tcPr>
          <w:p>
            <w:pPr>
              <w:spacing w:after="0"/>
              <w:rPr>
                <w:sz w:val="18"/>
                <w:szCs w:val="18"/>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color w:val="auto"/>
              </w:rPr>
              <w:t>Net losses on sales</w:t>
            </w:r>
          </w:p>
        </w:tc>
        <w:tc>
          <w:tcPr>
            <w:tcW w:w="100" w:type="dxa"/>
            <w:vAlign w:val="bottom"/>
            <w:shd w:val="clear" w:color="auto" w:fill="F0FFFF"/>
          </w:tcPr>
          <w:p>
            <w:pPr>
              <w:spacing w:after="0"/>
              <w:rPr>
                <w:sz w:val="21"/>
                <w:szCs w:val="21"/>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944</w:t>
            </w:r>
          </w:p>
        </w:tc>
        <w:tc>
          <w:tcPr>
            <w:tcW w:w="140" w:type="dxa"/>
            <w:vAlign w:val="bottom"/>
            <w:tcBorders>
              <w:right w:val="single" w:sz="8" w:color="auto"/>
            </w:tcBorders>
            <w:shd w:val="clear" w:color="auto" w:fill="F0FFFF"/>
          </w:tcPr>
          <w:p>
            <w:pPr>
              <w:spacing w:after="0"/>
              <w:rPr>
                <w:sz w:val="21"/>
                <w:szCs w:val="21"/>
                <w:color w:val="auto"/>
              </w:rPr>
            </w:pPr>
          </w:p>
        </w:tc>
        <w:tc>
          <w:tcPr>
            <w:tcW w:w="300" w:type="dxa"/>
            <w:vAlign w:val="bottom"/>
            <w:shd w:val="clear" w:color="auto" w:fill="F0FFFF"/>
          </w:tcPr>
          <w:p>
            <w:pPr>
              <w:spacing w:after="0"/>
              <w:rPr>
                <w:sz w:val="21"/>
                <w:szCs w:val="21"/>
                <w:color w:val="auto"/>
              </w:rPr>
            </w:pPr>
          </w:p>
        </w:tc>
        <w:tc>
          <w:tcPr>
            <w:tcW w:w="1020" w:type="dxa"/>
            <w:vAlign w:val="bottom"/>
            <w:tcBorders>
              <w:right w:val="single" w:sz="8" w:color="auto"/>
            </w:tcBorders>
            <w:shd w:val="clear" w:color="auto" w:fill="F0FFFF"/>
          </w:tcPr>
          <w:p>
            <w:pPr>
              <w:jc w:val="right"/>
              <w:ind w:right="10"/>
              <w:spacing w:after="0"/>
              <w:rPr>
                <w:sz w:val="20"/>
                <w:szCs w:val="20"/>
                <w:color w:val="auto"/>
              </w:rPr>
            </w:pPr>
            <w:r>
              <w:rPr>
                <w:rFonts w:ascii="Arial" w:cs="Arial" w:eastAsia="Arial" w:hAnsi="Arial"/>
                <w:sz w:val="18"/>
                <w:szCs w:val="18"/>
                <w:color w:val="auto"/>
              </w:rPr>
              <w:t>944</w:t>
            </w:r>
          </w:p>
        </w:tc>
        <w:tc>
          <w:tcPr>
            <w:tcW w:w="120" w:type="dxa"/>
            <w:vAlign w:val="bottom"/>
            <w:shd w:val="clear" w:color="auto" w:fill="F0FFFF"/>
          </w:tcPr>
          <w:p>
            <w:pPr>
              <w:spacing w:after="0"/>
              <w:rPr>
                <w:sz w:val="21"/>
                <w:szCs w:val="21"/>
                <w:color w:val="auto"/>
              </w:rPr>
            </w:pPr>
          </w:p>
        </w:tc>
        <w:tc>
          <w:tcPr>
            <w:tcW w:w="100" w:type="dxa"/>
            <w:vAlign w:val="bottom"/>
            <w:shd w:val="clear" w:color="auto" w:fill="F0FFFF"/>
          </w:tcPr>
          <w:p>
            <w:pPr>
              <w:spacing w:after="0"/>
              <w:rPr>
                <w:sz w:val="21"/>
                <w:szCs w:val="21"/>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F0FFFF"/>
          </w:tcPr>
          <w:p>
            <w:pPr>
              <w:spacing w:after="0"/>
              <w:rPr>
                <w:sz w:val="21"/>
                <w:szCs w:val="21"/>
                <w:color w:val="auto"/>
              </w:rPr>
            </w:pPr>
          </w:p>
        </w:tc>
        <w:tc>
          <w:tcPr>
            <w:tcW w:w="120" w:type="dxa"/>
            <w:vAlign w:val="bottom"/>
            <w:shd w:val="clear" w:color="auto" w:fill="F0FFFF"/>
          </w:tcPr>
          <w:p>
            <w:pPr>
              <w:spacing w:after="0"/>
              <w:rPr>
                <w:sz w:val="21"/>
                <w:szCs w:val="21"/>
                <w:color w:val="auto"/>
              </w:rPr>
            </w:pPr>
          </w:p>
        </w:tc>
        <w:tc>
          <w:tcPr>
            <w:tcW w:w="1160" w:type="dxa"/>
            <w:vAlign w:val="bottom"/>
            <w:tcBorders>
              <w:right w:val="single" w:sz="8" w:color="auto"/>
            </w:tcBorders>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(3,050)</w:t>
            </w:r>
          </w:p>
        </w:tc>
        <w:tc>
          <w:tcPr>
            <w:tcW w:w="300" w:type="dxa"/>
            <w:vAlign w:val="bottom"/>
            <w:shd w:val="clear" w:color="auto" w:fill="F0FFFF"/>
          </w:tcPr>
          <w:p>
            <w:pPr>
              <w:spacing w:after="0"/>
              <w:rPr>
                <w:sz w:val="21"/>
                <w:szCs w:val="21"/>
                <w:color w:val="auto"/>
              </w:rPr>
            </w:pPr>
          </w:p>
        </w:tc>
        <w:tc>
          <w:tcPr>
            <w:tcW w:w="1020" w:type="dxa"/>
            <w:vAlign w:val="bottom"/>
            <w:tcBorders>
              <w:right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(3,050)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2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F0FF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tcBorders>
              <w:right w:val="single" w:sz="8" w:color="auto"/>
            </w:tcBorders>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F0FF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20" w:type="dxa"/>
            <w:vAlign w:val="bottom"/>
            <w:tcBorders>
              <w:right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20"/>
              <w:spacing w:after="0"/>
              <w:rPr>
                <w:sz w:val="20"/>
                <w:szCs w:val="20"/>
                <w:color w:val="auto"/>
              </w:rPr>
            </w:pPr>
            <w:r>
              <w:rPr>
                <w:rFonts w:ascii="Arial" w:cs="Arial" w:eastAsia="Arial" w:hAnsi="Arial"/>
                <w:sz w:val="18"/>
                <w:szCs w:val="18"/>
                <w:b w:val="1"/>
                <w:bCs w:val="1"/>
                <w:color w:val="auto"/>
              </w:rPr>
              <w:t>Ending Balance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20,724</w:t>
            </w:r>
          </w:p>
        </w:tc>
        <w:tc>
          <w:tcPr>
            <w:tcW w:w="1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2,969</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23,693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27,864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3,936</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31,800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Foreclosed property is initially recorded at fair value, less estimated costs to sell. If the fair value, less estimated costs to sell at the time of foreclosure, is less than the loan balance, the deficiency is charged against the allowance for loan losses. If the lesser of fair value, less estimated costs to sell or the listed selling price, less the costs to sell, of the foreclosed property decreases during the holding period, a valuation allowance is established with a charge to foreclosed property expense. When the foreclosed property is sold, a gain or loss is recognized on the sale for the difference between the sales proceeds and the carrying amount of the property. Financed sales of foreclosed property are accounted for in accordance with ASC 360-20, </w:t>
      </w:r>
      <w:r>
        <w:rPr>
          <w:rFonts w:ascii="Arial" w:cs="Arial" w:eastAsia="Arial" w:hAnsi="Arial"/>
          <w:sz w:val="17"/>
          <w:szCs w:val="17"/>
          <w:i w:val="1"/>
          <w:iCs w:val="1"/>
          <w:color w:val="auto"/>
        </w:rPr>
        <w:t>Real Estate Sales</w:t>
      </w:r>
      <w:r>
        <w:rPr>
          <w:rFonts w:ascii="Arial" w:cs="Arial" w:eastAsia="Arial" w:hAnsi="Arial"/>
          <w:sz w:val="17"/>
          <w:szCs w:val="17"/>
          <w:color w:val="auto"/>
        </w:rPr>
        <w:t>. For the second quarter of 2014, United transferred $1.69 million of loans into foreclosed property through foreclosures. During the same period, proceeds from sales of foreclosed property were $4.43 million, which includes $970,000 in sales that were financed by United.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composition of the investment securities portfolio reflects United’s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and borrowings, including repurchase agreements. Total investment securities at June 30, 2014 increased $37.8 million from a year ago.</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June 30, 2014, December 31, 2013 and June 30, 2013, United had securities held-to-maturity with a carrying amount of $449 million, $480 million, and $215 million, respectively, and securities available-for-sale totaling $1.74 billion, $1.83 billion, and $1.94 billion, respectively. At June 30, 2014, December 31, 2013, and June 30, 2013, the securities portfolio represented approximately 30%, 31%, and 30% of total assets, respectively.</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investment securities portfolio primarily consists of U.S. government sponsored agency mortgage-backed securities, non-agency mortgage-backed securities, corporate securities, municipal securities and asset-backed securities. Mortgage-backed securities rely on the underlying pools of mortgage loans to provide a cash flow of principal and interest. The actual maturities of these securities will usually differ from contractual maturities because loans underlying the securities can prepay. Decreases in interest rates will generally cause an acceleration of prepayment levels. In a declining or prolonged low interest rate environment, United may not be able to reinvest the proceeds from these prepayments in assets that have comparable yields. In a rising rate environment, the opposite occurs - prepayments tend to slow and the weighted average life extends. This is referred to as extension risk which can lead to lower levels of liquidity due to the delay of cash receipts and can result in the holding of a below market yielding asset for a longer period of time. United’s asset-backed securities include securities that are backed by student loans and collateralized loan obligations.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802" w:gutter="0" w:footer="0" w:header="0"/>
        </w:sectPr>
      </w:pPr>
    </w:p>
    <w:bookmarkStart w:id="60" w:name="page61"/>
    <w:bookmarkEnd w:id="60"/>
    <w:p>
      <w:pPr>
        <w:jc w:val="both"/>
        <w:spacing w:after="0" w:line="259" w:lineRule="auto"/>
        <w:rPr>
          <w:sz w:val="20"/>
          <w:szCs w:val="20"/>
          <w:color w:val="auto"/>
        </w:rPr>
      </w:pPr>
      <w:r>
        <w:rPr>
          <w:rFonts w:ascii="Arial" w:cs="Arial" w:eastAsia="Arial" w:hAnsi="Arial"/>
          <w:sz w:val="18"/>
          <w:szCs w:val="18"/>
          <w:color w:val="auto"/>
        </w:rPr>
        <w:t>Management evaluates its securities portfolio each quarter to determine if any security is considered to be other than temporarily impaired. In making this evaluation, management considers its ability and intent to hold securities to recover current market losses. Losses on United’s fixed income securities at June 30, 2014 primarily reflect the effect of changes in interest rates. United did not recognize any other than temporary impairment losses on its investment securities during the second quarter or first six months of 2014 or 2013.</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June 30, 2014, December 31, 2013 and June 30, 2013, 31%, 41% and 39%, respectively, of the securities portfolio was invested in floating-rate securities or fixed-rate securities that were swapped to floating rates in order to manage exposure to rising interest rates.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United’s core deposit intangibles representing the value of United’s acquired deposit base, are amortizing intangible assets that are required to be tested for impairment only when events or circumstances indicate that impairment may exist. There were no events or circumstances that led management to believe that any impairment exists in United’s other intangible assets.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United has initiated several programs to improve core earnings by growing customer transaction deposit accounts and lowering overall pricing on deposit accounts to improve its net interest margin and increase net interest revenue. The programs were successful in increasing core transaction deposit accounts and allowing for the reduction of more costly time deposit balances as United’s funding needs decreased due to lower loan demand. United’s high level of service, as evidenced by its strong customer satisfaction scores, has been instrumental in attracting and retaining deposits.</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customer deposits, excluding brokered deposits, as of June 30, 2014 were $5.74 billion, an increase of $102 million from June 30, 2013. Total core deposits (demand, NOW, money market and savings deposits, excluding public funds deposits) of $3.62 billion increased $303 million, or 9%, from a year ago, due to the success of core deposit programs.</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Total time deposits, excluding brokered deposits, as of June 30, 2014 were $1.36 billion, down $286 million from June 30, 2013. Time deposits less than $100,000 totaled $805 million, a decrease of $177 million, or 18%, from a year ago. Time deposits of $100,000 and greater totaled $554 million as of June 30, 2014, a decrease of $110 million, or 17%, from June 30, 2013. United continued to offer low rates on certificates of deposit, allowing balances to decline as United’s funding needs declined due to weak loan demand and a shift to lower cost transaction account deposits.</w:t>
      </w:r>
    </w:p>
    <w:p>
      <w:pPr>
        <w:spacing w:after="0" w:line="19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Brokered deposits totaled $424 million as of June 30, 2014, an increase of $49.8 million from a year ago. United has actively added long-term deposits to diversify our funding base. These are typically swapped to LIBOR minus a spread, which achieves low cost funding within our interest rate risk parameters.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Funding</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Bank is a shareholder in the Federal Home Loan Bank of Atlanta (“FHLB”). Through this affiliation, FHLB secured advances totaled $175 million, $120 million and $70.1 million, respectively, as of June 30, 2014, December 31, 2013 and June 30, 2013. United anticipates continued use of this short and long-term source of funds. Additional information regarding FHLB advances is provided in Note 12 to the consolidated financial statements included in United’s Annual Report on Form 10-K for the year ended December 31, 2013.</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2014, December 31, 2013 and June 30, 2013, United had $76.3 million, $53.2 million and $54.2 million, respectively, in other short-term borrowings outstanding. Included in the balance at June 30, 2014 was $40 million in balances outstanding on United’s holding company line of credit. United takes advantage of these additional sources of liquidity when rates are favorable compared to other forms of short-term borrowings, such as FHLB advances and brokered deposits.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have not been any material changes to United’s contractual obligations since December 31, 2013.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Management</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absolute level and volatility of interest rates can have a significant effect on United’s profitability. The objective of interest rate risk management is to identify and manage the sensitivity of net interest revenue to changing interest rates, in order to achieve United’s overall financial goals. Based on economic conditions, asset quality and various other considerations, management establishes tolerance ranges for interest rate sensitivity and manages within these ranges.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61" w:name="page62"/>
    <w:bookmarkEnd w:id="61"/>
    <w:p>
      <w:pPr>
        <w:jc w:val="both"/>
        <w:spacing w:after="0" w:line="279" w:lineRule="auto"/>
        <w:rPr>
          <w:sz w:val="20"/>
          <w:szCs w:val="20"/>
          <w:color w:val="auto"/>
        </w:rPr>
      </w:pPr>
      <w:r>
        <w:rPr>
          <w:rFonts w:ascii="Arial" w:cs="Arial" w:eastAsia="Arial" w:hAnsi="Arial"/>
          <w:sz w:val="17"/>
          <w:szCs w:val="17"/>
          <w:color w:val="auto"/>
        </w:rPr>
        <w:t>United’s net interest revenue, and the fair value of its financial instruments, are influenced by changes in the level of interest rates. United limits its exposure to fluctuations in interest rates through policies developed by the Asset/Liability Management Committee (“ALCO”) and approved by the Board of Directors. ALCO meets periodically and has responsibility for formulating and recommending asset/liability management policies to the Board of Directors, formulating and implementing strategies to improve balance sheet positioning and/or earnings, and reviewing United’s interest rate sensitivity.</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One of the tools management uses to estimate and manage the sensitivity of net interest revenue to changes in interest rates is an asset/liability simulation model. Resulting estimates are based upon a number of assumptions for each scenario, including loan and deposit re-pricing characteristics and the rate of prepayments. ALCO periodically reviews the assumptions for accuracy based on historical data and future expectations; however, actual net interest revenue may differ from model results. The primary objective of the simulation model is to measure the potential change in net interest revenue over time using multiple interest rate scenarios. The base scenario assumes rates remain flat and is the scenario to which all others are compared in order to measure the change in net interest revenue. Policy limits are based on immediate rate shock scenarios, as well as gradually rising and falling rate scenarios, which are all compared to the base scenario. Another commonly analyzed scenario is a most-likely scenario that projects the expected change in rates based on the slope of the forward yield curve. Other scenarios analyzed may include delayed rate shocks, yield curve steepening or flattening, or other variations in rate movements. While the primary policy scenarios focus on a twelve month time frame, longer time horizons are also modeled. All policy scenarios assume a static balance sheet.</w:t>
      </w:r>
    </w:p>
    <w:p>
      <w:pPr>
        <w:spacing w:after="0" w:line="20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United’s policy is based on the 12-month impact on net interest revenue of interest rate shocks and ramps that increase or decrease from 100 to 400 basis points from the base scenario. In the shock scenarios, rates immediately change the full amount at the scenario onset. In the ramp scenarios, rates change by 25 basis points per month. United’s policy limits the change in net interest revenue over the first 12 months to a 5% decrease for each 100 basis point change in the increasing and decreasing rate ramp and shock scenarios. Historically low rates on June 30, 2014 and 2013 made use of the down scenarios problematic. The following table presents United’s interest sensitivity position at June 30, 2014 and 2013.</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Table 13 - Interest Sensitivity</w:t>
            </w: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14"/>
        </w:trPr>
        <w:tc>
          <w:tcPr>
            <w:tcW w:w="4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60" w:type="dxa"/>
            <w:vAlign w:val="bottom"/>
            <w:gridSpan w:val="10"/>
          </w:tcPr>
          <w:p>
            <w:pPr>
              <w:jc w:val="center"/>
              <w:spacing w:after="0"/>
              <w:rPr>
                <w:sz w:val="20"/>
                <w:szCs w:val="20"/>
                <w:color w:val="auto"/>
              </w:rPr>
            </w:pPr>
            <w:r>
              <w:rPr>
                <w:rFonts w:ascii="Arial" w:cs="Arial" w:eastAsia="Arial" w:hAnsi="Arial"/>
                <w:sz w:val="18"/>
                <w:szCs w:val="18"/>
                <w:b w:val="1"/>
                <w:bCs w:val="1"/>
                <w:color w:val="auto"/>
                <w:w w:val="89"/>
              </w:rPr>
              <w:t>Increase (Decrease) in Net Interest Revenue from Base Scenario at</w:t>
            </w:r>
          </w:p>
        </w:tc>
      </w:tr>
      <w:tr>
        <w:trPr>
          <w:trHeight w:val="241"/>
        </w:trPr>
        <w:tc>
          <w:tcPr>
            <w:tcW w:w="4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23"/>
        </w:trPr>
        <w:tc>
          <w:tcPr>
            <w:tcW w:w="4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2014</w:t>
            </w: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2013</w:t>
            </w:r>
          </w:p>
        </w:tc>
        <w:tc>
          <w:tcPr>
            <w:tcW w:w="1060" w:type="dxa"/>
            <w:vAlign w:val="bottom"/>
            <w:tcBorders>
              <w:bottom w:val="single" w:sz="8" w:color="auto"/>
            </w:tcBorders>
          </w:tcPr>
          <w:p>
            <w:pPr>
              <w:spacing w:after="0"/>
              <w:rPr>
                <w:sz w:val="19"/>
                <w:szCs w:val="19"/>
                <w:color w:val="auto"/>
              </w:rPr>
            </w:pPr>
          </w:p>
        </w:tc>
      </w:tr>
      <w:tr>
        <w:trPr>
          <w:trHeight w:val="223"/>
        </w:trPr>
        <w:tc>
          <w:tcPr>
            <w:tcW w:w="4720" w:type="dxa"/>
            <w:vAlign w:val="bottom"/>
            <w:tcBorders>
              <w:bottom w:val="single" w:sz="8" w:color="auto"/>
            </w:tcBorders>
          </w:tcPr>
          <w:p>
            <w:pPr>
              <w:ind w:left="1760"/>
              <w:spacing w:after="0"/>
              <w:rPr>
                <w:sz w:val="20"/>
                <w:szCs w:val="20"/>
                <w:color w:val="auto"/>
              </w:rPr>
            </w:pPr>
            <w:r>
              <w:rPr>
                <w:rFonts w:ascii="Arial" w:cs="Arial" w:eastAsia="Arial" w:hAnsi="Arial"/>
                <w:sz w:val="18"/>
                <w:szCs w:val="18"/>
                <w:b w:val="1"/>
                <w:bCs w:val="1"/>
                <w:color w:val="auto"/>
              </w:rPr>
              <w:t>Change in Rates</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Shock</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Ramp</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2"/>
              </w:rPr>
              <w:t>Shock</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Ramp</w:t>
            </w:r>
          </w:p>
        </w:tc>
      </w:tr>
      <w:tr>
        <w:trPr>
          <w:trHeight w:val="216"/>
        </w:trPr>
        <w:tc>
          <w:tcPr>
            <w:tcW w:w="4820" w:type="dxa"/>
            <w:vAlign w:val="bottom"/>
            <w:gridSpan w:val="2"/>
            <w:shd w:val="clear" w:color="auto" w:fill="F0FFFF"/>
          </w:tcPr>
          <w:p>
            <w:pPr>
              <w:ind w:left="40"/>
              <w:spacing w:after="0"/>
              <w:rPr>
                <w:sz w:val="20"/>
                <w:szCs w:val="20"/>
                <w:color w:val="auto"/>
              </w:rPr>
            </w:pPr>
            <w:r>
              <w:rPr>
                <w:rFonts w:ascii="Arial" w:cs="Arial" w:eastAsia="Arial" w:hAnsi="Arial"/>
                <w:sz w:val="18"/>
                <w:szCs w:val="18"/>
                <w:color w:val="auto"/>
              </w:rPr>
              <w:t>200 basis point increase</w:t>
            </w:r>
          </w:p>
        </w:tc>
        <w:tc>
          <w:tcPr>
            <w:tcW w:w="12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F0FFFF"/>
          </w:tcPr>
          <w:p>
            <w:pPr>
              <w:spacing w:after="0"/>
              <w:rPr>
                <w:sz w:val="18"/>
                <w:szCs w:val="18"/>
                <w:color w:val="auto"/>
              </w:rPr>
            </w:pPr>
          </w:p>
        </w:tc>
        <w:tc>
          <w:tcPr>
            <w:tcW w:w="360" w:type="dxa"/>
            <w:vAlign w:val="bottom"/>
            <w:shd w:val="clear" w:color="auto" w:fill="F0FFFF"/>
          </w:tcPr>
          <w:p>
            <w:pPr>
              <w:spacing w:after="0"/>
              <w:rPr>
                <w:sz w:val="18"/>
                <w:szCs w:val="18"/>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25 basis point decrease</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(1.9)</w:t>
            </w:r>
          </w:p>
        </w:tc>
      </w:tr>
    </w:tbl>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Interest rate sensitivity is a function of the re-pricing characteristics of the portfolio of assets and liabilities. These re-pricing characteristics are the time frames within which the interest-earning assets and interest-bearing liabilities are subject to change in interest rates either at replacement, re-pricing or maturity during the life of the instruments. Interest rate sensitivity management focuses on the maturity structure of assets and liabilities and their re-pricing characteristics during periods of changes in market interest rates. Effective interest rate sensitivity management seeks to ensure that both assets and liabilities respond to changes in interest rates on a net basis within an acceptable timeframe, thereby minimizing the effect of interest rate changes on net interest revenue.</w:t>
      </w:r>
    </w:p>
    <w:p>
      <w:pPr>
        <w:spacing w:after="0" w:line="22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United may have some discretion in the extent and timing of deposit re-pricing depending upon the competitive pressures in the markets in which it operates. Changes in the mix of earning assets or supporting liabilities can either increase or decrease the net interest margin without affecting interest rate sensitivity. The interest rate spread between an asset and its supporting liability can vary significantly even when the timing of re-pricing for both the asset and the liability remains the same, due to the two instruments re-pricing according to different indices. This is commonly referred to as basis risk.</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order to manage interest rate sensitivity, United periodically enters into off-balance sheet contracts that are considered derivative financial instruments. Derivative financial instruments can be a cost-effective and capital-effective means of modifying the re-pricing characteristics of on-balance sheet assets and liabilities. These contracts generally consist of interest rate swaps under which United pays a variable rate (or fixed rate, as the case may be) and receives a fixed rate (or variable rate, as the case may be).</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United’s derivative financial instruments that are designated as accounting hedges are classified as either cash flow or fair value hedges. The change in fair value of cash flow hedges is recognized in other comprehensive income. Fair value hedges recognize in earnings both the effect of the change in the fair value of the derivative financial instrument and the offsetting effect of the change in fair value of the hedged asset or liability associated with the particular risk of that asset or liability being hedged. United has other derivative financial instruments that are not designated as accounting hedges but are used for interest rate risk management purposes and as an effective economic hedge. Derivative financial instruments that are not accounted for as an accounting hedge are marked to market through earnings.</w:t>
      </w:r>
    </w:p>
    <w:p>
      <w:pPr>
        <w:spacing w:after="0" w:line="22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to derivative instruments, United uses a variety of balance sheet instruments to manage interest rate risk such as Investment Portfolio holdings, wholesale funding, and bank-issued deposits.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The following table presents United’s outstanding derivative positions at June 30,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14 - Derivative Financial Instruments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gridSpan w:val="6"/>
          </w:tcPr>
          <w:p>
            <w:pPr>
              <w:ind w:left="480"/>
              <w:spacing w:after="0"/>
              <w:rPr>
                <w:sz w:val="20"/>
                <w:szCs w:val="20"/>
                <w:color w:val="auto"/>
              </w:rPr>
            </w:pPr>
            <w:r>
              <w:rPr>
                <w:rFonts w:ascii="Arial" w:cs="Arial" w:eastAsia="Arial" w:hAnsi="Arial"/>
                <w:sz w:val="18"/>
                <w:szCs w:val="18"/>
                <w:b w:val="1"/>
                <w:bCs w:val="1"/>
                <w:color w:val="auto"/>
              </w:rPr>
              <w:t xml:space="preserve">Fair Value </w:t>
            </w:r>
            <w:r>
              <w:rPr>
                <w:rFonts w:ascii="Arial" w:cs="Arial" w:eastAsia="Arial" w:hAnsi="Arial"/>
                <w:sz w:val="25"/>
                <w:szCs w:val="25"/>
                <w:color w:val="auto"/>
                <w:vertAlign w:val="superscript"/>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gridSpan w:val="2"/>
          </w:tcPr>
          <w:p>
            <w:pPr>
              <w:ind w:left="900"/>
              <w:spacing w:after="0"/>
              <w:rPr>
                <w:sz w:val="20"/>
                <w:szCs w:val="20"/>
                <w:color w:val="auto"/>
              </w:rPr>
            </w:pPr>
            <w:r>
              <w:rPr>
                <w:rFonts w:ascii="Arial" w:cs="Arial" w:eastAsia="Arial" w:hAnsi="Arial"/>
                <w:sz w:val="18"/>
                <w:szCs w:val="18"/>
                <w:b w:val="1"/>
                <w:bCs w:val="1"/>
                <w:color w:val="auto"/>
              </w:rPr>
              <w:t>Type of Instrument</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Contracts</w:t>
            </w:r>
          </w:p>
        </w:tc>
        <w:tc>
          <w:tcPr>
            <w:tcW w:w="16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7"/>
              </w:rPr>
              <w:t>Notional</w:t>
            </w:r>
          </w:p>
        </w:tc>
        <w:tc>
          <w:tcPr>
            <w:tcW w:w="2900" w:type="dxa"/>
            <w:vAlign w:val="bottom"/>
          </w:tcPr>
          <w:p>
            <w:pPr>
              <w:ind w:left="1140"/>
              <w:spacing w:after="0"/>
              <w:rPr>
                <w:sz w:val="20"/>
                <w:szCs w:val="20"/>
                <w:color w:val="auto"/>
              </w:rPr>
            </w:pPr>
            <w:r>
              <w:rPr>
                <w:rFonts w:ascii="Arial" w:cs="Arial" w:eastAsia="Arial" w:hAnsi="Arial"/>
                <w:sz w:val="18"/>
                <w:szCs w:val="18"/>
                <w:b w:val="1"/>
                <w:bCs w:val="1"/>
                <w:color w:val="auto"/>
              </w:rPr>
              <w:t>Purpose</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rPr>
              <w:t>Asset</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Liability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7"/>
            <w:shd w:val="clear" w:color="auto" w:fill="F0FFFF"/>
          </w:tcPr>
          <w:p>
            <w:pPr>
              <w:spacing w:after="0"/>
              <w:rPr>
                <w:sz w:val="20"/>
                <w:szCs w:val="20"/>
                <w:color w:val="auto"/>
              </w:rPr>
            </w:pPr>
            <w:r>
              <w:rPr>
                <w:rFonts w:ascii="Arial" w:cs="Arial" w:eastAsia="Arial" w:hAnsi="Arial"/>
                <w:sz w:val="18"/>
                <w:szCs w:val="18"/>
                <w:b w:val="1"/>
                <w:bCs w:val="1"/>
                <w:color w:val="auto"/>
              </w:rPr>
              <w:t>Fair value hedges of fixed rate brokered deposit (accounting hedge)</w:t>
            </w:r>
          </w:p>
        </w:tc>
        <w:tc>
          <w:tcPr>
            <w:tcW w:w="2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ind w:left="220"/>
              <w:spacing w:after="0" w:line="216" w:lineRule="exact"/>
              <w:rPr>
                <w:sz w:val="20"/>
                <w:szCs w:val="20"/>
                <w:color w:val="auto"/>
              </w:rPr>
            </w:pPr>
            <w:r>
              <w:rPr>
                <w:rFonts w:ascii="Arial" w:cs="Arial" w:eastAsia="Arial" w:hAnsi="Arial"/>
                <w:sz w:val="18"/>
                <w:szCs w:val="18"/>
                <w:color w:val="auto"/>
              </w:rPr>
              <w:t xml:space="preserve">Receive fixed cancellable swaps </w:t>
            </w:r>
            <w:r>
              <w:rPr>
                <w:rFonts w:ascii="Arial" w:cs="Arial" w:eastAsia="Arial" w:hAnsi="Arial"/>
                <w:sz w:val="25"/>
                <w:szCs w:val="25"/>
                <w:color w:val="auto"/>
                <w:vertAlign w:val="superscript"/>
              </w:rPr>
              <w:t>(1)</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199,000</w:t>
            </w:r>
          </w:p>
        </w:tc>
        <w:tc>
          <w:tcPr>
            <w:tcW w:w="2900" w:type="dxa"/>
            <w:vAlign w:val="bottom"/>
          </w:tcPr>
          <w:p>
            <w:pPr>
              <w:spacing w:after="0"/>
              <w:rPr>
                <w:sz w:val="20"/>
                <w:szCs w:val="20"/>
                <w:color w:val="auto"/>
              </w:rPr>
            </w:pPr>
            <w:r>
              <w:rPr>
                <w:rFonts w:ascii="Arial" w:cs="Arial" w:eastAsia="Arial" w:hAnsi="Arial"/>
                <w:sz w:val="18"/>
                <w:szCs w:val="18"/>
                <w:color w:val="auto"/>
              </w:rPr>
              <w:t>Low cost funding</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F0FFFF"/>
          </w:tcPr>
          <w:p>
            <w:pPr>
              <w:spacing w:after="0"/>
              <w:rPr>
                <w:sz w:val="20"/>
                <w:szCs w:val="20"/>
                <w:color w:val="auto"/>
              </w:rPr>
            </w:pPr>
            <w:r>
              <w:rPr>
                <w:rFonts w:ascii="Arial" w:cs="Arial" w:eastAsia="Arial" w:hAnsi="Arial"/>
                <w:sz w:val="18"/>
                <w:szCs w:val="18"/>
                <w:b w:val="1"/>
                <w:bCs w:val="1"/>
                <w:color w:val="auto"/>
                <w:w w:val="98"/>
              </w:rPr>
              <w:t>De-designated former cash flow hedges</w:t>
            </w:r>
          </w:p>
        </w:tc>
        <w:tc>
          <w:tcPr>
            <w:tcW w:w="1180" w:type="dxa"/>
            <w:vAlign w:val="bottom"/>
            <w:shd w:val="clear" w:color="auto" w:fill="F0FFFF"/>
          </w:tcPr>
          <w:p>
            <w:pPr>
              <w:spacing w:after="0"/>
              <w:rPr>
                <w:sz w:val="18"/>
                <w:szCs w:val="18"/>
                <w:color w:val="auto"/>
              </w:rPr>
            </w:pPr>
          </w:p>
        </w:tc>
        <w:tc>
          <w:tcPr>
            <w:tcW w:w="100" w:type="dxa"/>
            <w:vAlign w:val="bottom"/>
            <w:tcBorders>
              <w:right w:val="single" w:sz="8" w:color="F0FFFF"/>
            </w:tcBorders>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ind w:left="220"/>
              <w:spacing w:after="0" w:line="216" w:lineRule="exact"/>
              <w:rPr>
                <w:sz w:val="20"/>
                <w:szCs w:val="20"/>
                <w:color w:val="auto"/>
              </w:rPr>
            </w:pPr>
            <w:r>
              <w:rPr>
                <w:rFonts w:ascii="Arial" w:cs="Arial" w:eastAsia="Arial" w:hAnsi="Arial"/>
                <w:sz w:val="18"/>
                <w:szCs w:val="18"/>
                <w:color w:val="auto"/>
              </w:rPr>
              <w:t xml:space="preserve">Pay fixed swaps </w:t>
            </w:r>
            <w:r>
              <w:rPr>
                <w:rFonts w:ascii="Arial" w:cs="Arial" w:eastAsia="Arial" w:hAnsi="Arial"/>
                <w:sz w:val="25"/>
                <w:szCs w:val="25"/>
                <w:color w:val="auto"/>
                <w:vertAlign w:val="superscript"/>
              </w:rPr>
              <w:t>(2)</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300,000</w:t>
            </w:r>
          </w:p>
        </w:tc>
        <w:tc>
          <w:tcPr>
            <w:tcW w:w="2900" w:type="dxa"/>
            <w:vAlign w:val="bottom"/>
          </w:tcPr>
          <w:p>
            <w:pPr>
              <w:spacing w:after="0"/>
              <w:rPr>
                <w:sz w:val="20"/>
                <w:szCs w:val="20"/>
                <w:color w:val="auto"/>
              </w:rPr>
            </w:pPr>
            <w:r>
              <w:rPr>
                <w:rFonts w:ascii="Arial" w:cs="Arial" w:eastAsia="Arial" w:hAnsi="Arial"/>
                <w:sz w:val="18"/>
                <w:szCs w:val="18"/>
                <w:color w:val="auto"/>
              </w:rPr>
              <w:t>De-designated cash flow hedge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5"/>
            <w:shd w:val="clear" w:color="auto" w:fill="F0FFFF"/>
          </w:tcPr>
          <w:p>
            <w:pPr>
              <w:spacing w:after="0"/>
              <w:rPr>
                <w:sz w:val="20"/>
                <w:szCs w:val="20"/>
                <w:color w:val="auto"/>
              </w:rPr>
            </w:pPr>
            <w:r>
              <w:rPr>
                <w:rFonts w:ascii="Arial" w:cs="Arial" w:eastAsia="Arial" w:hAnsi="Arial"/>
                <w:sz w:val="18"/>
                <w:szCs w:val="18"/>
                <w:b w:val="1"/>
                <w:bCs w:val="1"/>
                <w:color w:val="auto"/>
                <w:w w:val="89"/>
              </w:rPr>
              <w:t>Offsetting positions to de-designated former cash flow hedges</w:t>
            </w:r>
          </w:p>
        </w:tc>
        <w:tc>
          <w:tcPr>
            <w:tcW w:w="9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ind w:left="220"/>
              <w:spacing w:after="0" w:line="216" w:lineRule="exact"/>
              <w:rPr>
                <w:sz w:val="20"/>
                <w:szCs w:val="20"/>
                <w:color w:val="auto"/>
              </w:rPr>
            </w:pPr>
            <w:r>
              <w:rPr>
                <w:rFonts w:ascii="Arial" w:cs="Arial" w:eastAsia="Arial" w:hAnsi="Arial"/>
                <w:sz w:val="18"/>
                <w:szCs w:val="18"/>
                <w:color w:val="auto"/>
              </w:rPr>
              <w:t xml:space="preserve">Receive fixed swaps </w:t>
            </w:r>
            <w:r>
              <w:rPr>
                <w:rFonts w:ascii="Arial" w:cs="Arial" w:eastAsia="Arial" w:hAnsi="Arial"/>
                <w:sz w:val="25"/>
                <w:szCs w:val="25"/>
                <w:color w:val="auto"/>
                <w:vertAlign w:val="superscript"/>
              </w:rPr>
              <w:t>(2)</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300,000</w:t>
            </w:r>
          </w:p>
        </w:tc>
        <w:tc>
          <w:tcPr>
            <w:tcW w:w="2900" w:type="dxa"/>
            <w:vAlign w:val="bottom"/>
          </w:tcPr>
          <w:p>
            <w:pPr>
              <w:spacing w:after="0"/>
              <w:rPr>
                <w:sz w:val="20"/>
                <w:szCs w:val="20"/>
                <w:color w:val="auto"/>
              </w:rPr>
            </w:pPr>
            <w:r>
              <w:rPr>
                <w:rFonts w:ascii="Arial" w:cs="Arial" w:eastAsia="Arial" w:hAnsi="Arial"/>
                <w:sz w:val="18"/>
                <w:szCs w:val="18"/>
                <w:color w:val="auto"/>
                <w:w w:val="89"/>
              </w:rPr>
              <w:t>Offset to de-designated cash flow hedge</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gridSpan w:val="8"/>
            <w:shd w:val="clear" w:color="auto" w:fill="F0FFFF"/>
          </w:tcPr>
          <w:p>
            <w:pPr>
              <w:spacing w:after="0"/>
              <w:rPr>
                <w:sz w:val="20"/>
                <w:szCs w:val="20"/>
                <w:color w:val="auto"/>
              </w:rPr>
            </w:pPr>
            <w:r>
              <w:rPr>
                <w:rFonts w:ascii="Arial" w:cs="Arial" w:eastAsia="Arial" w:hAnsi="Arial"/>
                <w:sz w:val="18"/>
                <w:szCs w:val="18"/>
                <w:b w:val="1"/>
                <w:bCs w:val="1"/>
                <w:color w:val="auto"/>
              </w:rPr>
              <w:t>Cash flow hedges of LIBOR indexed money market deposits (accounting hedge)</w:t>
            </w: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ind w:left="220"/>
              <w:spacing w:after="0" w:line="216" w:lineRule="exact"/>
              <w:rPr>
                <w:sz w:val="20"/>
                <w:szCs w:val="20"/>
                <w:color w:val="auto"/>
              </w:rPr>
            </w:pPr>
            <w:r>
              <w:rPr>
                <w:rFonts w:ascii="Arial" w:cs="Arial" w:eastAsia="Arial" w:hAnsi="Arial"/>
                <w:sz w:val="18"/>
                <w:szCs w:val="18"/>
                <w:color w:val="auto"/>
              </w:rPr>
              <w:t xml:space="preserve">Pay fixed swaps </w:t>
            </w:r>
            <w:r>
              <w:rPr>
                <w:rFonts w:ascii="Arial" w:cs="Arial" w:eastAsia="Arial" w:hAnsi="Arial"/>
                <w:sz w:val="25"/>
                <w:szCs w:val="25"/>
                <w:color w:val="auto"/>
                <w:vertAlign w:val="superscript"/>
              </w:rPr>
              <w:t>(3)</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275,000</w:t>
            </w:r>
          </w:p>
        </w:tc>
        <w:tc>
          <w:tcPr>
            <w:tcW w:w="2900" w:type="dxa"/>
            <w:vAlign w:val="bottom"/>
          </w:tcPr>
          <w:p>
            <w:pPr>
              <w:spacing w:after="0"/>
              <w:rPr>
                <w:sz w:val="20"/>
                <w:szCs w:val="20"/>
                <w:color w:val="auto"/>
              </w:rPr>
            </w:pPr>
            <w:r>
              <w:rPr>
                <w:rFonts w:ascii="Arial" w:cs="Arial" w:eastAsia="Arial" w:hAnsi="Arial"/>
                <w:sz w:val="18"/>
                <w:szCs w:val="18"/>
                <w:color w:val="auto"/>
              </w:rPr>
              <w:t>Protection from rising interest rates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F0FFFF"/>
          </w:tcPr>
          <w:p>
            <w:pPr>
              <w:spacing w:after="0"/>
              <w:rPr>
                <w:sz w:val="20"/>
                <w:szCs w:val="20"/>
                <w:color w:val="auto"/>
              </w:rPr>
            </w:pPr>
            <w:r>
              <w:rPr>
                <w:rFonts w:ascii="Arial" w:cs="Arial" w:eastAsia="Arial" w:hAnsi="Arial"/>
                <w:sz w:val="18"/>
                <w:szCs w:val="18"/>
                <w:b w:val="1"/>
                <w:bCs w:val="1"/>
                <w:color w:val="auto"/>
              </w:rPr>
              <w:t>Customer swap positions</w:t>
            </w:r>
          </w:p>
        </w:tc>
        <w:tc>
          <w:tcPr>
            <w:tcW w:w="1180" w:type="dxa"/>
            <w:vAlign w:val="bottom"/>
            <w:shd w:val="clear" w:color="auto" w:fill="F0FFFF"/>
          </w:tcPr>
          <w:p>
            <w:pPr>
              <w:spacing w:after="0"/>
              <w:rPr>
                <w:sz w:val="18"/>
                <w:szCs w:val="18"/>
                <w:color w:val="auto"/>
              </w:rPr>
            </w:pPr>
          </w:p>
        </w:tc>
        <w:tc>
          <w:tcPr>
            <w:tcW w:w="100" w:type="dxa"/>
            <w:vAlign w:val="bottom"/>
            <w:tcBorders>
              <w:right w:val="single" w:sz="8" w:color="F0FFFF"/>
            </w:tcBorders>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ind w:left="220"/>
              <w:spacing w:after="0" w:line="216" w:lineRule="exact"/>
              <w:rPr>
                <w:sz w:val="20"/>
                <w:szCs w:val="20"/>
                <w:color w:val="auto"/>
              </w:rPr>
            </w:pPr>
            <w:r>
              <w:rPr>
                <w:rFonts w:ascii="Arial" w:cs="Arial" w:eastAsia="Arial" w:hAnsi="Arial"/>
                <w:sz w:val="18"/>
                <w:szCs w:val="18"/>
                <w:color w:val="auto"/>
              </w:rPr>
              <w:t xml:space="preserve">Receive fixed swaps </w:t>
            </w:r>
            <w:r>
              <w:rPr>
                <w:rFonts w:ascii="Arial" w:cs="Arial" w:eastAsia="Arial" w:hAnsi="Arial"/>
                <w:sz w:val="25"/>
                <w:szCs w:val="25"/>
                <w:color w:val="auto"/>
                <w:vertAlign w:val="superscript"/>
              </w:rPr>
              <w:t>(4)</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164,602</w:t>
            </w:r>
          </w:p>
        </w:tc>
        <w:tc>
          <w:tcPr>
            <w:tcW w:w="2900" w:type="dxa"/>
            <w:vAlign w:val="bottom"/>
          </w:tcPr>
          <w:p>
            <w:pPr>
              <w:spacing w:after="0"/>
              <w:rPr>
                <w:sz w:val="20"/>
                <w:szCs w:val="20"/>
                <w:color w:val="auto"/>
              </w:rPr>
            </w:pPr>
            <w:r>
              <w:rPr>
                <w:rFonts w:ascii="Arial" w:cs="Arial" w:eastAsia="Arial" w:hAnsi="Arial"/>
                <w:sz w:val="18"/>
                <w:szCs w:val="18"/>
                <w:color w:val="auto"/>
                <w:w w:val="97"/>
              </w:rPr>
              <w:t>Provide customer with fixed rate loan</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F0FFFF"/>
          </w:tcPr>
          <w:p>
            <w:pPr>
              <w:spacing w:after="0"/>
              <w:rPr>
                <w:sz w:val="20"/>
                <w:szCs w:val="20"/>
                <w:color w:val="auto"/>
              </w:rPr>
            </w:pPr>
            <w:r>
              <w:rPr>
                <w:rFonts w:ascii="Arial" w:cs="Arial" w:eastAsia="Arial" w:hAnsi="Arial"/>
                <w:sz w:val="18"/>
                <w:szCs w:val="18"/>
                <w:b w:val="1"/>
                <w:bCs w:val="1"/>
                <w:color w:val="auto"/>
                <w:w w:val="95"/>
              </w:rPr>
              <w:t>Dealer offset to customer swap positions</w:t>
            </w:r>
          </w:p>
        </w:tc>
        <w:tc>
          <w:tcPr>
            <w:tcW w:w="1180" w:type="dxa"/>
            <w:vAlign w:val="bottom"/>
            <w:shd w:val="clear" w:color="auto" w:fill="F0FFFF"/>
          </w:tcPr>
          <w:p>
            <w:pPr>
              <w:spacing w:after="0"/>
              <w:rPr>
                <w:sz w:val="18"/>
                <w:szCs w:val="18"/>
                <w:color w:val="auto"/>
              </w:rPr>
            </w:pPr>
          </w:p>
        </w:tc>
        <w:tc>
          <w:tcPr>
            <w:tcW w:w="100" w:type="dxa"/>
            <w:vAlign w:val="bottom"/>
            <w:tcBorders>
              <w:right w:val="single" w:sz="8" w:color="F0FFFF"/>
            </w:tcBorders>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ind w:left="220"/>
              <w:spacing w:after="0" w:line="216" w:lineRule="exact"/>
              <w:rPr>
                <w:sz w:val="20"/>
                <w:szCs w:val="20"/>
                <w:color w:val="auto"/>
              </w:rPr>
            </w:pPr>
            <w:r>
              <w:rPr>
                <w:rFonts w:ascii="Arial" w:cs="Arial" w:eastAsia="Arial" w:hAnsi="Arial"/>
                <w:sz w:val="18"/>
                <w:szCs w:val="18"/>
                <w:color w:val="auto"/>
              </w:rPr>
              <w:t xml:space="preserve">Pay fixed swaps </w:t>
            </w:r>
            <w:r>
              <w:rPr>
                <w:rFonts w:ascii="Arial" w:cs="Arial" w:eastAsia="Arial" w:hAnsi="Arial"/>
                <w:sz w:val="25"/>
                <w:szCs w:val="25"/>
                <w:color w:val="auto"/>
                <w:vertAlign w:val="superscript"/>
              </w:rPr>
              <w:t>(4)</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164,602</w:t>
            </w:r>
          </w:p>
        </w:tc>
        <w:tc>
          <w:tcPr>
            <w:tcW w:w="2900" w:type="dxa"/>
            <w:vAlign w:val="bottom"/>
          </w:tcPr>
          <w:p>
            <w:pPr>
              <w:spacing w:after="0"/>
              <w:rPr>
                <w:sz w:val="20"/>
                <w:szCs w:val="20"/>
                <w:color w:val="auto"/>
              </w:rPr>
            </w:pPr>
            <w:r>
              <w:rPr>
                <w:rFonts w:ascii="Arial" w:cs="Arial" w:eastAsia="Arial" w:hAnsi="Arial"/>
                <w:sz w:val="18"/>
                <w:szCs w:val="18"/>
                <w:color w:val="auto"/>
              </w:rPr>
              <w:t>Protection from rising interest rates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Borders>
              <w:right w:val="single" w:sz="8" w:color="F0FFFF"/>
            </w:tcBorders>
            <w:gridSpan w:val="4"/>
            <w:shd w:val="clear" w:color="auto" w:fill="F0FFFF"/>
          </w:tcPr>
          <w:p>
            <w:pPr>
              <w:spacing w:after="0"/>
              <w:rPr>
                <w:sz w:val="20"/>
                <w:szCs w:val="20"/>
                <w:color w:val="auto"/>
              </w:rPr>
            </w:pPr>
            <w:r>
              <w:rPr>
                <w:rFonts w:ascii="Arial" w:cs="Arial" w:eastAsia="Arial" w:hAnsi="Arial"/>
                <w:sz w:val="18"/>
                <w:szCs w:val="18"/>
                <w:b w:val="1"/>
                <w:bCs w:val="1"/>
                <w:color w:val="auto"/>
                <w:w w:val="89"/>
              </w:rPr>
              <w:t>Bifurcated derivatives embedded in hybrid host instruments</w:t>
            </w:r>
          </w:p>
        </w:tc>
        <w:tc>
          <w:tcPr>
            <w:tcW w:w="16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ind w:left="220"/>
              <w:spacing w:after="0" w:line="216" w:lineRule="exact"/>
              <w:rPr>
                <w:sz w:val="20"/>
                <w:szCs w:val="20"/>
                <w:color w:val="auto"/>
              </w:rPr>
            </w:pPr>
            <w:r>
              <w:rPr>
                <w:rFonts w:ascii="Arial" w:cs="Arial" w:eastAsia="Arial" w:hAnsi="Arial"/>
                <w:sz w:val="18"/>
                <w:szCs w:val="18"/>
                <w:color w:val="auto"/>
                <w:w w:val="98"/>
              </w:rPr>
              <w:t xml:space="preserve">Pay steepener rate cancellable swap </w:t>
            </w:r>
            <w:r>
              <w:rPr>
                <w:rFonts w:ascii="Arial" w:cs="Arial" w:eastAsia="Arial" w:hAnsi="Arial"/>
                <w:sz w:val="25"/>
                <w:szCs w:val="25"/>
                <w:color w:val="auto"/>
                <w:w w:val="98"/>
                <w:vertAlign w:val="superscript"/>
              </w:rPr>
              <w:t>(5)</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99,000</w:t>
            </w:r>
          </w:p>
        </w:tc>
        <w:tc>
          <w:tcPr>
            <w:tcW w:w="2900" w:type="dxa"/>
            <w:vAlign w:val="bottom"/>
          </w:tcPr>
          <w:p>
            <w:pPr>
              <w:spacing w:after="0"/>
              <w:rPr>
                <w:sz w:val="20"/>
                <w:szCs w:val="20"/>
                <w:color w:val="auto"/>
              </w:rPr>
            </w:pPr>
            <w:r>
              <w:rPr>
                <w:rFonts w:ascii="Arial" w:cs="Arial" w:eastAsia="Arial" w:hAnsi="Arial"/>
                <w:sz w:val="18"/>
                <w:szCs w:val="18"/>
                <w:color w:val="auto"/>
              </w:rPr>
              <w:t>Low cost funding</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12,369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Borders>
              <w:right w:val="single" w:sz="8" w:color="F0FFFF"/>
            </w:tcBorders>
            <w:gridSpan w:val="4"/>
            <w:shd w:val="clear" w:color="auto" w:fill="F0FFFF"/>
          </w:tcPr>
          <w:p>
            <w:pPr>
              <w:spacing w:after="0"/>
              <w:rPr>
                <w:sz w:val="20"/>
                <w:szCs w:val="20"/>
                <w:color w:val="auto"/>
              </w:rPr>
            </w:pPr>
            <w:r>
              <w:rPr>
                <w:rFonts w:ascii="Arial" w:cs="Arial" w:eastAsia="Arial" w:hAnsi="Arial"/>
                <w:sz w:val="18"/>
                <w:szCs w:val="18"/>
                <w:b w:val="1"/>
                <w:bCs w:val="1"/>
                <w:color w:val="auto"/>
                <w:w w:val="94"/>
              </w:rPr>
              <w:t>Interest rate swaps not designated as accounting hedges</w:t>
            </w:r>
          </w:p>
        </w:tc>
        <w:tc>
          <w:tcPr>
            <w:tcW w:w="16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90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ind w:left="220"/>
              <w:spacing w:after="0" w:line="216" w:lineRule="exact"/>
              <w:rPr>
                <w:sz w:val="20"/>
                <w:szCs w:val="20"/>
                <w:color w:val="auto"/>
              </w:rPr>
            </w:pPr>
            <w:r>
              <w:rPr>
                <w:rFonts w:ascii="Arial" w:cs="Arial" w:eastAsia="Arial" w:hAnsi="Arial"/>
                <w:sz w:val="18"/>
                <w:szCs w:val="18"/>
                <w:color w:val="auto"/>
                <w:w w:val="88"/>
              </w:rPr>
              <w:t xml:space="preserve">Receive steepener rate cancellable swap </w:t>
            </w:r>
            <w:r>
              <w:rPr>
                <w:rFonts w:ascii="Arial" w:cs="Arial" w:eastAsia="Arial" w:hAnsi="Arial"/>
                <w:sz w:val="25"/>
                <w:szCs w:val="25"/>
                <w:color w:val="auto"/>
                <w:w w:val="88"/>
                <w:vertAlign w:val="superscript"/>
              </w:rPr>
              <w:t>(5)</w:t>
            </w:r>
          </w:p>
        </w:tc>
        <w:tc>
          <w:tcPr>
            <w:tcW w:w="1180" w:type="dxa"/>
            <w:vAlign w:val="bottom"/>
          </w:tcPr>
          <w:p>
            <w:pPr>
              <w:jc w:val="right"/>
              <w:ind w:right="3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99,000</w:t>
            </w:r>
          </w:p>
        </w:tc>
        <w:tc>
          <w:tcPr>
            <w:tcW w:w="2900" w:type="dxa"/>
            <w:vAlign w:val="bottom"/>
          </w:tcPr>
          <w:p>
            <w:pPr>
              <w:spacing w:after="0"/>
              <w:rPr>
                <w:sz w:val="20"/>
                <w:szCs w:val="20"/>
                <w:color w:val="auto"/>
              </w:rPr>
            </w:pPr>
            <w:r>
              <w:rPr>
                <w:rFonts w:ascii="Arial" w:cs="Arial" w:eastAsia="Arial" w:hAnsi="Arial"/>
                <w:sz w:val="18"/>
                <w:szCs w:val="18"/>
                <w:color w:val="auto"/>
              </w:rPr>
              <w:t>Low cost funding</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17,599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0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1180" w:type="dxa"/>
            <w:vAlign w:val="bottom"/>
            <w:shd w:val="clear" w:color="auto" w:fill="F0FFFF"/>
          </w:tcPr>
          <w:p>
            <w:pPr>
              <w:spacing w:after="0"/>
              <w:rPr>
                <w:sz w:val="20"/>
                <w:szCs w:val="20"/>
                <w:color w:val="auto"/>
              </w:rPr>
            </w:pPr>
          </w:p>
        </w:tc>
        <w:tc>
          <w:tcPr>
            <w:tcW w:w="100" w:type="dxa"/>
            <w:vAlign w:val="bottom"/>
            <w:tcBorders>
              <w:right w:val="single" w:sz="8" w:color="F0FFFF"/>
            </w:tcBorders>
            <w:shd w:val="clear" w:color="auto" w:fill="F0FFFF"/>
          </w:tcPr>
          <w:p>
            <w:pPr>
              <w:spacing w:after="0"/>
              <w:rPr>
                <w:sz w:val="20"/>
                <w:szCs w:val="20"/>
                <w:color w:val="auto"/>
              </w:rPr>
            </w:pPr>
          </w:p>
        </w:tc>
        <w:tc>
          <w:tcPr>
            <w:tcW w:w="16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1,601,204</w:t>
            </w:r>
          </w:p>
        </w:tc>
        <w:tc>
          <w:tcPr>
            <w:tcW w:w="120" w:type="dxa"/>
            <w:vAlign w:val="bottom"/>
            <w:shd w:val="clear" w:color="auto" w:fill="F0FFFF"/>
          </w:tcPr>
          <w:p>
            <w:pPr>
              <w:spacing w:after="0"/>
              <w:rPr>
                <w:sz w:val="20"/>
                <w:szCs w:val="20"/>
                <w:color w:val="auto"/>
              </w:rPr>
            </w:pPr>
          </w:p>
        </w:tc>
        <w:tc>
          <w:tcPr>
            <w:tcW w:w="290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22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22,024</w:t>
            </w:r>
          </w:p>
        </w:tc>
        <w:tc>
          <w:tcPr>
            <w:tcW w:w="26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36,545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118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290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firstLine="8"/>
        <w:spacing w:after="0" w:line="268" w:lineRule="auto"/>
        <w:tabs>
          <w:tab w:leader="none" w:pos="192"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United uses these swaps as part of a program to provide a low cost non-collateralized source of funds. The swaps hedge fixed rate brokered deposits with step up rates that increase over time that are mirrored in the receive rate of the swaps. The variable pay rates on these swaps are based on three-month LIBOR at spreads of minus 20 to minus 65 basis points. The counterparties have the right to call the instruments at any time generally after six months to one year following inception. United has a similar option in the hedged brokered deposit.</w:t>
      </w:r>
    </w:p>
    <w:p>
      <w:pPr>
        <w:spacing w:after="0" w:line="181" w:lineRule="exact"/>
        <w:rPr>
          <w:rFonts w:ascii="Arial" w:cs="Arial" w:eastAsia="Arial" w:hAnsi="Arial"/>
          <w:sz w:val="22"/>
          <w:szCs w:val="22"/>
          <w:color w:val="auto"/>
          <w:vertAlign w:val="superscript"/>
        </w:rPr>
      </w:pPr>
    </w:p>
    <w:p>
      <w:pPr>
        <w:ind w:right="60" w:firstLine="8"/>
        <w:spacing w:after="0" w:line="268" w:lineRule="auto"/>
        <w:tabs>
          <w:tab w:leader="none" w:pos="192"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These swaps are forward starting and became effective in the first and second quarters of 2014. They were originally entered into to convert three month LIBOR-based floating rate borrowings and one month LIBOR-based money market deposits to fixed rates for a three-year term in order to provide protection from rising short-term interest rates. In the second quarter of 2014, United determined that the interest rate protection was no longer needed and de-designated these swaps as hedges and entered into mirror image offsetting positions to effectively terminate the hedging relationship.</w:t>
      </w:r>
    </w:p>
    <w:p>
      <w:pPr>
        <w:spacing w:after="0" w:line="181" w:lineRule="exact"/>
        <w:rPr>
          <w:rFonts w:ascii="Arial" w:cs="Arial" w:eastAsia="Arial" w:hAnsi="Arial"/>
          <w:sz w:val="22"/>
          <w:szCs w:val="22"/>
          <w:color w:val="auto"/>
          <w:vertAlign w:val="superscript"/>
        </w:rPr>
      </w:pPr>
    </w:p>
    <w:p>
      <w:pPr>
        <w:ind w:right="100" w:firstLine="8"/>
        <w:spacing w:after="0" w:line="252" w:lineRule="auto"/>
        <w:tabs>
          <w:tab w:leader="none" w:pos="192"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These swaps are forward starting and become effective in the third quarter of 2014 and the second quarter of 2015. They convert one month LIBOR-based money market deposits to fixed rates for terms of three to eight years. They are used for protection against rising interest rates.</w:t>
      </w:r>
    </w:p>
    <w:p>
      <w:pPr>
        <w:spacing w:after="0" w:line="189" w:lineRule="exact"/>
        <w:rPr>
          <w:rFonts w:ascii="Arial" w:cs="Arial" w:eastAsia="Arial" w:hAnsi="Arial"/>
          <w:sz w:val="22"/>
          <w:szCs w:val="22"/>
          <w:color w:val="auto"/>
          <w:vertAlign w:val="superscript"/>
        </w:rPr>
      </w:pPr>
    </w:p>
    <w:p>
      <w:pPr>
        <w:ind w:right="200" w:firstLine="8"/>
        <w:spacing w:after="0" w:line="262" w:lineRule="auto"/>
        <w:tabs>
          <w:tab w:leader="none" w:pos="192"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United offers interest rate swaps to customers seeking fixed rate loans under a back to back swap program. United enters into offsetting swap positions with qualified dealers simultaneously with the customer swap. Customer swaps and the offsetting dealer swap positions are marked to market through other fee revenue.</w:t>
      </w:r>
    </w:p>
    <w:p>
      <w:pPr>
        <w:spacing w:after="0" w:line="186" w:lineRule="exact"/>
        <w:rPr>
          <w:rFonts w:ascii="Arial" w:cs="Arial" w:eastAsia="Arial" w:hAnsi="Arial"/>
          <w:sz w:val="22"/>
          <w:szCs w:val="22"/>
          <w:color w:val="auto"/>
          <w:vertAlign w:val="superscript"/>
        </w:rPr>
      </w:pPr>
    </w:p>
    <w:p>
      <w:pPr>
        <w:ind w:right="60" w:firstLine="8"/>
        <w:spacing w:after="0" w:line="273" w:lineRule="auto"/>
        <w:tabs>
          <w:tab w:leader="none" w:pos="192"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United offers market linked certificates of deposit through broker dealers. The rate paid on these hybrid instruments is based on a formula derived from the spread betweeen the long and short ends of the constant maturity swap (“CMS”) rate curve. This type of instrument is referred to as a steepener since it derives its value from the slope of the CMS curve. United has determined that these hybrid instruments contain an embedded swap contract which has been bifurcated from the host contract. United enters into a swap with a swap dealer simultaneously where the receive rate on the swap mirrors the pay rate on the brokered deposit. The bifurcated derivative and the stand alone swap are both marked to market through other fee revenue. Although these instruments are not treated as an accounting hedge, the swap acts as an effective economic hedge of the steepener index in the brokered deposit.</w:t>
      </w:r>
    </w:p>
    <w:p>
      <w:pPr>
        <w:spacing w:after="0" w:line="144" w:lineRule="exact"/>
        <w:rPr>
          <w:rFonts w:ascii="Arial" w:cs="Arial" w:eastAsia="Arial" w:hAnsi="Arial"/>
          <w:sz w:val="22"/>
          <w:szCs w:val="22"/>
          <w:color w:val="auto"/>
          <w:vertAlign w:val="superscript"/>
        </w:rPr>
      </w:pPr>
    </w:p>
    <w:p>
      <w:pPr>
        <w:ind w:left="200" w:hanging="192"/>
        <w:spacing w:after="0"/>
        <w:tabs>
          <w:tab w:leader="none" w:pos="200" w:val="left"/>
        </w:tabs>
        <w:numPr>
          <w:ilvl w:val="0"/>
          <w:numId w:val="8"/>
        </w:numPr>
        <w:rPr>
          <w:rFonts w:ascii="Arial" w:cs="Arial" w:eastAsia="Arial" w:hAnsi="Arial"/>
          <w:sz w:val="23"/>
          <w:szCs w:val="23"/>
          <w:color w:val="auto"/>
          <w:vertAlign w:val="superscript"/>
        </w:rPr>
      </w:pPr>
      <w:r>
        <w:rPr>
          <w:rFonts w:ascii="Arial" w:cs="Arial" w:eastAsia="Arial" w:hAnsi="Arial"/>
          <w:sz w:val="17"/>
          <w:szCs w:val="17"/>
          <w:color w:val="auto"/>
        </w:rPr>
        <w:t>Market values presented here do not include accrued interest.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United will terminate swap or floor positions when conditions change and the position is no longer necessary to manage United’s overall sensitivity to changes in interest rates. In those situations where the terminated contract was in an effective hedging relationship at the time of termination and the hedging relationship is expected to remain effective throughout the original term of the contract, the resulting gain or loss is amortized over the remaining life of the original contract. For swap contracts, the gain or loss is amortized over the remaining original contract term using the straight line method of amortization. In addition, United’s forward starting active cash flow hedges of floating rate liabilities have become or will begin to become effective over the next twelve months. United expects that $3.34 million will be reclassified as an increase to deposit interest expense over the next twelve months related to these cash flow hedges.</w:t>
      </w:r>
    </w:p>
    <w:p>
      <w:pPr>
        <w:spacing w:after="0" w:line="2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fourth quarter of 2013, United reclassified hedge ineffectiveness gains and losses from other fee revenue to net interest revenue. This reclassification has been reflected in all prior period results.</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United’s policy requires all non-customer facing derivative financial instruments be used only for asset/liability management through the hedging of specific transactions or positions, and not for trading or speculative purposes. Management believes that the risk associated with using derivative financial instruments to mitigate interest rate risk sensitivity is minimal and should not have any material effect on our financial condition or results of operations. In order to mitigate potential credit risk, from time to time United may require the counterparties to derivative contracts to pledge securities as collateral to cover the net exposure.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Liquidity Management</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objective of liquidity management is to ensure that sufficient funding is available, at a reasonable cost, to meet the ongoing operational cash needs and to take advantage of revenue producing opportunities as they arise. While the desired level of liquidity will vary depending upon a variety of factors, it is the primary goal of United to maintain a sufficient level of liquidity in all expected economic environments. To assist in determining the adequacy of its liquidity, United performs a variety of liquidity stress tests including idiosyncratic, systematic and combined scenarios for both moderate and severe events. Liquidity is defined as the ability to convert assets into cash or cash equivalents without significant loss and to raise additional funds by increasing liabilities. Liquidity management involves maintaining United’s ability to meet the daily cash flow requirements of the Bank’s customers, both depositors and borrowers. United maintains an unencumbered liquid asset reserve to ensure its ability to meet its obligations. The size of the reserve is determined through severe liquidity stress testing and covers a 30 day period.</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because United is a separate entity and apart from the Bank, it must provide for its own liquidity. United is responsible for the payment of dividends declared for its common and preferred shareholders, and interest and principal on any outstanding debt or trust preferred securities. United currently has internal capital resources to meet these obligations. Substantially all of United’s liquidity is obtained from subsidiary service fees and dividends from the Bank, which are limited by applicable law. In recent years, when the bank was unable to pay dividends to United, liquidity was obtained from external sources (debt and equity issuances) to meet its needs. United has committed in its Risk Appetite Statement to maintaining a cash reserve to cover a minimum of 18 months of cash operating needs at the holding company.</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Two key objectives of asset/liability management are to provide for adequate liquidity in order to meet the needs of customers and to maintain an appropriate balance between interest-sensitive assets and interest-sensitive liabilities to optimize net interest revenue. Daily monitoring of the sources and uses of funds is necessary to maintain a position that meets both requirements.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asset portion of the balance sheet provides liquidity primarily through loan principal repayments and the maturities and sales of securities, as well as the ability to use these as collateral for borrowings on a secured basis. We also maintain excess funds in short-term interest-bearing assets that provide additional liquidity. Mortgage loans held for sale totaled $14.9 million at June 30, 2014, and typically turn over every 45 days as the closed loans are sold to investors in the secondary market.</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liability section of the balance sheet provides liquidity through interest-bearing and noninterest-bearing deposit accounts. Federal funds purchased, Federal Reserve short-term borrowings, FHLB advances and securities sold under agreements to repurchase are additional sources of liquidity and represent United’s incremental borrowing capacity. These sources of liquidity are generally short-term in nature and are used as necessary to fund asset growth and meet other short-term liquidity needs.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June 30, 2014, United had cash and cash equivalent balances of $240 million and had sufficient qualifying collateral to increase FHLB advances by $921 million and Federal Reserve discount window capacity of $682 million. United also has the ability to raise substantial funds through brokered deposits. In addition to these wholesale sources, United has the ability to attract retail deposits by competing more aggressively on pricing.</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disclosed in United’s consolidated statement of cash flows, net cash provided by operating activities was $39.9 million for the six months ended June 30, 2014. The net income of $31.8 million for the six month period included the deferred income tax expense of $18.7 million, and non-cash expenses for the following: provision for loan losses of $4.70 million, depreciation, amortization and accretion of $9.97 million and stock-based compensation expense of $2.23 million. These sources of cash from operating activities were offset by the following uses of cash: increase in other assets of $2.57 million, increase in mortgage loans held for sale of $4.60 million and a decrease in accrued expenses and other liabilities of $19.7 million. Net cash provided by investing activities of $47.7 million consisted primarily of proceeds from sales, maturities and calls of securities of $533 million, proceeds from sales of foreclosed properties of $5.87 million and proceeds from notes sales of $4.56 million, partially offset by a $55.2 million increase in loans, purchases of investment securities totaling $412 million, and $31.2 million paid for the acquisition of Business Carolina Inc. Net cash used in financing activities of $76.5 million consisted primarily of $122 million in payments to redeem preferred stock, $1.80 million in dividends to common shareholders and a $38.0 million decrease in deposits. This was partially offset by a $55.0 million increase in FHLB advances, an $18.6 million increase in short-term borrowings, and $12.2 million from the issuance of common stock. In the opinion of management, United’s liquidity position at June 30, 2014, was sufficient to meet its expected cash flow requirements.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 and Dividends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Shareholders’ equity at June 30, 2014 was $722 million, a decrease of $73.7 million from December 31, 2013 due to United’s redemption of preferred stock outstanding. Accumulated other comprehensive loss, which includes unrealized gains and losses on securities available-for-sale, the unrealized gains and losses on derivatives qualifying as cash flow hedges and unamortized prior service cost and actuarial gains and losses on United’s modified retirement plan, is excluded in the calculation of regulatory capital adequacy ratios. Excluding the change in the accumulated other comprehensive income, shareholders’ equity decreased $77.6 million from December 31, 2013.</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64" w:name="page65"/>
    <w:bookmarkEnd w:id="64"/>
    <w:p>
      <w:pPr>
        <w:jc w:val="both"/>
        <w:spacing w:after="0" w:line="259" w:lineRule="auto"/>
        <w:rPr>
          <w:sz w:val="20"/>
          <w:szCs w:val="20"/>
          <w:color w:val="auto"/>
        </w:rPr>
      </w:pPr>
      <w:r>
        <w:rPr>
          <w:rFonts w:ascii="Arial" w:cs="Arial" w:eastAsia="Arial" w:hAnsi="Arial"/>
          <w:sz w:val="18"/>
          <w:szCs w:val="18"/>
          <w:color w:val="auto"/>
        </w:rPr>
        <w:t>As of June 30, 2014, United no longer had any preferred stock outstanding. On December 27, 2013, United redeemed $75 million of its $180 million in outstanding Series B Preferred Stock at par. The remaining $105 million of United’s Series B Preferred Stock was redeemed at par on January 10, 2014. United funded both redemptions by utilizing cash on hand, cash dividends from the Bank and short-term debt. On March 3, 2014, United redeemed all of its outstanding $16.6 million in Series D Preferred Stock at par.</w:t>
      </w:r>
    </w:p>
    <w:p>
      <w:pPr>
        <w:spacing w:after="0" w:line="21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2010, United granted a warrant to Fletcher to purchase common stock equivalent junior preferred stock that would be convertible into 1,411,765 common shares, exercisable at a price equivalent to $21.25 per share (the “Warrant”). United has received purported partial warrant exercise notices from Fletcher with respect to the Warrant that include incorrect calculations of the number of settlement shares Fletcher would receive upon exercise. On June 17, 2011, United completed a reclassification of its common stock in the form of 1-for-5 reverse stock split, or recombination. United believes that any current exercise of the Warrant would not result in the issuance of any settlement shares because the Warrant may only be exercised for net shares via a cashless exercise formula, and the reverse stock split-adjusted market price component of that formula does not exceed the exercise price to yield any net shares. United responded to Fletcher with United’s calculations related to the Warrant.</w:t>
      </w:r>
    </w:p>
    <w:p>
      <w:pPr>
        <w:spacing w:after="0" w:line="20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Federal Reserve has issued guidelines for the implementation of risk-based capital requirements by U.S. banks and bank holding companies. These risk-based capital guidelines take into consideration risk factors, as defined by regulators, associated with various categories of assets, both on and off-balance sheet. Under the guidelines, capital strength is measured in two tiers that are used in conjunction with risk-weighted assets to determine the risk-based capital ratios. The guidelines require an 8% total risk-based capital ratio, of which 4% must be Tier 1 capital. However, to be considered well-capitalized under the guidelines, a 10% total risk-based capital ratio is required, of which 6% must be Tier 1 capital.</w:t>
      </w:r>
    </w:p>
    <w:p>
      <w:pPr>
        <w:spacing w:after="0" w:line="20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Under the risk-based capital guidelines, assets and credit equivalent amounts of derivatives and off-balance sheet items are assigned to one of several broad risk categories based on the obligor, or the guarantor, if relevant, or the nature of the collateral. The aggregate dollar amount in each risk category is then multiplied by the risk weight associated with the category. The resulting weighted values from each of the risk categories are added together, and generally this sum is the company’s total risk weighted assets. Risk-weighted assets for purposes of United’s capital ratios are calculated under these guidelines.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minimum leverage ratio is required in addition to the risk-based capital standards and is defined as Tier 1 capital divided by average assets adjusted for goodwill and deposit-based intangibles. Although a minimum leverage ratio of 3% is required, the Federal Reserve requires a bank holding company to maintain a leverage ratio greater than 3% if it is experiencing or anticipating significant growth or is operating with less than well-diversified risks in the opinion of the Federal Reserve. The Federal Reserve uses the leverage and risk-based capital ratios to assess capital adequacy of banks and bank holding companies.</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United’s Tier 1 capital excludes other comprehensive income, and consists of shareholders’ equity and qualifying capital securities, less goodwill and deposit-based intangibles. Tier 2 capital components include supplemental capital items such as a qualifying allowance for loan losses and qualifying subordinated debt. Tier 1 capital plus Tier 2 capital components is referred to as Total Risk-Based capital.</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United’s capital ratios, as calculated under regulatory guidelines, at June 30, 2014, December 31, 2013 and June 30, 2013.</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40" w:type="dxa"/>
            <w:vAlign w:val="bottom"/>
            <w:gridSpan w:val="2"/>
          </w:tcPr>
          <w:p>
            <w:pPr>
              <w:spacing w:after="0"/>
              <w:rPr>
                <w:sz w:val="20"/>
                <w:szCs w:val="20"/>
                <w:color w:val="auto"/>
              </w:rPr>
            </w:pPr>
            <w:r>
              <w:rPr>
                <w:rFonts w:ascii="Arial" w:cs="Arial" w:eastAsia="Arial" w:hAnsi="Arial"/>
                <w:sz w:val="18"/>
                <w:szCs w:val="18"/>
                <w:b w:val="1"/>
                <w:bCs w:val="1"/>
                <w:color w:val="auto"/>
              </w:rPr>
              <w:t>Table 15 - Capital Ratios</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40" w:type="dxa"/>
            <w:vAlign w:val="bottom"/>
            <w:gridSpan w:val="2"/>
          </w:tcPr>
          <w:p>
            <w:pPr>
              <w:spacing w:after="0"/>
              <w:rPr>
                <w:sz w:val="20"/>
                <w:szCs w:val="20"/>
                <w:color w:val="auto"/>
              </w:rPr>
            </w:pPr>
            <w:r>
              <w:rPr>
                <w:rFonts w:ascii="Arial" w:cs="Arial" w:eastAsia="Arial" w:hAnsi="Arial"/>
                <w:sz w:val="18"/>
                <w:szCs w:val="18"/>
                <w:i w:val="1"/>
                <w:iCs w:val="1"/>
                <w:color w:val="auto"/>
              </w:rPr>
              <w:t>(dollars in thousands)</w:t>
            </w:r>
          </w:p>
        </w:tc>
        <w:tc>
          <w:tcPr>
            <w:tcW w:w="2280" w:type="dxa"/>
            <w:vAlign w:val="bottom"/>
            <w:gridSpan w:val="4"/>
            <w:vMerge w:val="restart"/>
          </w:tcPr>
          <w:p>
            <w:pPr>
              <w:ind w:left="600"/>
              <w:spacing w:after="0"/>
              <w:rPr>
                <w:sz w:val="20"/>
                <w:szCs w:val="20"/>
                <w:color w:val="auto"/>
              </w:rPr>
            </w:pPr>
            <w:r>
              <w:rPr>
                <w:rFonts w:ascii="Arial" w:cs="Arial" w:eastAsia="Arial" w:hAnsi="Arial"/>
                <w:sz w:val="18"/>
                <w:szCs w:val="18"/>
                <w:b w:val="1"/>
                <w:bCs w:val="1"/>
                <w:color w:val="auto"/>
              </w:rPr>
              <w:t>Regulatory</w:t>
            </w:r>
          </w:p>
        </w:tc>
        <w:tc>
          <w:tcPr>
            <w:tcW w:w="60" w:type="dxa"/>
            <w:vAlign w:val="bottom"/>
          </w:tcPr>
          <w:p>
            <w:pPr>
              <w:spacing w:after="0"/>
              <w:rPr>
                <w:sz w:val="20"/>
                <w:szCs w:val="20"/>
                <w:color w:val="auto"/>
              </w:rPr>
            </w:pPr>
          </w:p>
        </w:tc>
        <w:tc>
          <w:tcPr>
            <w:tcW w:w="3420" w:type="dxa"/>
            <w:vAlign w:val="bottom"/>
            <w:gridSpan w:val="7"/>
            <w:vMerge w:val="restart"/>
          </w:tcPr>
          <w:p>
            <w:pPr>
              <w:jc w:val="center"/>
              <w:ind w:right="20"/>
              <w:spacing w:after="0"/>
              <w:rPr>
                <w:sz w:val="20"/>
                <w:szCs w:val="20"/>
                <w:color w:val="auto"/>
              </w:rPr>
            </w:pPr>
            <w:r>
              <w:rPr>
                <w:rFonts w:ascii="Arial" w:cs="Arial" w:eastAsia="Arial" w:hAnsi="Arial"/>
                <w:sz w:val="18"/>
                <w:szCs w:val="18"/>
                <w:b w:val="1"/>
                <w:bCs w:val="1"/>
                <w:color w:val="auto"/>
                <w:w w:val="92"/>
              </w:rPr>
              <w:t>United Community Banks, Inc.</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280" w:type="dxa"/>
            <w:vAlign w:val="bottom"/>
            <w:gridSpan w:val="4"/>
            <w:vMerge w:val="continue"/>
          </w:tcPr>
          <w:p>
            <w:pPr>
              <w:spacing w:after="0"/>
              <w:rPr>
                <w:sz w:val="17"/>
                <w:szCs w:val="17"/>
                <w:color w:val="auto"/>
              </w:rPr>
            </w:pPr>
          </w:p>
        </w:tc>
        <w:tc>
          <w:tcPr>
            <w:tcW w:w="60" w:type="dxa"/>
            <w:vAlign w:val="bottom"/>
          </w:tcPr>
          <w:p>
            <w:pPr>
              <w:spacing w:after="0"/>
              <w:rPr>
                <w:sz w:val="17"/>
                <w:szCs w:val="17"/>
                <w:color w:val="auto"/>
              </w:rPr>
            </w:pPr>
          </w:p>
        </w:tc>
        <w:tc>
          <w:tcPr>
            <w:tcW w:w="3420" w:type="dxa"/>
            <w:vAlign w:val="bottom"/>
            <w:gridSpan w:val="7"/>
            <w:vMerge w:val="continue"/>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280" w:type="dxa"/>
            <w:vAlign w:val="bottom"/>
            <w:gridSpan w:val="4"/>
          </w:tcPr>
          <w:p>
            <w:pPr>
              <w:ind w:left="620"/>
              <w:spacing w:after="0"/>
              <w:rPr>
                <w:sz w:val="20"/>
                <w:szCs w:val="20"/>
                <w:color w:val="auto"/>
              </w:rPr>
            </w:pPr>
            <w:r>
              <w:rPr>
                <w:rFonts w:ascii="Arial" w:cs="Arial" w:eastAsia="Arial" w:hAnsi="Arial"/>
                <w:sz w:val="18"/>
                <w:szCs w:val="18"/>
                <w:b w:val="1"/>
                <w:bCs w:val="1"/>
                <w:color w:val="auto"/>
              </w:rPr>
              <w:t>Guidelines</w:t>
            </w: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0"/>
              </w:rPr>
              <w:t>(Consolidated)</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gridSpan w:val="8"/>
          </w:tcPr>
          <w:p>
            <w:pPr>
              <w:jc w:val="right"/>
              <w:ind w:right="740"/>
              <w:spacing w:after="0"/>
              <w:rPr>
                <w:sz w:val="20"/>
                <w:szCs w:val="20"/>
                <w:color w:val="auto"/>
              </w:rPr>
            </w:pPr>
            <w:r>
              <w:rPr>
                <w:rFonts w:ascii="Arial" w:cs="Arial" w:eastAsia="Arial" w:hAnsi="Arial"/>
                <w:sz w:val="18"/>
                <w:szCs w:val="18"/>
                <w:b w:val="1"/>
                <w:bCs w:val="1"/>
                <w:color w:val="auto"/>
              </w:rPr>
              <w:t>United Community Bank</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rPr>
              <w:t>Well</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Borders>
              <w:top w:val="single" w:sz="8" w:color="auto"/>
            </w:tcBorders>
            <w:gridSpan w:val="2"/>
          </w:tcPr>
          <w:p>
            <w:pPr>
              <w:jc w:val="right"/>
              <w:ind w:right="240"/>
              <w:spacing w:after="0" w:line="198" w:lineRule="exact"/>
              <w:rPr>
                <w:sz w:val="20"/>
                <w:szCs w:val="20"/>
                <w:color w:val="auto"/>
              </w:rPr>
            </w:pPr>
            <w:r>
              <w:rPr>
                <w:rFonts w:ascii="Arial" w:cs="Arial" w:eastAsia="Arial" w:hAnsi="Arial"/>
                <w:sz w:val="18"/>
                <w:szCs w:val="18"/>
                <w:b w:val="1"/>
                <w:bCs w:val="1"/>
                <w:color w:val="auto"/>
              </w:rPr>
              <w:t>June 30,</w:t>
            </w:r>
          </w:p>
        </w:tc>
        <w:tc>
          <w:tcPr>
            <w:tcW w:w="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center"/>
              <w:ind w:right="100"/>
              <w:spacing w:after="0" w:line="198" w:lineRule="exact"/>
              <w:rPr>
                <w:sz w:val="20"/>
                <w:szCs w:val="20"/>
                <w:color w:val="auto"/>
              </w:rPr>
            </w:pPr>
            <w:r>
              <w:rPr>
                <w:rFonts w:ascii="Arial" w:cs="Arial" w:eastAsia="Arial" w:hAnsi="Arial"/>
                <w:sz w:val="18"/>
                <w:szCs w:val="18"/>
                <w:b w:val="1"/>
                <w:bCs w:val="1"/>
                <w:color w:val="auto"/>
                <w:w w:val="90"/>
              </w:rPr>
              <w:t>December 31,</w:t>
            </w:r>
          </w:p>
        </w:tc>
        <w:tc>
          <w:tcPr>
            <w:tcW w:w="1080" w:type="dxa"/>
            <w:vAlign w:val="bottom"/>
            <w:tcBorders>
              <w:top w:val="single" w:sz="8" w:color="auto"/>
            </w:tcBorders>
            <w:gridSpan w:val="2"/>
          </w:tcPr>
          <w:p>
            <w:pPr>
              <w:jc w:val="right"/>
              <w:ind w:right="220"/>
              <w:spacing w:after="0" w:line="198" w:lineRule="exact"/>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17"/>
                <w:szCs w:val="17"/>
                <w:color w:val="auto"/>
              </w:rPr>
            </w:pPr>
          </w:p>
        </w:tc>
        <w:tc>
          <w:tcPr>
            <w:tcW w:w="1120" w:type="dxa"/>
            <w:vAlign w:val="bottom"/>
            <w:tcBorders>
              <w:top w:val="single" w:sz="8" w:color="auto"/>
            </w:tcBorders>
            <w:gridSpan w:val="2"/>
          </w:tcPr>
          <w:p>
            <w:pPr>
              <w:jc w:val="right"/>
              <w:ind w:right="260"/>
              <w:spacing w:after="0" w:line="198" w:lineRule="exact"/>
              <w:rPr>
                <w:sz w:val="20"/>
                <w:szCs w:val="20"/>
                <w:color w:val="auto"/>
              </w:rPr>
            </w:pPr>
            <w:r>
              <w:rPr>
                <w:rFonts w:ascii="Arial" w:cs="Arial" w:eastAsia="Arial" w:hAnsi="Arial"/>
                <w:sz w:val="18"/>
                <w:szCs w:val="18"/>
                <w:b w:val="1"/>
                <w:bCs w:val="1"/>
                <w:color w:val="auto"/>
              </w:rPr>
              <w:t>June 30,</w:t>
            </w:r>
          </w:p>
        </w:tc>
        <w:tc>
          <w:tcPr>
            <w:tcW w:w="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60"/>
              <w:spacing w:after="0" w:line="198" w:lineRule="exact"/>
              <w:rPr>
                <w:sz w:val="20"/>
                <w:szCs w:val="20"/>
                <w:color w:val="auto"/>
              </w:rPr>
            </w:pPr>
            <w:r>
              <w:rPr>
                <w:rFonts w:ascii="Arial" w:cs="Arial" w:eastAsia="Arial" w:hAnsi="Arial"/>
                <w:sz w:val="18"/>
                <w:szCs w:val="18"/>
                <w:b w:val="1"/>
                <w:bCs w:val="1"/>
                <w:color w:val="auto"/>
                <w:w w:val="88"/>
              </w:rPr>
              <w:t>December 31,</w:t>
            </w:r>
          </w:p>
        </w:tc>
        <w:tc>
          <w:tcPr>
            <w:tcW w:w="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gridSpan w:val="2"/>
          </w:tcPr>
          <w:p>
            <w:pPr>
              <w:jc w:val="right"/>
              <w:ind w:right="220"/>
              <w:spacing w:after="0" w:line="198" w:lineRule="exact"/>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Minimum</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Capitalized</w:t>
            </w:r>
          </w:p>
        </w:tc>
        <w:tc>
          <w:tcPr>
            <w:tcW w:w="9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98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2013</w:t>
            </w:r>
          </w:p>
        </w:tc>
        <w:tc>
          <w:tcPr>
            <w:tcW w:w="260" w:type="dxa"/>
            <w:vAlign w:val="bottom"/>
          </w:tcPr>
          <w:p>
            <w:pPr>
              <w:spacing w:after="0"/>
              <w:rPr>
                <w:sz w:val="20"/>
                <w:szCs w:val="20"/>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20"/>
                <w:szCs w:val="20"/>
                <w:color w:val="auto"/>
              </w:rPr>
            </w:pPr>
          </w:p>
        </w:tc>
        <w:tc>
          <w:tcPr>
            <w:tcW w:w="100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9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96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F0FFFF"/>
          </w:tcPr>
          <w:p>
            <w:pPr>
              <w:spacing w:after="0"/>
              <w:rPr>
                <w:sz w:val="20"/>
                <w:szCs w:val="20"/>
                <w:color w:val="auto"/>
              </w:rPr>
            </w:pPr>
            <w:r>
              <w:rPr>
                <w:rFonts w:ascii="Arial" w:cs="Arial" w:eastAsia="Arial" w:hAnsi="Arial"/>
                <w:sz w:val="18"/>
                <w:szCs w:val="18"/>
                <w:color w:val="auto"/>
              </w:rPr>
              <w:t>Risk-based ratios:</w:t>
            </w:r>
          </w:p>
        </w:tc>
        <w:tc>
          <w:tcPr>
            <w:tcW w:w="900" w:type="dxa"/>
            <w:vAlign w:val="bottom"/>
            <w:tcBorders>
              <w:top w:val="single" w:sz="8" w:color="auto"/>
            </w:tcBorders>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900" w:type="dxa"/>
            <w:vAlign w:val="bottom"/>
            <w:tcBorders>
              <w:top w:val="single" w:sz="8" w:color="auto"/>
            </w:tcBorders>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ind w:left="160"/>
              <w:spacing w:after="0"/>
              <w:rPr>
                <w:sz w:val="20"/>
                <w:szCs w:val="20"/>
                <w:color w:val="auto"/>
              </w:rPr>
            </w:pPr>
            <w:r>
              <w:rPr>
                <w:rFonts w:ascii="Arial" w:cs="Arial" w:eastAsia="Arial" w:hAnsi="Arial"/>
                <w:sz w:val="18"/>
                <w:szCs w:val="18"/>
                <w:color w:val="auto"/>
              </w:rPr>
              <w:t>Tier I capital</w:t>
            </w:r>
          </w:p>
        </w:tc>
        <w:tc>
          <w:tcPr>
            <w:tcW w:w="1160" w:type="dxa"/>
            <w:vAlign w:val="bottom"/>
            <w:gridSpan w:val="2"/>
          </w:tcPr>
          <w:p>
            <w:pPr>
              <w:ind w:left="660"/>
              <w:spacing w:after="0"/>
              <w:rPr>
                <w:sz w:val="20"/>
                <w:szCs w:val="20"/>
                <w:color w:val="auto"/>
              </w:rPr>
            </w:pPr>
            <w:r>
              <w:rPr>
                <w:rFonts w:ascii="Arial" w:cs="Arial" w:eastAsia="Arial" w:hAnsi="Arial"/>
                <w:sz w:val="18"/>
                <w:szCs w:val="18"/>
                <w:color w:val="auto"/>
              </w:rPr>
              <w:t>4.0%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11.75%</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12.74%</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13.68%</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13.36%</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13.55%</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14.20%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Total capital</w:t>
            </w:r>
          </w:p>
        </w:tc>
        <w:tc>
          <w:tcPr>
            <w:tcW w:w="900" w:type="dxa"/>
            <w:vAlign w:val="bottom"/>
            <w:shd w:val="clear" w:color="auto" w:fill="F0FFFF"/>
          </w:tcPr>
          <w:p>
            <w:pPr>
              <w:ind w:left="660"/>
              <w:spacing w:after="0"/>
              <w:rPr>
                <w:sz w:val="20"/>
                <w:szCs w:val="20"/>
                <w:color w:val="auto"/>
              </w:rPr>
            </w:pPr>
            <w:r>
              <w:rPr>
                <w:rFonts w:ascii="Arial" w:cs="Arial" w:eastAsia="Arial" w:hAnsi="Arial"/>
                <w:sz w:val="18"/>
                <w:szCs w:val="18"/>
                <w:color w:val="auto"/>
                <w:w w:val="87"/>
              </w:rPr>
              <w:t>8.0</w:t>
            </w:r>
          </w:p>
        </w:tc>
        <w:tc>
          <w:tcPr>
            <w:tcW w:w="26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10.0</w:t>
            </w:r>
          </w:p>
        </w:tc>
        <w:tc>
          <w:tcPr>
            <w:tcW w:w="1160" w:type="dxa"/>
            <w:vAlign w:val="bottom"/>
            <w:gridSpan w:val="3"/>
            <w:shd w:val="clear" w:color="auto" w:fill="F0FFFF"/>
          </w:tcPr>
          <w:p>
            <w:pPr>
              <w:jc w:val="right"/>
              <w:ind w:right="200"/>
              <w:spacing w:after="0"/>
              <w:rPr>
                <w:sz w:val="20"/>
                <w:szCs w:val="20"/>
                <w:color w:val="auto"/>
              </w:rPr>
            </w:pPr>
            <w:r>
              <w:rPr>
                <w:rFonts w:ascii="Arial" w:cs="Arial" w:eastAsia="Arial" w:hAnsi="Arial"/>
                <w:sz w:val="18"/>
                <w:szCs w:val="18"/>
                <w:color w:val="auto"/>
              </w:rPr>
              <w:t>13.00</w:t>
            </w:r>
          </w:p>
        </w:tc>
        <w:tc>
          <w:tcPr>
            <w:tcW w:w="1240" w:type="dxa"/>
            <w:vAlign w:val="bottom"/>
            <w:gridSpan w:val="3"/>
            <w:shd w:val="clear" w:color="auto" w:fill="F0FFFF"/>
          </w:tcPr>
          <w:p>
            <w:pPr>
              <w:jc w:val="right"/>
              <w:ind w:right="260"/>
              <w:spacing w:after="0"/>
              <w:rPr>
                <w:sz w:val="20"/>
                <w:szCs w:val="20"/>
                <w:color w:val="auto"/>
              </w:rPr>
            </w:pPr>
            <w:r>
              <w:rPr>
                <w:rFonts w:ascii="Arial" w:cs="Arial" w:eastAsia="Arial" w:hAnsi="Arial"/>
                <w:sz w:val="18"/>
                <w:szCs w:val="18"/>
                <w:color w:val="auto"/>
              </w:rPr>
              <w:t>13.99</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15.23</w:t>
            </w:r>
          </w:p>
        </w:tc>
        <w:tc>
          <w:tcPr>
            <w:tcW w:w="160" w:type="dxa"/>
            <w:vAlign w:val="bottom"/>
            <w:shd w:val="clear" w:color="auto" w:fill="F0FFFF"/>
          </w:tcPr>
          <w:p>
            <w:pPr>
              <w:spacing w:after="0"/>
              <w:rPr>
                <w:sz w:val="18"/>
                <w:szCs w:val="18"/>
                <w:color w:val="auto"/>
              </w:rPr>
            </w:pPr>
          </w:p>
        </w:tc>
        <w:tc>
          <w:tcPr>
            <w:tcW w:w="1220" w:type="dxa"/>
            <w:vAlign w:val="bottom"/>
            <w:gridSpan w:val="3"/>
            <w:shd w:val="clear" w:color="auto" w:fill="F0FFFF"/>
          </w:tcPr>
          <w:p>
            <w:pPr>
              <w:jc w:val="right"/>
              <w:ind w:right="220"/>
              <w:spacing w:after="0"/>
              <w:rPr>
                <w:sz w:val="20"/>
                <w:szCs w:val="20"/>
                <w:color w:val="auto"/>
              </w:rPr>
            </w:pPr>
            <w:r>
              <w:rPr>
                <w:rFonts w:ascii="Arial" w:cs="Arial" w:eastAsia="Arial" w:hAnsi="Arial"/>
                <w:sz w:val="18"/>
                <w:szCs w:val="18"/>
                <w:color w:val="auto"/>
              </w:rPr>
              <w:t>14.62</w:t>
            </w:r>
          </w:p>
        </w:tc>
        <w:tc>
          <w:tcPr>
            <w:tcW w:w="1180" w:type="dxa"/>
            <w:vAlign w:val="bottom"/>
            <w:gridSpan w:val="3"/>
            <w:shd w:val="clear" w:color="auto" w:fill="F0FFFF"/>
          </w:tcPr>
          <w:p>
            <w:pPr>
              <w:jc w:val="right"/>
              <w:ind w:right="220"/>
              <w:spacing w:after="0"/>
              <w:rPr>
                <w:sz w:val="20"/>
                <w:szCs w:val="20"/>
                <w:color w:val="auto"/>
              </w:rPr>
            </w:pPr>
            <w:r>
              <w:rPr>
                <w:rFonts w:ascii="Arial" w:cs="Arial" w:eastAsia="Arial" w:hAnsi="Arial"/>
                <w:sz w:val="18"/>
                <w:szCs w:val="18"/>
                <w:color w:val="auto"/>
              </w:rPr>
              <w:t>14.81</w:t>
            </w:r>
          </w:p>
        </w:tc>
        <w:tc>
          <w:tcPr>
            <w:tcW w:w="1120" w:type="dxa"/>
            <w:vAlign w:val="bottom"/>
            <w:gridSpan w:val="3"/>
            <w:shd w:val="clear" w:color="auto" w:fill="F0FFFF"/>
          </w:tcPr>
          <w:p>
            <w:pPr>
              <w:jc w:val="right"/>
              <w:ind w:right="160"/>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Leverage ratio</w:t>
            </w:r>
          </w:p>
        </w:tc>
        <w:tc>
          <w:tcPr>
            <w:tcW w:w="900" w:type="dxa"/>
            <w:vAlign w:val="bottom"/>
          </w:tcPr>
          <w:p>
            <w:pPr>
              <w:ind w:left="660"/>
              <w:spacing w:after="0"/>
              <w:rPr>
                <w:sz w:val="20"/>
                <w:szCs w:val="20"/>
                <w:color w:val="auto"/>
              </w:rPr>
            </w:pPr>
            <w:r>
              <w:rPr>
                <w:rFonts w:ascii="Arial" w:cs="Arial" w:eastAsia="Arial" w:hAnsi="Arial"/>
                <w:sz w:val="18"/>
                <w:szCs w:val="18"/>
                <w:color w:val="auto"/>
                <w:w w:val="87"/>
              </w:rPr>
              <w:t>3.0</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8.29</w:t>
            </w: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9.08</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9.80</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9.41</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9.61</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ind w:left="160"/>
              <w:spacing w:after="0"/>
              <w:rPr>
                <w:sz w:val="20"/>
                <w:szCs w:val="20"/>
                <w:color w:val="auto"/>
              </w:rPr>
            </w:pPr>
            <w:r>
              <w:rPr>
                <w:rFonts w:ascii="Arial" w:cs="Arial" w:eastAsia="Arial" w:hAnsi="Arial"/>
                <w:sz w:val="18"/>
                <w:szCs w:val="18"/>
                <w:color w:val="auto"/>
              </w:rPr>
              <w:t>Tier I capital</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   598,673</w:t>
            </w:r>
          </w:p>
        </w:tc>
        <w:tc>
          <w:tcPr>
            <w:tcW w:w="1240" w:type="dxa"/>
            <w:vAlign w:val="bottom"/>
            <w:gridSpan w:val="3"/>
          </w:tcPr>
          <w:p>
            <w:pPr>
              <w:jc w:val="right"/>
              <w:ind w:right="260"/>
              <w:spacing w:after="0"/>
              <w:rPr>
                <w:sz w:val="20"/>
                <w:szCs w:val="20"/>
                <w:color w:val="auto"/>
              </w:rPr>
            </w:pPr>
            <w:r>
              <w:rPr>
                <w:rFonts w:ascii="Arial" w:cs="Arial" w:eastAsia="Arial" w:hAnsi="Arial"/>
                <w:sz w:val="18"/>
                <w:szCs w:val="18"/>
                <w:color w:val="auto"/>
              </w:rPr>
              <w:t>$   649,162</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   653,590</w:t>
            </w:r>
          </w:p>
        </w:tc>
        <w:tc>
          <w:tcPr>
            <w:tcW w:w="160" w:type="dxa"/>
            <w:vAlign w:val="bottom"/>
          </w:tcPr>
          <w:p>
            <w:pPr>
              <w:spacing w:after="0"/>
              <w:rPr>
                <w:sz w:val="18"/>
                <w:szCs w:val="18"/>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   680,172</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   686,687</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   677,694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Total capital</w:t>
            </w:r>
          </w:p>
        </w:tc>
        <w:tc>
          <w:tcPr>
            <w:tcW w:w="9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60" w:type="dxa"/>
            <w:vAlign w:val="bottom"/>
            <w:gridSpan w:val="3"/>
            <w:shd w:val="clear" w:color="auto" w:fill="F0FFFF"/>
          </w:tcPr>
          <w:p>
            <w:pPr>
              <w:jc w:val="right"/>
              <w:ind w:right="200"/>
              <w:spacing w:after="0"/>
              <w:rPr>
                <w:sz w:val="20"/>
                <w:szCs w:val="20"/>
                <w:color w:val="auto"/>
              </w:rPr>
            </w:pPr>
            <w:r>
              <w:rPr>
                <w:rFonts w:ascii="Arial" w:cs="Arial" w:eastAsia="Arial" w:hAnsi="Arial"/>
                <w:sz w:val="18"/>
                <w:szCs w:val="18"/>
                <w:color w:val="auto"/>
              </w:rPr>
              <w:t>662,499</w:t>
            </w:r>
          </w:p>
        </w:tc>
        <w:tc>
          <w:tcPr>
            <w:tcW w:w="1240" w:type="dxa"/>
            <w:vAlign w:val="bottom"/>
            <w:gridSpan w:val="3"/>
            <w:shd w:val="clear" w:color="auto" w:fill="F0FFFF"/>
          </w:tcPr>
          <w:p>
            <w:pPr>
              <w:jc w:val="right"/>
              <w:ind w:right="260"/>
              <w:spacing w:after="0"/>
              <w:rPr>
                <w:sz w:val="20"/>
                <w:szCs w:val="20"/>
                <w:color w:val="auto"/>
              </w:rPr>
            </w:pPr>
            <w:r>
              <w:rPr>
                <w:rFonts w:ascii="Arial" w:cs="Arial" w:eastAsia="Arial" w:hAnsi="Arial"/>
                <w:sz w:val="18"/>
                <w:szCs w:val="18"/>
                <w:color w:val="auto"/>
              </w:rPr>
              <w:t>713,063</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727,587</w:t>
            </w:r>
          </w:p>
        </w:tc>
        <w:tc>
          <w:tcPr>
            <w:tcW w:w="160" w:type="dxa"/>
            <w:vAlign w:val="bottom"/>
            <w:shd w:val="clear" w:color="auto" w:fill="F0FFFF"/>
          </w:tcPr>
          <w:p>
            <w:pPr>
              <w:spacing w:after="0"/>
              <w:rPr>
                <w:sz w:val="18"/>
                <w:szCs w:val="18"/>
                <w:color w:val="auto"/>
              </w:rPr>
            </w:pPr>
          </w:p>
        </w:tc>
        <w:tc>
          <w:tcPr>
            <w:tcW w:w="1220" w:type="dxa"/>
            <w:vAlign w:val="bottom"/>
            <w:gridSpan w:val="3"/>
            <w:shd w:val="clear" w:color="auto" w:fill="F0FFFF"/>
          </w:tcPr>
          <w:p>
            <w:pPr>
              <w:jc w:val="right"/>
              <w:ind w:right="220"/>
              <w:spacing w:after="0"/>
              <w:rPr>
                <w:sz w:val="20"/>
                <w:szCs w:val="20"/>
                <w:color w:val="auto"/>
              </w:rPr>
            </w:pPr>
            <w:r>
              <w:rPr>
                <w:rFonts w:ascii="Arial" w:cs="Arial" w:eastAsia="Arial" w:hAnsi="Arial"/>
                <w:sz w:val="18"/>
                <w:szCs w:val="18"/>
                <w:color w:val="auto"/>
              </w:rPr>
              <w:t>743,938</w:t>
            </w:r>
          </w:p>
        </w:tc>
        <w:tc>
          <w:tcPr>
            <w:tcW w:w="1180" w:type="dxa"/>
            <w:vAlign w:val="bottom"/>
            <w:gridSpan w:val="3"/>
            <w:shd w:val="clear" w:color="auto" w:fill="F0FFFF"/>
          </w:tcPr>
          <w:p>
            <w:pPr>
              <w:jc w:val="right"/>
              <w:ind w:right="220"/>
              <w:spacing w:after="0"/>
              <w:rPr>
                <w:sz w:val="20"/>
                <w:szCs w:val="20"/>
                <w:color w:val="auto"/>
              </w:rPr>
            </w:pPr>
            <w:r>
              <w:rPr>
                <w:rFonts w:ascii="Arial" w:cs="Arial" w:eastAsia="Arial" w:hAnsi="Arial"/>
                <w:sz w:val="18"/>
                <w:szCs w:val="18"/>
                <w:color w:val="auto"/>
              </w:rPr>
              <w:t>750,216</w:t>
            </w:r>
          </w:p>
        </w:tc>
        <w:tc>
          <w:tcPr>
            <w:tcW w:w="1120" w:type="dxa"/>
            <w:vAlign w:val="bottom"/>
            <w:gridSpan w:val="3"/>
            <w:shd w:val="clear" w:color="auto" w:fill="F0FFFF"/>
          </w:tcPr>
          <w:p>
            <w:pPr>
              <w:jc w:val="right"/>
              <w:ind w:right="160"/>
              <w:spacing w:after="0"/>
              <w:rPr>
                <w:sz w:val="20"/>
                <w:szCs w:val="20"/>
                <w:color w:val="auto"/>
              </w:rPr>
            </w:pPr>
            <w:r>
              <w:rPr>
                <w:rFonts w:ascii="Arial" w:cs="Arial" w:eastAsia="Arial" w:hAnsi="Arial"/>
                <w:sz w:val="18"/>
                <w:szCs w:val="18"/>
                <w:color w:val="auto"/>
              </w:rPr>
              <w:t>737,615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20" w:type="dxa"/>
            <w:vAlign w:val="bottom"/>
            <w:shd w:val="clear" w:color="auto" w:fill="F0FFFF"/>
          </w:tcPr>
          <w:p>
            <w:pPr>
              <w:spacing w:after="0"/>
              <w:rPr>
                <w:sz w:val="20"/>
                <w:szCs w:val="20"/>
                <w:color w:val="auto"/>
              </w:rPr>
            </w:pPr>
            <w:r>
              <w:rPr>
                <w:rFonts w:ascii="Arial" w:cs="Arial" w:eastAsia="Arial" w:hAnsi="Arial"/>
                <w:sz w:val="18"/>
                <w:szCs w:val="18"/>
                <w:color w:val="auto"/>
              </w:rPr>
              <w:t>Risk-weighted assets</w:t>
            </w:r>
          </w:p>
        </w:tc>
        <w:tc>
          <w:tcPr>
            <w:tcW w:w="90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60" w:type="dxa"/>
            <w:vAlign w:val="bottom"/>
            <w:gridSpan w:val="3"/>
            <w:shd w:val="clear" w:color="auto" w:fill="F0FFFF"/>
          </w:tcPr>
          <w:p>
            <w:pPr>
              <w:jc w:val="right"/>
              <w:ind w:right="200"/>
              <w:spacing w:after="0"/>
              <w:rPr>
                <w:sz w:val="20"/>
                <w:szCs w:val="20"/>
                <w:color w:val="auto"/>
              </w:rPr>
            </w:pPr>
            <w:r>
              <w:rPr>
                <w:rFonts w:ascii="Arial" w:cs="Arial" w:eastAsia="Arial" w:hAnsi="Arial"/>
                <w:sz w:val="18"/>
                <w:szCs w:val="18"/>
                <w:color w:val="auto"/>
              </w:rPr>
              <w:t>5,094,469</w:t>
            </w:r>
          </w:p>
        </w:tc>
        <w:tc>
          <w:tcPr>
            <w:tcW w:w="98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5,097,091</w:t>
            </w:r>
          </w:p>
        </w:tc>
        <w:tc>
          <w:tcPr>
            <w:tcW w:w="26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4,777,940</w:t>
            </w:r>
          </w:p>
        </w:tc>
        <w:tc>
          <w:tcPr>
            <w:tcW w:w="160" w:type="dxa"/>
            <w:vAlign w:val="bottom"/>
            <w:shd w:val="clear" w:color="auto" w:fill="F0FFFF"/>
          </w:tcPr>
          <w:p>
            <w:pPr>
              <w:spacing w:after="0"/>
              <w:rPr>
                <w:sz w:val="18"/>
                <w:szCs w:val="18"/>
                <w:color w:val="auto"/>
              </w:rPr>
            </w:pPr>
          </w:p>
        </w:tc>
        <w:tc>
          <w:tcPr>
            <w:tcW w:w="1220" w:type="dxa"/>
            <w:vAlign w:val="bottom"/>
            <w:gridSpan w:val="3"/>
            <w:shd w:val="clear" w:color="auto" w:fill="F0FFFF"/>
          </w:tcPr>
          <w:p>
            <w:pPr>
              <w:jc w:val="right"/>
              <w:ind w:right="220"/>
              <w:spacing w:after="0"/>
              <w:rPr>
                <w:sz w:val="20"/>
                <w:szCs w:val="20"/>
                <w:color w:val="auto"/>
              </w:rPr>
            </w:pPr>
            <w:r>
              <w:rPr>
                <w:rFonts w:ascii="Arial" w:cs="Arial" w:eastAsia="Arial" w:hAnsi="Arial"/>
                <w:sz w:val="18"/>
                <w:szCs w:val="18"/>
                <w:color w:val="auto"/>
              </w:rPr>
              <w:t>5,089,635</w:t>
            </w:r>
          </w:p>
        </w:tc>
        <w:tc>
          <w:tcPr>
            <w:tcW w:w="1180" w:type="dxa"/>
            <w:vAlign w:val="bottom"/>
            <w:gridSpan w:val="3"/>
            <w:shd w:val="clear" w:color="auto" w:fill="F0FFFF"/>
          </w:tcPr>
          <w:p>
            <w:pPr>
              <w:jc w:val="right"/>
              <w:ind w:right="220"/>
              <w:spacing w:after="0"/>
              <w:rPr>
                <w:sz w:val="20"/>
                <w:szCs w:val="20"/>
                <w:color w:val="auto"/>
              </w:rPr>
            </w:pPr>
            <w:r>
              <w:rPr>
                <w:rFonts w:ascii="Arial" w:cs="Arial" w:eastAsia="Arial" w:hAnsi="Arial"/>
                <w:sz w:val="18"/>
                <w:szCs w:val="18"/>
                <w:color w:val="auto"/>
              </w:rPr>
              <w:t>5,066,948</w:t>
            </w:r>
          </w:p>
        </w:tc>
        <w:tc>
          <w:tcPr>
            <w:tcW w:w="1120" w:type="dxa"/>
            <w:vAlign w:val="bottom"/>
            <w:gridSpan w:val="3"/>
            <w:shd w:val="clear" w:color="auto" w:fill="F0FFFF"/>
          </w:tcPr>
          <w:p>
            <w:pPr>
              <w:jc w:val="right"/>
              <w:ind w:right="160"/>
              <w:spacing w:after="0"/>
              <w:rPr>
                <w:sz w:val="20"/>
                <w:szCs w:val="20"/>
                <w:color w:val="auto"/>
              </w:rPr>
            </w:pPr>
            <w:r>
              <w:rPr>
                <w:rFonts w:ascii="Arial" w:cs="Arial" w:eastAsia="Arial" w:hAnsi="Arial"/>
                <w:sz w:val="18"/>
                <w:szCs w:val="18"/>
                <w:color w:val="auto"/>
              </w:rPr>
              <w:t>4,771,764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r>
              <w:rPr>
                <w:rFonts w:ascii="Arial" w:cs="Arial" w:eastAsia="Arial" w:hAnsi="Arial"/>
                <w:sz w:val="18"/>
                <w:szCs w:val="18"/>
                <w:color w:val="auto"/>
              </w:rPr>
              <w:t>Average total assets</w:t>
            </w: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7,225,333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7,150,360</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6,672,152</w:t>
            </w:r>
          </w:p>
        </w:tc>
        <w:tc>
          <w:tcPr>
            <w:tcW w:w="160" w:type="dxa"/>
            <w:vAlign w:val="bottom"/>
          </w:tcPr>
          <w:p>
            <w:pPr>
              <w:spacing w:after="0"/>
              <w:rPr>
                <w:sz w:val="20"/>
                <w:szCs w:val="20"/>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7,225,922</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7,142,050</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6,679,717</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United’s common stock trades on the Nasdaq Global Select Market under the symbol “UCBI”. Below is a quarterly schedule of high, low and closing stock prices and average daily volume for 2014 and 2013.</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65" w:name="page66"/>
    <w:bookmarkEnd w:id="65"/>
    <w:p>
      <w:pPr>
        <w:spacing w:after="0"/>
        <w:rPr>
          <w:sz w:val="20"/>
          <w:szCs w:val="20"/>
          <w:color w:val="auto"/>
        </w:rPr>
      </w:pPr>
      <w:r>
        <w:rPr>
          <w:rFonts w:ascii="Arial" w:cs="Arial" w:eastAsia="Arial" w:hAnsi="Arial"/>
          <w:sz w:val="22"/>
          <w:szCs w:val="22"/>
          <w:b w:val="1"/>
          <w:bCs w:val="1"/>
          <w:color w:val="auto"/>
        </w:rPr>
        <w:t>Table 16 - Stock Price Information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8"/>
                <w:szCs w:val="18"/>
                <w:b w:val="1"/>
                <w:bCs w:val="1"/>
                <w:color w:val="auto"/>
              </w:rPr>
              <w:t>2014</w:t>
            </w: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2013</w:t>
            </w:r>
          </w:p>
        </w:tc>
        <w:tc>
          <w:tcPr>
            <w:tcW w:w="7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2"/>
              </w:rPr>
              <w:t>Avg Daily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99"/>
              </w:rPr>
              <w:t>Avg Daily</w:t>
            </w: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High</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Low</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Close</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Volume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High</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Low</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3"/>
              </w:rPr>
              <w:t>Close</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Volume</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F0FFFF"/>
          </w:tcPr>
          <w:p>
            <w:pPr>
              <w:spacing w:after="0"/>
              <w:rPr>
                <w:sz w:val="20"/>
                <w:szCs w:val="20"/>
                <w:color w:val="auto"/>
              </w:rPr>
            </w:pPr>
            <w:r>
              <w:rPr>
                <w:rFonts w:ascii="Arial" w:cs="Arial" w:eastAsia="Arial" w:hAnsi="Arial"/>
                <w:sz w:val="18"/>
                <w:szCs w:val="18"/>
                <w:color w:val="auto"/>
              </w:rPr>
              <w:t>First quarter</w:t>
            </w:r>
          </w:p>
        </w:tc>
        <w:tc>
          <w:tcPr>
            <w:tcW w:w="8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20.28</w:t>
            </w:r>
          </w:p>
        </w:tc>
        <w:tc>
          <w:tcPr>
            <w:tcW w:w="3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F0FFFF"/>
          </w:tcPr>
          <w:p>
            <w:pPr>
              <w:jc w:val="right"/>
              <w:ind w:right="240"/>
              <w:spacing w:after="0"/>
              <w:rPr>
                <w:sz w:val="20"/>
                <w:szCs w:val="20"/>
                <w:color w:val="auto"/>
              </w:rPr>
            </w:pPr>
            <w:r>
              <w:rPr>
                <w:rFonts w:ascii="Arial" w:cs="Arial" w:eastAsia="Arial" w:hAnsi="Arial"/>
                <w:sz w:val="18"/>
                <w:szCs w:val="18"/>
                <w:color w:val="auto"/>
              </w:rPr>
              <w:t>15.74</w:t>
            </w:r>
          </w:p>
        </w:tc>
        <w:tc>
          <w:tcPr>
            <w:tcW w:w="160" w:type="dxa"/>
            <w:vAlign w:val="bottom"/>
            <w:shd w:val="clear" w:color="auto" w:fill="F0FF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19.41</w:t>
            </w: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494,205</w:t>
            </w:r>
          </w:p>
        </w:tc>
        <w:tc>
          <w:tcPr>
            <w:tcW w:w="2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11.57</w:t>
            </w:r>
          </w:p>
        </w:tc>
        <w:tc>
          <w:tcPr>
            <w:tcW w:w="200" w:type="dxa"/>
            <w:vAlign w:val="bottom"/>
            <w:shd w:val="clear" w:color="auto" w:fill="F0FF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9.59</w:t>
            </w: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11.34</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195,803</w:t>
            </w:r>
          </w:p>
        </w:tc>
      </w:tr>
      <w:tr>
        <w:trPr>
          <w:trHeight w:val="216"/>
        </w:trPr>
        <w:tc>
          <w:tcPr>
            <w:tcW w:w="20" w:type="dxa"/>
            <w:vAlign w:val="bottom"/>
          </w:tcPr>
          <w:p>
            <w:pPr>
              <w:spacing w:after="0"/>
              <w:rPr>
                <w:sz w:val="18"/>
                <w:szCs w:val="18"/>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Second quarter</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19.87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14.86</w:t>
            </w:r>
          </w:p>
        </w:tc>
        <w:tc>
          <w:tcPr>
            <w:tcW w:w="1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16.37</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308,486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12.94</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10.15</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12.42</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184,922</w:t>
            </w:r>
          </w:p>
        </w:tc>
      </w:tr>
      <w:tr>
        <w:trPr>
          <w:trHeight w:val="216"/>
        </w:trPr>
        <w:tc>
          <w:tcPr>
            <w:tcW w:w="20" w:type="dxa"/>
            <w:vAlign w:val="bottom"/>
          </w:tcPr>
          <w:p>
            <w:pPr>
              <w:spacing w:after="0"/>
              <w:rPr>
                <w:sz w:val="18"/>
                <w:szCs w:val="18"/>
                <w:color w:val="auto"/>
              </w:rPr>
            </w:pPr>
          </w:p>
        </w:tc>
        <w:tc>
          <w:tcPr>
            <w:tcW w:w="1740" w:type="dxa"/>
            <w:vAlign w:val="bottom"/>
            <w:shd w:val="clear" w:color="auto" w:fill="F0FFFF"/>
          </w:tcPr>
          <w:p>
            <w:pPr>
              <w:spacing w:after="0"/>
              <w:rPr>
                <w:sz w:val="20"/>
                <w:szCs w:val="20"/>
                <w:color w:val="auto"/>
              </w:rPr>
            </w:pPr>
            <w:r>
              <w:rPr>
                <w:rFonts w:ascii="Arial" w:cs="Arial" w:eastAsia="Arial" w:hAnsi="Arial"/>
                <w:sz w:val="18"/>
                <w:szCs w:val="18"/>
                <w:color w:val="auto"/>
              </w:rPr>
              <w:t>Third quarter</w:t>
            </w:r>
          </w:p>
        </w:tc>
        <w:tc>
          <w:tcPr>
            <w:tcW w:w="66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7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16.04</w:t>
            </w:r>
          </w:p>
        </w:tc>
        <w:tc>
          <w:tcPr>
            <w:tcW w:w="200" w:type="dxa"/>
            <w:vAlign w:val="bottom"/>
            <w:shd w:val="clear" w:color="auto" w:fill="F0FFFF"/>
          </w:tcPr>
          <w:p>
            <w:pPr>
              <w:spacing w:after="0"/>
              <w:rPr>
                <w:sz w:val="18"/>
                <w:szCs w:val="18"/>
                <w:color w:val="auto"/>
              </w:rPr>
            </w:pPr>
          </w:p>
        </w:tc>
        <w:tc>
          <w:tcPr>
            <w:tcW w:w="92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12.15</w:t>
            </w:r>
          </w:p>
        </w:tc>
        <w:tc>
          <w:tcPr>
            <w:tcW w:w="18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14.99</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341,270</w:t>
            </w:r>
          </w:p>
        </w:tc>
      </w:tr>
      <w:tr>
        <w:trPr>
          <w:trHeight w:val="230"/>
        </w:trPr>
        <w:tc>
          <w:tcPr>
            <w:tcW w:w="20" w:type="dxa"/>
            <w:vAlign w:val="bottom"/>
          </w:tcPr>
          <w:p>
            <w:pPr>
              <w:spacing w:after="0"/>
              <w:rPr>
                <w:sz w:val="20"/>
                <w:szCs w:val="20"/>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Fourth quarter</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18.56</w:t>
            </w: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14.82</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17.75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421,948</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 and Changing Prices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effect on the growth of total assets and the resulting need to increase equity capital at higher than normal rates in order to maintain an appropriate equity to assets ratio.</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United’s management believes the effect of inflation on financial results depends on United’s ability to react to changes in interest rates, and by such reaction, reduce the inflationary effect on performance. United has an asset/liability management program to manage interest rate sensitivity. In addition, periodic reviews of banking services and products are conducted to adjust pricing in view of current and expected costs.</w:t>
      </w:r>
    </w:p>
    <w:p>
      <w:pPr>
        <w:spacing w:after="0" w:line="17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have been no material changes in United’s quantitative and qualitative disclosures about market risk as of June 30, 2014 from that presented in the Annual Report on Form 10-K for the year ended December 31, 2013. The interest rate sensitivity position at June 30, 2014 is included in management’s discussion and analysis on page 54 of this report.</w:t>
      </w:r>
    </w:p>
    <w:p>
      <w:pPr>
        <w:spacing w:after="0" w:line="20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United’s management, including the Chief Executive Officer and Chief Financial Officer, supervised and participated in an evaluation of United’s disclosure controls and procedures as of June 30, 2014. Based on, and as of the date of that evaluation, United’s Chief Executive Officer and Chief Financial Officer have concluded that the disclosure controls and procedures were effective in accumulating and communicating information to management, including the Chief Executive Officer and Chief Financial Officer, as appropriate to allow timely decisions regarding required disclosures of that information under the SEC’s rules and forms and that the disclosure controls and procedures are designed to ensure that the information required to be disclosed in reports that are filed or submitted by United under the Exchange Act is recorded, processed, summarized and reported within the time periods specified in the SEC’s rules and forms.</w:t>
      </w:r>
    </w:p>
    <w:p>
      <w:pPr>
        <w:spacing w:after="0" w:line="2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significant changes in the internal controls or in other factors that could significantly affect these controls subsequent to the date of their evaluation.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6" w:name="page67"/>
    <w:bookmarkEnd w:id="66"/>
    <w:p>
      <w:pPr>
        <w:spacing w:after="0"/>
        <w:tabs>
          <w:tab w:leader="none" w:pos="100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25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operations, United and the Bank are defendants in various legal proceedings. Additionally, in the ordinary course of business, United and the Bank are subject to regulatory examinations and investigations. Based on our current knowledge and advice of counsel, in the opinion of management there is no such pending or threatened legal matter in which an adverse decision could result in a material adverse change in the consolidated financial condition or results of operations of United.</w:t>
      </w:r>
    </w:p>
    <w:p>
      <w:pPr>
        <w:spacing w:after="0" w:line="21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United’s Annual Report on Form 10-K for the year ended December 31, 2013.</w:t>
      </w:r>
    </w:p>
    <w:p>
      <w:pPr>
        <w:spacing w:after="0" w:line="19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 – None</w:t>
      </w:r>
    </w:p>
    <w:p>
      <w:pPr>
        <w:spacing w:after="0" w:line="25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 – None</w:t>
      </w:r>
    </w:p>
    <w:p>
      <w:pPr>
        <w:spacing w:after="0" w:line="25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 – None</w:t>
      </w:r>
    </w:p>
    <w:p>
      <w:pPr>
        <w:spacing w:after="0" w:line="22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 – None</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Arial" w:cs="Arial" w:eastAsia="Arial" w:hAnsi="Arial"/>
                <w:sz w:val="18"/>
                <w:szCs w:val="18"/>
                <w:b w:val="1"/>
                <w:bCs w:val="1"/>
                <w:color w:val="auto"/>
                <w:w w:val="94"/>
              </w:rPr>
              <w:t>Item 6.</w:t>
            </w:r>
          </w:p>
        </w:tc>
        <w:tc>
          <w:tcPr>
            <w:tcW w:w="1120" w:type="dxa"/>
            <w:vAlign w:val="bottom"/>
          </w:tcPr>
          <w:p>
            <w:pPr>
              <w:ind w:left="440"/>
              <w:spacing w:after="0"/>
              <w:rPr>
                <w:sz w:val="20"/>
                <w:szCs w:val="20"/>
                <w:color w:val="auto"/>
              </w:rPr>
            </w:pPr>
            <w:r>
              <w:rPr>
                <w:rFonts w:ascii="Arial" w:cs="Arial" w:eastAsia="Arial" w:hAnsi="Arial"/>
                <w:sz w:val="18"/>
                <w:szCs w:val="18"/>
                <w:b w:val="1"/>
                <w:bCs w:val="1"/>
                <w:color w:val="auto"/>
                <w:w w:val="94"/>
              </w:rPr>
              <w:t>Exhibits</w:t>
            </w:r>
          </w:p>
        </w:tc>
        <w:tc>
          <w:tcPr>
            <w:tcW w:w="9640" w:type="dxa"/>
            <w:vAlign w:val="bottom"/>
          </w:tcPr>
          <w:p>
            <w:pPr>
              <w:spacing w:after="0"/>
              <w:rPr>
                <w:sz w:val="20"/>
                <w:szCs w:val="20"/>
                <w:color w:val="auto"/>
              </w:rPr>
            </w:pPr>
          </w:p>
        </w:tc>
      </w:tr>
      <w:tr>
        <w:trPr>
          <w:trHeight w:val="432"/>
        </w:trPr>
        <w:tc>
          <w:tcPr>
            <w:tcW w:w="168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9640" w:type="dxa"/>
            <w:vAlign w:val="bottom"/>
          </w:tcPr>
          <w:p>
            <w:pPr>
              <w:ind w:left="40"/>
              <w:spacing w:after="0"/>
              <w:rPr>
                <w:sz w:val="20"/>
                <w:szCs w:val="20"/>
                <w:color w:val="auto"/>
              </w:rPr>
            </w:pPr>
            <w:r>
              <w:rPr>
                <w:rFonts w:ascii="Arial" w:cs="Arial" w:eastAsia="Arial" w:hAnsi="Arial"/>
                <w:sz w:val="18"/>
                <w:szCs w:val="18"/>
                <w:color w:val="auto"/>
              </w:rPr>
              <w:t>Description</w:t>
            </w:r>
          </w:p>
        </w:tc>
      </w:tr>
      <w:tr>
        <w:trPr>
          <w:trHeight w:val="418"/>
        </w:trPr>
        <w:tc>
          <w:tcPr>
            <w:tcW w:w="56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8"/>
                <w:szCs w:val="18"/>
                <w:color w:val="auto"/>
              </w:rPr>
              <w:t>31.1</w:t>
            </w:r>
          </w:p>
        </w:tc>
        <w:tc>
          <w:tcPr>
            <w:tcW w:w="9640" w:type="dxa"/>
            <w:vAlign w:val="bottom"/>
          </w:tcPr>
          <w:p>
            <w:pPr>
              <w:ind w:left="40"/>
              <w:spacing w:after="0"/>
              <w:rPr>
                <w:sz w:val="20"/>
                <w:szCs w:val="20"/>
                <w:color w:val="auto"/>
              </w:rPr>
            </w:pPr>
            <w:r>
              <w:rPr>
                <w:rFonts w:ascii="Arial" w:cs="Arial" w:eastAsia="Arial" w:hAnsi="Arial"/>
                <w:sz w:val="18"/>
                <w:szCs w:val="18"/>
                <w:color w:val="auto"/>
                <w:w w:val="93"/>
              </w:rPr>
              <w:t>Certification by Jimmy C. Tallent, President and Chief Executive Officer of United Community Banks, Inc., as adopted pursuant to</w:t>
            </w:r>
          </w:p>
        </w:tc>
      </w:tr>
      <w:tr>
        <w:trPr>
          <w:trHeight w:val="230"/>
        </w:trPr>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640" w:type="dxa"/>
            <w:vAlign w:val="bottom"/>
          </w:tcPr>
          <w:p>
            <w:pPr>
              <w:ind w:left="40"/>
              <w:spacing w:after="0"/>
              <w:rPr>
                <w:sz w:val="20"/>
                <w:szCs w:val="20"/>
                <w:color w:val="auto"/>
              </w:rPr>
            </w:pPr>
            <w:r>
              <w:rPr>
                <w:rFonts w:ascii="Arial" w:cs="Arial" w:eastAsia="Arial" w:hAnsi="Arial"/>
                <w:sz w:val="18"/>
                <w:szCs w:val="18"/>
                <w:color w:val="auto"/>
              </w:rPr>
              <w:t>Section 302 of the Sarbanes-Oxley Act of 2002.</w:t>
            </w:r>
          </w:p>
        </w:tc>
      </w:tr>
      <w:tr>
        <w:trPr>
          <w:trHeight w:val="418"/>
        </w:trPr>
        <w:tc>
          <w:tcPr>
            <w:tcW w:w="56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8"/>
                <w:szCs w:val="18"/>
                <w:color w:val="auto"/>
              </w:rPr>
              <w:t>31.2</w:t>
            </w:r>
          </w:p>
        </w:tc>
        <w:tc>
          <w:tcPr>
            <w:tcW w:w="9640" w:type="dxa"/>
            <w:vAlign w:val="bottom"/>
          </w:tcPr>
          <w:p>
            <w:pPr>
              <w:ind w:left="40"/>
              <w:spacing w:after="0"/>
              <w:rPr>
                <w:sz w:val="20"/>
                <w:szCs w:val="20"/>
                <w:color w:val="auto"/>
              </w:rPr>
            </w:pPr>
            <w:r>
              <w:rPr>
                <w:rFonts w:ascii="Arial" w:cs="Arial" w:eastAsia="Arial" w:hAnsi="Arial"/>
                <w:sz w:val="18"/>
                <w:szCs w:val="18"/>
                <w:color w:val="auto"/>
                <w:w w:val="91"/>
              </w:rPr>
              <w:t>Certification by Rex S. Schuette, Executive Vice President and Chief Financial Officer of United Community Banks, Inc., as adopted</w:t>
            </w:r>
          </w:p>
        </w:tc>
      </w:tr>
      <w:tr>
        <w:trPr>
          <w:trHeight w:val="230"/>
        </w:trPr>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640" w:type="dxa"/>
            <w:vAlign w:val="bottom"/>
          </w:tcPr>
          <w:p>
            <w:pPr>
              <w:ind w:left="4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432"/>
        </w:trPr>
        <w:tc>
          <w:tcPr>
            <w:tcW w:w="56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8"/>
                <w:szCs w:val="18"/>
                <w:color w:val="auto"/>
              </w:rPr>
              <w:t>32</w:t>
            </w:r>
          </w:p>
        </w:tc>
        <w:tc>
          <w:tcPr>
            <w:tcW w:w="9640" w:type="dxa"/>
            <w:vAlign w:val="bottom"/>
          </w:tcPr>
          <w:p>
            <w:pPr>
              <w:ind w:left="40"/>
              <w:spacing w:after="0"/>
              <w:rPr>
                <w:sz w:val="20"/>
                <w:szCs w:val="20"/>
                <w:color w:val="auto"/>
              </w:rPr>
            </w:pPr>
            <w:r>
              <w:rPr>
                <w:rFonts w:ascii="Arial" w:cs="Arial" w:eastAsia="Arial" w:hAnsi="Arial"/>
                <w:sz w:val="18"/>
                <w:szCs w:val="18"/>
                <w:color w:val="auto"/>
                <w:w w:val="98"/>
              </w:rPr>
              <w:t>Certification Pursuant to 18 U.S.C. Section 1350, as Adopted Pursuant to Section 906 of the Sarbanes-Oxley Act of 2002.</w:t>
            </w:r>
          </w:p>
        </w:tc>
      </w:tr>
      <w:tr>
        <w:trPr>
          <w:trHeight w:val="531"/>
        </w:trPr>
        <w:tc>
          <w:tcPr>
            <w:tcW w:w="56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8"/>
                <w:szCs w:val="18"/>
                <w:color w:val="auto"/>
              </w:rPr>
              <w:t>101.INS</w:t>
            </w:r>
          </w:p>
        </w:tc>
        <w:tc>
          <w:tcPr>
            <w:tcW w:w="9640" w:type="dxa"/>
            <w:vAlign w:val="bottom"/>
          </w:tcPr>
          <w:p>
            <w:pPr>
              <w:ind w:left="40"/>
              <w:spacing w:after="0"/>
              <w:rPr>
                <w:sz w:val="20"/>
                <w:szCs w:val="20"/>
                <w:color w:val="auto"/>
              </w:rPr>
            </w:pPr>
            <w:r>
              <w:rPr>
                <w:rFonts w:ascii="Arial" w:cs="Arial" w:eastAsia="Arial" w:hAnsi="Arial"/>
                <w:sz w:val="18"/>
                <w:szCs w:val="18"/>
                <w:color w:val="auto"/>
              </w:rPr>
              <w:t xml:space="preserve">XBRL Instance Document </w:t>
            </w:r>
            <w:r>
              <w:rPr>
                <w:rFonts w:ascii="Arial" w:cs="Arial" w:eastAsia="Arial" w:hAnsi="Arial"/>
                <w:sz w:val="25"/>
                <w:szCs w:val="25"/>
                <w:color w:val="auto"/>
                <w:vertAlign w:val="superscript"/>
              </w:rPr>
              <w:t>(1)</w:t>
            </w:r>
          </w:p>
        </w:tc>
      </w:tr>
      <w:tr>
        <w:trPr>
          <w:trHeight w:val="432"/>
        </w:trPr>
        <w:tc>
          <w:tcPr>
            <w:tcW w:w="56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8"/>
                <w:szCs w:val="18"/>
                <w:color w:val="auto"/>
              </w:rPr>
              <w:t>101.SCH</w:t>
            </w:r>
          </w:p>
        </w:tc>
        <w:tc>
          <w:tcPr>
            <w:tcW w:w="9640" w:type="dxa"/>
            <w:vAlign w:val="bottom"/>
          </w:tcPr>
          <w:p>
            <w:pPr>
              <w:ind w:left="40"/>
              <w:spacing w:after="0"/>
              <w:rPr>
                <w:sz w:val="20"/>
                <w:szCs w:val="20"/>
                <w:color w:val="auto"/>
              </w:rPr>
            </w:pPr>
            <w:r>
              <w:rPr>
                <w:rFonts w:ascii="Arial" w:cs="Arial" w:eastAsia="Arial" w:hAnsi="Arial"/>
                <w:sz w:val="18"/>
                <w:szCs w:val="18"/>
                <w:color w:val="auto"/>
              </w:rPr>
              <w:t xml:space="preserve">XBRL Taxonomy Extension Schema Document </w:t>
            </w:r>
            <w:r>
              <w:rPr>
                <w:rFonts w:ascii="Arial" w:cs="Arial" w:eastAsia="Arial" w:hAnsi="Arial"/>
                <w:sz w:val="25"/>
                <w:szCs w:val="25"/>
                <w:color w:val="auto"/>
                <w:vertAlign w:val="superscript"/>
              </w:rPr>
              <w:t>(1)</w:t>
            </w:r>
          </w:p>
        </w:tc>
      </w:tr>
      <w:tr>
        <w:trPr>
          <w:trHeight w:val="432"/>
        </w:trPr>
        <w:tc>
          <w:tcPr>
            <w:tcW w:w="56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8"/>
                <w:szCs w:val="18"/>
                <w:color w:val="auto"/>
              </w:rPr>
              <w:t>101.CAL</w:t>
            </w:r>
          </w:p>
        </w:tc>
        <w:tc>
          <w:tcPr>
            <w:tcW w:w="9640" w:type="dxa"/>
            <w:vAlign w:val="bottom"/>
          </w:tcPr>
          <w:p>
            <w:pPr>
              <w:ind w:left="40"/>
              <w:spacing w:after="0"/>
              <w:rPr>
                <w:sz w:val="20"/>
                <w:szCs w:val="20"/>
                <w:color w:val="auto"/>
              </w:rPr>
            </w:pPr>
            <w:r>
              <w:rPr>
                <w:rFonts w:ascii="Arial" w:cs="Arial" w:eastAsia="Arial" w:hAnsi="Arial"/>
                <w:sz w:val="18"/>
                <w:szCs w:val="18"/>
                <w:color w:val="auto"/>
              </w:rPr>
              <w:t xml:space="preserve">XBRL Taxonomy Extension Calculation Linkbase Document </w:t>
            </w:r>
            <w:r>
              <w:rPr>
                <w:rFonts w:ascii="Arial" w:cs="Arial" w:eastAsia="Arial" w:hAnsi="Arial"/>
                <w:sz w:val="25"/>
                <w:szCs w:val="25"/>
                <w:color w:val="auto"/>
                <w:vertAlign w:val="superscript"/>
              </w:rPr>
              <w:t>(1)</w:t>
            </w:r>
          </w:p>
        </w:tc>
      </w:tr>
      <w:tr>
        <w:trPr>
          <w:trHeight w:val="432"/>
        </w:trPr>
        <w:tc>
          <w:tcPr>
            <w:tcW w:w="56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8"/>
                <w:szCs w:val="18"/>
                <w:color w:val="auto"/>
              </w:rPr>
              <w:t>101.DEF</w:t>
            </w:r>
          </w:p>
        </w:tc>
        <w:tc>
          <w:tcPr>
            <w:tcW w:w="9640" w:type="dxa"/>
            <w:vAlign w:val="bottom"/>
          </w:tcPr>
          <w:p>
            <w:pPr>
              <w:ind w:left="40"/>
              <w:spacing w:after="0"/>
              <w:rPr>
                <w:sz w:val="20"/>
                <w:szCs w:val="20"/>
                <w:color w:val="auto"/>
              </w:rPr>
            </w:pPr>
            <w:r>
              <w:rPr>
                <w:rFonts w:ascii="Arial" w:cs="Arial" w:eastAsia="Arial" w:hAnsi="Arial"/>
                <w:sz w:val="18"/>
                <w:szCs w:val="18"/>
                <w:color w:val="auto"/>
              </w:rPr>
              <w:t xml:space="preserve">XBRL Taxonomy Extension Definition Linkbase Document </w:t>
            </w:r>
            <w:r>
              <w:rPr>
                <w:rFonts w:ascii="Arial" w:cs="Arial" w:eastAsia="Arial" w:hAnsi="Arial"/>
                <w:sz w:val="25"/>
                <w:szCs w:val="25"/>
                <w:color w:val="auto"/>
                <w:vertAlign w:val="superscript"/>
              </w:rPr>
              <w:t>(1)</w:t>
            </w:r>
          </w:p>
        </w:tc>
      </w:tr>
      <w:tr>
        <w:trPr>
          <w:trHeight w:val="432"/>
        </w:trPr>
        <w:tc>
          <w:tcPr>
            <w:tcW w:w="56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8"/>
                <w:szCs w:val="18"/>
                <w:color w:val="auto"/>
              </w:rPr>
              <w:t>101.LAB</w:t>
            </w:r>
          </w:p>
        </w:tc>
        <w:tc>
          <w:tcPr>
            <w:tcW w:w="9640" w:type="dxa"/>
            <w:vAlign w:val="bottom"/>
          </w:tcPr>
          <w:p>
            <w:pPr>
              <w:ind w:left="40"/>
              <w:spacing w:after="0"/>
              <w:rPr>
                <w:sz w:val="20"/>
                <w:szCs w:val="20"/>
                <w:color w:val="auto"/>
              </w:rPr>
            </w:pPr>
            <w:r>
              <w:rPr>
                <w:rFonts w:ascii="Arial" w:cs="Arial" w:eastAsia="Arial" w:hAnsi="Arial"/>
                <w:sz w:val="18"/>
                <w:szCs w:val="18"/>
                <w:color w:val="auto"/>
              </w:rPr>
              <w:t xml:space="preserve">XBRL Taxonomy Extension Label Linkbase Document </w:t>
            </w:r>
            <w:r>
              <w:rPr>
                <w:rFonts w:ascii="Arial" w:cs="Arial" w:eastAsia="Arial" w:hAnsi="Arial"/>
                <w:sz w:val="25"/>
                <w:szCs w:val="25"/>
                <w:color w:val="auto"/>
                <w:vertAlign w:val="superscript"/>
              </w:rPr>
              <w:t>(1)</w:t>
            </w:r>
          </w:p>
        </w:tc>
      </w:tr>
      <w:tr>
        <w:trPr>
          <w:trHeight w:val="432"/>
        </w:trPr>
        <w:tc>
          <w:tcPr>
            <w:tcW w:w="56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8"/>
                <w:szCs w:val="18"/>
                <w:color w:val="auto"/>
              </w:rPr>
              <w:t>101.PRE</w:t>
            </w:r>
          </w:p>
        </w:tc>
        <w:tc>
          <w:tcPr>
            <w:tcW w:w="9640" w:type="dxa"/>
            <w:vAlign w:val="bottom"/>
          </w:tcPr>
          <w:p>
            <w:pPr>
              <w:ind w:left="40"/>
              <w:spacing w:after="0"/>
              <w:rPr>
                <w:sz w:val="20"/>
                <w:szCs w:val="20"/>
                <w:color w:val="auto"/>
              </w:rPr>
            </w:pPr>
            <w:r>
              <w:rPr>
                <w:rFonts w:ascii="Arial" w:cs="Arial" w:eastAsia="Arial" w:hAnsi="Arial"/>
                <w:sz w:val="18"/>
                <w:szCs w:val="18"/>
                <w:color w:val="auto"/>
              </w:rPr>
              <w:t xml:space="preserve">XBRL Taxonomy Extension Presentation Linkbase Document </w:t>
            </w:r>
            <w:r>
              <w:rPr>
                <w:rFonts w:ascii="Arial" w:cs="Arial" w:eastAsia="Arial" w:hAnsi="Arial"/>
                <w:sz w:val="25"/>
                <w:szCs w:val="25"/>
                <w:color w:val="auto"/>
                <w:vertAlign w:val="superscript"/>
              </w:rPr>
              <w:t>(1)</w:t>
            </w:r>
          </w:p>
        </w:tc>
      </w:tr>
    </w:tbl>
    <w:p>
      <w:pPr>
        <w:spacing w:after="0" w:line="130" w:lineRule="exact"/>
        <w:rPr>
          <w:sz w:val="20"/>
          <w:szCs w:val="20"/>
          <w:color w:val="auto"/>
        </w:rPr>
      </w:pPr>
    </w:p>
    <w:p>
      <w:pPr>
        <w:jc w:val="both"/>
        <w:ind w:left="500" w:hanging="492"/>
        <w:spacing w:after="0" w:line="226" w:lineRule="auto"/>
        <w:tabs>
          <w:tab w:leader="none" w:pos="50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Pursuant to Rule 406T of Regulation S-T, the Interactive Data Files on Exhibit 101 hereto are deemed not filed or part of a registration statement or prospectus for purposes of Sections 11 or 12 of the Securities Act of 1933 are deemed not filed for purposes of Section 18 of the Securities and Exchange Act of 1934 and otherwise are not subject to liability under those sections.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UNITED COMMUNITY BANKS, INC.</w:t>
      </w:r>
    </w:p>
    <w:p>
      <w:pPr>
        <w:spacing w:after="0" w:line="229" w:lineRule="exact"/>
        <w:rPr>
          <w:sz w:val="20"/>
          <w:szCs w:val="20"/>
          <w:color w:val="auto"/>
        </w:rPr>
      </w:pPr>
    </w:p>
    <w:p>
      <w:pPr>
        <w:ind w:left="5680"/>
        <w:spacing w:after="0"/>
        <w:rPr>
          <w:sz w:val="20"/>
          <w:szCs w:val="20"/>
          <w:color w:val="auto"/>
        </w:rPr>
      </w:pPr>
      <w:r>
        <w:rPr>
          <w:rFonts w:ascii="Arial" w:cs="Arial" w:eastAsia="Arial" w:hAnsi="Arial"/>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14605</wp:posOffset>
            </wp:positionV>
            <wp:extent cx="219519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95195" cy="1714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680"/>
        <w:spacing w:after="0"/>
        <w:rPr>
          <w:sz w:val="20"/>
          <w:szCs w:val="20"/>
          <w:color w:val="auto"/>
        </w:rPr>
      </w:pPr>
      <w:r>
        <w:rPr>
          <w:rFonts w:ascii="Arial" w:cs="Arial" w:eastAsia="Arial" w:hAnsi="Arial"/>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14605</wp:posOffset>
            </wp:positionV>
            <wp:extent cx="219519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95195" cy="1714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Rex S. Schuette</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left="5680"/>
        <w:spacing w:after="0"/>
        <w:rPr>
          <w:sz w:val="20"/>
          <w:szCs w:val="20"/>
          <w:color w:val="auto"/>
        </w:rPr>
      </w:pPr>
      <w:r>
        <w:rPr>
          <w:rFonts w:ascii="Arial" w:cs="Arial" w:eastAsia="Arial" w:hAnsi="Arial"/>
          <w:sz w:val="18"/>
          <w:szCs w:val="18"/>
          <w:b w:val="1"/>
          <w:bCs w:val="1"/>
          <w:i w:val="1"/>
          <w:iCs w:val="1"/>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14605</wp:posOffset>
            </wp:positionV>
            <wp:extent cx="219519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95195" cy="17145"/>
                    </a:xfrm>
                    <a:prstGeom prst="rect">
                      <a:avLst/>
                    </a:prstGeom>
                    <a:noFill/>
                  </pic:spPr>
                </pic:pic>
              </a:graphicData>
            </a:graphic>
          </wp:anchor>
        </w:drawing>
      </w:r>
    </w:p>
    <w:p>
      <w:pPr>
        <w:spacing w:after="0" w:line="16"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Alan H. Kumler</w:t>
      </w:r>
    </w:p>
    <w:p>
      <w:pPr>
        <w:spacing w:after="0" w:line="2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Senior Vice President and Controller</w:t>
      </w:r>
    </w:p>
    <w:p>
      <w:pPr>
        <w:spacing w:after="0" w:line="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(Principal Accounting Officer)</w:t>
      </w:r>
    </w:p>
    <w:p>
      <w:pPr>
        <w:spacing w:after="0" w:line="21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Date: August 11, 2014</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31.1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Jimmy C. Tallent, certify that:</w:t>
      </w:r>
    </w:p>
    <w:p>
      <w:pPr>
        <w:spacing w:after="0" w:line="252" w:lineRule="exact"/>
        <w:rPr>
          <w:sz w:val="20"/>
          <w:szCs w:val="20"/>
          <w:color w:val="auto"/>
        </w:rPr>
      </w:pPr>
    </w:p>
    <w:p>
      <w:pPr>
        <w:ind w:left="240" w:hanging="232"/>
        <w:spacing w:after="0"/>
        <w:tabs>
          <w:tab w:leader="none" w:pos="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252"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225"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2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863"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892"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4"/>
        <w:spacing w:after="0" w:line="308" w:lineRule="auto"/>
        <w:tabs>
          <w:tab w:leader="none" w:pos="890"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4"/>
        <w:spacing w:after="0" w:line="264" w:lineRule="auto"/>
        <w:tabs>
          <w:tab w:leader="none" w:pos="872"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firstLine="8"/>
        <w:spacing w:after="0" w:line="277" w:lineRule="auto"/>
        <w:tabs>
          <w:tab w:leader="none" w:pos="20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97" w:lineRule="exact"/>
        <w:rPr>
          <w:rFonts w:ascii="Arial" w:cs="Arial" w:eastAsia="Arial" w:hAnsi="Arial"/>
          <w:sz w:val="18"/>
          <w:szCs w:val="18"/>
          <w:color w:val="auto"/>
        </w:rPr>
      </w:pPr>
    </w:p>
    <w:p>
      <w:pPr>
        <w:ind w:left="660" w:right="20" w:hanging="4"/>
        <w:spacing w:after="0" w:line="277" w:lineRule="auto"/>
        <w:tabs>
          <w:tab w:leader="none" w:pos="858"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4"/>
        <w:spacing w:after="0" w:line="277" w:lineRule="auto"/>
        <w:tabs>
          <w:tab w:leader="none" w:pos="865"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14605</wp:posOffset>
            </wp:positionV>
            <wp:extent cx="268414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84145" cy="1714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of the Registrant</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Date: August 11,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31.2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Rex S. Schuette, certify that:</w:t>
      </w:r>
    </w:p>
    <w:p>
      <w:pPr>
        <w:spacing w:after="0" w:line="252" w:lineRule="exact"/>
        <w:rPr>
          <w:sz w:val="20"/>
          <w:szCs w:val="20"/>
          <w:color w:val="auto"/>
        </w:rPr>
      </w:pPr>
    </w:p>
    <w:p>
      <w:pPr>
        <w:ind w:left="240" w:hanging="232"/>
        <w:spacing w:after="0"/>
        <w:tabs>
          <w:tab w:leader="none" w:pos="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252"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225"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2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863"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892"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4"/>
        <w:spacing w:after="0" w:line="308" w:lineRule="auto"/>
        <w:tabs>
          <w:tab w:leader="none" w:pos="890"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4"/>
        <w:spacing w:after="0" w:line="264" w:lineRule="auto"/>
        <w:tabs>
          <w:tab w:leader="none" w:pos="872"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firstLine="8"/>
        <w:spacing w:after="0" w:line="277" w:lineRule="auto"/>
        <w:tabs>
          <w:tab w:leader="none" w:pos="20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97" w:lineRule="exact"/>
        <w:rPr>
          <w:rFonts w:ascii="Arial" w:cs="Arial" w:eastAsia="Arial" w:hAnsi="Arial"/>
          <w:sz w:val="18"/>
          <w:szCs w:val="18"/>
          <w:color w:val="auto"/>
        </w:rPr>
      </w:pPr>
    </w:p>
    <w:p>
      <w:pPr>
        <w:ind w:left="660" w:right="20" w:hanging="4"/>
        <w:spacing w:after="0" w:line="277" w:lineRule="auto"/>
        <w:tabs>
          <w:tab w:leader="none" w:pos="85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4"/>
        <w:spacing w:after="0" w:line="277" w:lineRule="auto"/>
        <w:tabs>
          <w:tab w:leader="none" w:pos="865"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14605</wp:posOffset>
            </wp:positionV>
            <wp:extent cx="268414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84145" cy="1714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Rex S. Schuette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of the Registrant</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Date: August 11,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56"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19050"/>
                    </a:xfrm>
                    <a:prstGeom prst="rect">
                      <a:avLst/>
                    </a:prstGeom>
                    <a:noFill/>
                  </pic:spPr>
                </pic:pic>
              </a:graphicData>
            </a:graphic>
          </wp:anchor>
        </w:drawing>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United Community Banks, Inc. (“United”) on Form 10-Q for the period ending June 30, 2014 filed with the Securities and Exchange Commission on the date hereof (the “Report”), I, Jimmy C. Tallent, President and Chief Executive Officer of United, and I, Rex S. Schuette, Executive Vice President and Chief Financial Officer of United, certify, pursuant to 18 U.S.C. Section 1350, as adopted pursuant to Section 906 of the Sarbanes-Oxley Act of 2002, that:</w:t>
      </w:r>
    </w:p>
    <w:p>
      <w:pPr>
        <w:spacing w:after="0" w:line="214"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United.</w:t>
      </w:r>
    </w:p>
    <w:p>
      <w:pPr>
        <w:spacing w:after="0" w:line="26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14605</wp:posOffset>
            </wp:positionV>
            <wp:extent cx="268414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84145" cy="1714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14605</wp:posOffset>
            </wp:positionV>
            <wp:extent cx="268414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84145" cy="17145"/>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Rex S. Schuette</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Date: August 11,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25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2019-12-06T03:43:42Z</dcterms:created>
  <dcterms:modified xsi:type="dcterms:W3CDTF">2019-12-06T03:43:42Z</dcterms:modified>
</cp:coreProperties>
</file>