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0"/>
        <w:spacing w:after="0"/>
        <w:rPr>
          <w:sz w:val="20"/>
          <w:szCs w:val="20"/>
          <w:color w:val="auto"/>
        </w:rPr>
      </w:pPr>
      <w:r>
        <w:rPr>
          <w:rFonts w:ascii="Courier New" w:cs="Courier New" w:eastAsia="Courier New" w:hAnsi="Courier New"/>
          <w:sz w:val="15"/>
          <w:szCs w:val="15"/>
          <w:color w:val="auto"/>
        </w:rPr>
        <w:t>UNITED COMMUNITY BANKS, INC.</w:t>
      </w:r>
    </w:p>
    <w:p>
      <w:pPr>
        <w:ind w:left="2820"/>
        <w:spacing w:after="0"/>
        <w:rPr>
          <w:sz w:val="20"/>
          <w:szCs w:val="20"/>
          <w:color w:val="auto"/>
        </w:rPr>
      </w:pPr>
      <w:r>
        <w:rPr>
          <w:rFonts w:ascii="Courier New" w:cs="Courier New" w:eastAsia="Courier New" w:hAnsi="Courier New"/>
          <w:sz w:val="15"/>
          <w:szCs w:val="15"/>
          <w:color w:val="auto"/>
        </w:rPr>
        <w:t>SUPPLEMENT</w:t>
      </w:r>
    </w:p>
    <w:p>
      <w:pPr>
        <w:ind w:left="2380"/>
        <w:spacing w:after="0"/>
        <w:rPr>
          <w:sz w:val="20"/>
          <w:szCs w:val="20"/>
          <w:color w:val="auto"/>
        </w:rPr>
      </w:pPr>
      <w:r>
        <w:rPr>
          <w:rFonts w:ascii="Courier New" w:cs="Courier New" w:eastAsia="Courier New" w:hAnsi="Courier New"/>
          <w:sz w:val="15"/>
          <w:szCs w:val="15"/>
          <w:color w:val="auto"/>
        </w:rPr>
        <w:t>dated April 1, 1997</w:t>
      </w:r>
    </w:p>
    <w:p>
      <w:pPr>
        <w:jc w:val="center"/>
        <w:ind w:right="5000"/>
        <w:spacing w:after="0" w:line="238" w:lineRule="auto"/>
        <w:rPr>
          <w:sz w:val="20"/>
          <w:szCs w:val="20"/>
          <w:color w:val="auto"/>
        </w:rPr>
      </w:pPr>
      <w:r>
        <w:rPr>
          <w:rFonts w:ascii="Courier New" w:cs="Courier New" w:eastAsia="Courier New" w:hAnsi="Courier New"/>
          <w:sz w:val="15"/>
          <w:szCs w:val="15"/>
          <w:color w:val="auto"/>
        </w:rPr>
        <w:t>to</w:t>
      </w:r>
    </w:p>
    <w:p>
      <w:pPr>
        <w:jc w:val="center"/>
        <w:ind w:right="5000"/>
        <w:spacing w:after="0"/>
        <w:rPr>
          <w:sz w:val="20"/>
          <w:szCs w:val="20"/>
          <w:color w:val="auto"/>
        </w:rPr>
      </w:pPr>
      <w:r>
        <w:rPr>
          <w:rFonts w:ascii="Courier New" w:cs="Courier New" w:eastAsia="Courier New" w:hAnsi="Courier New"/>
          <w:sz w:val="15"/>
          <w:szCs w:val="15"/>
          <w:color w:val="auto"/>
        </w:rPr>
        <w:t>PROSPECTUS</w:t>
      </w:r>
    </w:p>
    <w:p>
      <w:pPr>
        <w:jc w:val="center"/>
        <w:ind w:right="5000"/>
        <w:spacing w:after="0"/>
        <w:rPr>
          <w:sz w:val="20"/>
          <w:szCs w:val="20"/>
          <w:color w:val="auto"/>
        </w:rPr>
      </w:pPr>
      <w:r>
        <w:rPr>
          <w:rFonts w:ascii="Courier New" w:cs="Courier New" w:eastAsia="Courier New" w:hAnsi="Courier New"/>
          <w:sz w:val="15"/>
          <w:szCs w:val="15"/>
          <w:color w:val="auto"/>
        </w:rPr>
        <w:t>dated March 27, 1997</w:t>
      </w:r>
    </w:p>
    <w:p>
      <w:pPr>
        <w:ind w:left="2200"/>
        <w:spacing w:after="0" w:line="238" w:lineRule="auto"/>
        <w:rPr>
          <w:sz w:val="20"/>
          <w:szCs w:val="20"/>
          <w:color w:val="auto"/>
        </w:rPr>
      </w:pPr>
      <w:r>
        <w:rPr>
          <w:rFonts w:ascii="Courier New" w:cs="Courier New" w:eastAsia="Courier New" w:hAnsi="Courier New"/>
          <w:sz w:val="15"/>
          <w:szCs w:val="15"/>
          <w:color w:val="auto"/>
        </w:rPr>
        <w:t>_______________________</w:t>
      </w:r>
    </w:p>
    <w:p>
      <w:pPr>
        <w:spacing w:after="0" w:line="169" w:lineRule="exact"/>
        <w:rPr>
          <w:sz w:val="24"/>
          <w:szCs w:val="24"/>
          <w:color w:val="auto"/>
        </w:rPr>
      </w:pPr>
    </w:p>
    <w:p>
      <w:pPr>
        <w:jc w:val="center"/>
        <w:ind w:right="5000"/>
        <w:spacing w:after="0"/>
        <w:rPr>
          <w:sz w:val="20"/>
          <w:szCs w:val="20"/>
          <w:color w:val="auto"/>
        </w:rPr>
      </w:pPr>
      <w:r>
        <w:rPr>
          <w:rFonts w:ascii="Courier New" w:cs="Courier New" w:eastAsia="Courier New" w:hAnsi="Courier New"/>
          <w:sz w:val="15"/>
          <w:szCs w:val="15"/>
          <w:color w:val="auto"/>
        </w:rPr>
        <w:t>300,000 Shares of Common Stock</w:t>
      </w:r>
    </w:p>
    <w:p>
      <w:pPr>
        <w:ind w:left="2280"/>
        <w:spacing w:after="0"/>
        <w:rPr>
          <w:sz w:val="20"/>
          <w:szCs w:val="20"/>
          <w:color w:val="auto"/>
        </w:rPr>
      </w:pPr>
      <w:r>
        <w:rPr>
          <w:rFonts w:ascii="Courier New" w:cs="Courier New" w:eastAsia="Courier New" w:hAnsi="Courier New"/>
          <w:sz w:val="15"/>
          <w:szCs w:val="15"/>
          <w:color w:val="auto"/>
        </w:rPr>
        <w:t>$1 par value per Share</w:t>
      </w:r>
    </w:p>
    <w:p>
      <w:pPr>
        <w:ind w:left="2640"/>
        <w:spacing w:after="0"/>
        <w:rPr>
          <w:sz w:val="20"/>
          <w:szCs w:val="20"/>
          <w:color w:val="auto"/>
        </w:rPr>
      </w:pPr>
      <w:r>
        <w:rPr>
          <w:rFonts w:ascii="Courier New" w:cs="Courier New" w:eastAsia="Courier New" w:hAnsi="Courier New"/>
          <w:sz w:val="15"/>
          <w:szCs w:val="15"/>
          <w:color w:val="auto"/>
        </w:rPr>
        <w:t>$22 per Share</w:t>
      </w:r>
    </w:p>
    <w:p>
      <w:pPr>
        <w:ind w:left="2200"/>
        <w:spacing w:after="0" w:line="238" w:lineRule="auto"/>
        <w:rPr>
          <w:sz w:val="20"/>
          <w:szCs w:val="20"/>
          <w:color w:val="auto"/>
        </w:rPr>
      </w:pPr>
      <w:r>
        <w:rPr>
          <w:rFonts w:ascii="Courier New" w:cs="Courier New" w:eastAsia="Courier New" w:hAnsi="Courier New"/>
          <w:sz w:val="15"/>
          <w:szCs w:val="15"/>
          <w:color w:val="auto"/>
        </w:rPr>
        <w:t>_______________________</w:t>
      </w:r>
    </w:p>
    <w:p>
      <w:pPr>
        <w:spacing w:after="0" w:line="169"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This Supplement has been prepared solely for use in</w:t>
      </w:r>
    </w:p>
    <w:p>
      <w:pPr>
        <w:spacing w:after="0"/>
        <w:rPr>
          <w:sz w:val="20"/>
          <w:szCs w:val="20"/>
          <w:color w:val="auto"/>
        </w:rPr>
      </w:pPr>
      <w:r>
        <w:rPr>
          <w:rFonts w:ascii="Courier New" w:cs="Courier New" w:eastAsia="Courier New" w:hAnsi="Courier New"/>
          <w:sz w:val="15"/>
          <w:szCs w:val="15"/>
          <w:color w:val="auto"/>
        </w:rPr>
        <w:t>conjunction with the Prospectus dated March 7, 1997 (the</w:t>
      </w:r>
    </w:p>
    <w:p>
      <w:pPr>
        <w:spacing w:after="0"/>
        <w:rPr>
          <w:sz w:val="20"/>
          <w:szCs w:val="20"/>
          <w:color w:val="auto"/>
        </w:rPr>
      </w:pPr>
      <w:r>
        <w:rPr>
          <w:rFonts w:ascii="Courier New" w:cs="Courier New" w:eastAsia="Courier New" w:hAnsi="Courier New"/>
          <w:sz w:val="15"/>
          <w:szCs w:val="15"/>
          <w:color w:val="auto"/>
        </w:rPr>
        <w:t>"Prospectus") pursuant to which an aggregate of 250,000 shares of</w:t>
      </w:r>
    </w:p>
    <w:p>
      <w:pPr>
        <w:spacing w:after="0" w:line="238" w:lineRule="auto"/>
        <w:rPr>
          <w:sz w:val="20"/>
          <w:szCs w:val="20"/>
          <w:color w:val="auto"/>
        </w:rPr>
      </w:pPr>
      <w:r>
        <w:rPr>
          <w:rFonts w:ascii="Courier New" w:cs="Courier New" w:eastAsia="Courier New" w:hAnsi="Courier New"/>
          <w:sz w:val="15"/>
          <w:szCs w:val="15"/>
          <w:color w:val="auto"/>
        </w:rPr>
        <w:t>Common Stock (the "Shares") were offered by United Community</w:t>
      </w:r>
    </w:p>
    <w:p>
      <w:pPr>
        <w:spacing w:after="0"/>
        <w:tabs>
          <w:tab w:leader="none" w:pos="3940" w:val="left"/>
        </w:tabs>
        <w:rPr>
          <w:sz w:val="20"/>
          <w:szCs w:val="20"/>
          <w:color w:val="auto"/>
        </w:rPr>
      </w:pPr>
      <w:r>
        <w:rPr>
          <w:rFonts w:ascii="Courier New" w:cs="Courier New" w:eastAsia="Courier New" w:hAnsi="Courier New"/>
          <w:sz w:val="15"/>
          <w:szCs w:val="15"/>
          <w:color w:val="auto"/>
        </w:rPr>
        <w:t>Banks, Inc. ("United") at $22.00 per share.</w:t>
      </w:r>
      <w:r>
        <w:rPr>
          <w:sz w:val="20"/>
          <w:szCs w:val="20"/>
          <w:color w:val="auto"/>
        </w:rPr>
        <w:tab/>
      </w:r>
      <w:r>
        <w:rPr>
          <w:rFonts w:ascii="Courier New" w:cs="Courier New" w:eastAsia="Courier New" w:hAnsi="Courier New"/>
          <w:sz w:val="14"/>
          <w:szCs w:val="14"/>
          <w:color w:val="auto"/>
        </w:rPr>
        <w:t>United has increased</w:t>
      </w:r>
    </w:p>
    <w:p>
      <w:pPr>
        <w:spacing w:after="0"/>
        <w:rPr>
          <w:sz w:val="20"/>
          <w:szCs w:val="20"/>
          <w:color w:val="auto"/>
        </w:rPr>
      </w:pPr>
      <w:r>
        <w:rPr>
          <w:rFonts w:ascii="Courier New" w:cs="Courier New" w:eastAsia="Courier New" w:hAnsi="Courier New"/>
          <w:sz w:val="15"/>
          <w:szCs w:val="15"/>
          <w:color w:val="auto"/>
        </w:rPr>
        <w:t>the number of shares offered by United by 50,000 shares from</w:t>
      </w:r>
    </w:p>
    <w:p>
      <w:pPr>
        <w:spacing w:after="0" w:line="238" w:lineRule="auto"/>
        <w:rPr>
          <w:sz w:val="20"/>
          <w:szCs w:val="20"/>
          <w:color w:val="auto"/>
        </w:rPr>
      </w:pPr>
      <w:r>
        <w:rPr>
          <w:rFonts w:ascii="Courier New" w:cs="Courier New" w:eastAsia="Courier New" w:hAnsi="Courier New"/>
          <w:sz w:val="15"/>
          <w:szCs w:val="15"/>
          <w:color w:val="auto"/>
        </w:rPr>
        <w:t>250,000 to 300,000 shares at the same offering price of $22.00</w:t>
      </w:r>
    </w:p>
    <w:p>
      <w:pPr>
        <w:spacing w:after="0"/>
        <w:tabs>
          <w:tab w:leader="none" w:pos="1020"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4"/>
          <w:szCs w:val="14"/>
          <w:color w:val="auto"/>
        </w:rPr>
        <w:t>This Supplement highlights certain sections of the</w:t>
      </w:r>
    </w:p>
    <w:p>
      <w:pPr>
        <w:spacing w:after="0"/>
        <w:rPr>
          <w:sz w:val="20"/>
          <w:szCs w:val="20"/>
          <w:color w:val="auto"/>
        </w:rPr>
      </w:pPr>
      <w:r>
        <w:rPr>
          <w:rFonts w:ascii="Courier New" w:cs="Courier New" w:eastAsia="Courier New" w:hAnsi="Courier New"/>
          <w:sz w:val="15"/>
          <w:szCs w:val="15"/>
          <w:color w:val="auto"/>
        </w:rPr>
        <w:t>March 7, 1997 Prospectus which are affected by the increase in</w:t>
      </w:r>
    </w:p>
    <w:p>
      <w:pPr>
        <w:spacing w:after="0"/>
        <w:tabs>
          <w:tab w:leader="none" w:pos="2960" w:val="left"/>
        </w:tabs>
        <w:rPr>
          <w:sz w:val="20"/>
          <w:szCs w:val="20"/>
          <w:color w:val="auto"/>
        </w:rPr>
      </w:pPr>
      <w:r>
        <w:rPr>
          <w:rFonts w:ascii="Courier New" w:cs="Courier New" w:eastAsia="Courier New" w:hAnsi="Courier New"/>
          <w:sz w:val="15"/>
          <w:szCs w:val="15"/>
          <w:color w:val="auto"/>
        </w:rPr>
        <w:t>the number of shares being sold.</w:t>
      </w:r>
      <w:r>
        <w:rPr>
          <w:sz w:val="20"/>
          <w:szCs w:val="20"/>
          <w:color w:val="auto"/>
        </w:rPr>
        <w:tab/>
      </w:r>
      <w:r>
        <w:rPr>
          <w:rFonts w:ascii="Courier New" w:cs="Courier New" w:eastAsia="Courier New" w:hAnsi="Courier New"/>
          <w:sz w:val="14"/>
          <w:szCs w:val="14"/>
          <w:color w:val="auto"/>
        </w:rPr>
        <w:t>The price per share and all</w:t>
      </w:r>
    </w:p>
    <w:p>
      <w:pPr>
        <w:spacing w:after="0" w:line="238" w:lineRule="auto"/>
        <w:rPr>
          <w:sz w:val="20"/>
          <w:szCs w:val="20"/>
          <w:color w:val="auto"/>
        </w:rPr>
      </w:pPr>
      <w:r>
        <w:rPr>
          <w:rFonts w:ascii="Courier New" w:cs="Courier New" w:eastAsia="Courier New" w:hAnsi="Courier New"/>
          <w:sz w:val="15"/>
          <w:szCs w:val="15"/>
          <w:color w:val="auto"/>
        </w:rPr>
        <w:t>other aspects of the Offering including the use of proceeds</w:t>
      </w:r>
    </w:p>
    <w:p>
      <w:pPr>
        <w:spacing w:after="0"/>
        <w:tabs>
          <w:tab w:leader="none" w:pos="1560" w:val="left"/>
        </w:tabs>
        <w:rPr>
          <w:sz w:val="20"/>
          <w:szCs w:val="20"/>
          <w:color w:val="auto"/>
        </w:rPr>
      </w:pPr>
      <w:r>
        <w:rPr>
          <w:rFonts w:ascii="Courier New" w:cs="Courier New" w:eastAsia="Courier New" w:hAnsi="Courier New"/>
          <w:sz w:val="15"/>
          <w:szCs w:val="15"/>
          <w:color w:val="auto"/>
        </w:rPr>
        <w:t>remain the same.</w:t>
      </w:r>
      <w:r>
        <w:rPr>
          <w:sz w:val="20"/>
          <w:szCs w:val="20"/>
          <w:color w:val="auto"/>
        </w:rPr>
        <w:tab/>
      </w:r>
      <w:r>
        <w:rPr>
          <w:rFonts w:ascii="Courier New" w:cs="Courier New" w:eastAsia="Courier New" w:hAnsi="Courier New"/>
          <w:sz w:val="14"/>
          <w:szCs w:val="14"/>
          <w:color w:val="auto"/>
        </w:rPr>
        <w:t>The sale of an additional 50,000 shares will</w:t>
      </w:r>
    </w:p>
    <w:p>
      <w:pPr>
        <w:spacing w:after="0"/>
        <w:tabs>
          <w:tab w:leader="none" w:pos="4200" w:val="left"/>
        </w:tabs>
        <w:rPr>
          <w:sz w:val="20"/>
          <w:szCs w:val="20"/>
          <w:color w:val="auto"/>
        </w:rPr>
      </w:pPr>
      <w:r>
        <w:rPr>
          <w:rFonts w:ascii="Courier New" w:cs="Courier New" w:eastAsia="Courier New" w:hAnsi="Courier New"/>
          <w:sz w:val="15"/>
          <w:szCs w:val="15"/>
          <w:color w:val="auto"/>
        </w:rPr>
        <w:t>increase the proceeds to United by $1,100,000.</w:t>
      </w:r>
      <w:r>
        <w:rPr>
          <w:sz w:val="20"/>
          <w:szCs w:val="20"/>
          <w:color w:val="auto"/>
        </w:rPr>
        <w:tab/>
      </w:r>
      <w:r>
        <w:rPr>
          <w:rFonts w:ascii="Courier New" w:cs="Courier New" w:eastAsia="Courier New" w:hAnsi="Courier New"/>
          <w:sz w:val="14"/>
          <w:szCs w:val="14"/>
          <w:color w:val="auto"/>
        </w:rPr>
        <w:t>After the</w:t>
      </w:r>
    </w:p>
    <w:p>
      <w:pPr>
        <w:spacing w:after="0" w:line="238" w:lineRule="auto"/>
        <w:rPr>
          <w:sz w:val="20"/>
          <w:szCs w:val="20"/>
          <w:color w:val="auto"/>
        </w:rPr>
      </w:pPr>
      <w:r>
        <w:rPr>
          <w:rFonts w:ascii="Courier New" w:cs="Courier New" w:eastAsia="Courier New" w:hAnsi="Courier New"/>
          <w:sz w:val="15"/>
          <w:szCs w:val="15"/>
          <w:color w:val="auto"/>
        </w:rPr>
        <w:t>Offering, 6,937,248 shares will be deemed outstanding (including</w:t>
      </w:r>
    </w:p>
    <w:p>
      <w:pPr>
        <w:spacing w:after="0"/>
        <w:rPr>
          <w:sz w:val="20"/>
          <w:szCs w:val="20"/>
          <w:color w:val="auto"/>
        </w:rPr>
      </w:pPr>
      <w:r>
        <w:rPr>
          <w:rFonts w:ascii="Courier New" w:cs="Courier New" w:eastAsia="Courier New" w:hAnsi="Courier New"/>
          <w:sz w:val="15"/>
          <w:szCs w:val="15"/>
          <w:color w:val="auto"/>
        </w:rPr>
        <w:t>shares underlying the prime plus 1/4% Convertible Subordinated</w:t>
      </w:r>
    </w:p>
    <w:p>
      <w:pPr>
        <w:spacing w:after="0"/>
        <w:rPr>
          <w:sz w:val="20"/>
          <w:szCs w:val="20"/>
          <w:color w:val="auto"/>
        </w:rPr>
      </w:pPr>
      <w:r>
        <w:rPr>
          <w:rFonts w:ascii="Courier New" w:cs="Courier New" w:eastAsia="Courier New" w:hAnsi="Courier New"/>
          <w:sz w:val="15"/>
          <w:szCs w:val="15"/>
          <w:color w:val="auto"/>
        </w:rPr>
        <w:t>Payable-in-Kind Debentures due December 31, 2006 and presently</w:t>
      </w:r>
    </w:p>
    <w:p>
      <w:pPr>
        <w:spacing w:after="0"/>
        <w:tabs>
          <w:tab w:leader="none" w:pos="4200" w:val="left"/>
        </w:tabs>
        <w:rPr>
          <w:sz w:val="20"/>
          <w:szCs w:val="20"/>
          <w:color w:val="auto"/>
        </w:rPr>
      </w:pPr>
      <w:r>
        <w:rPr>
          <w:rFonts w:ascii="Courier New" w:cs="Courier New" w:eastAsia="Courier New" w:hAnsi="Courier New"/>
          <w:sz w:val="15"/>
          <w:szCs w:val="15"/>
          <w:color w:val="auto"/>
        </w:rPr>
        <w:t>exercisable options to acquire 58,400 shares).</w:t>
      </w:r>
      <w:r>
        <w:rPr>
          <w:sz w:val="20"/>
          <w:szCs w:val="20"/>
          <w:color w:val="auto"/>
        </w:rPr>
        <w:tab/>
      </w:r>
      <w:r>
        <w:rPr>
          <w:rFonts w:ascii="Courier New" w:cs="Courier New" w:eastAsia="Courier New" w:hAnsi="Courier New"/>
          <w:sz w:val="14"/>
          <w:szCs w:val="14"/>
          <w:color w:val="auto"/>
        </w:rPr>
        <w:t>The net proceeds</w:t>
      </w:r>
    </w:p>
    <w:p>
      <w:pPr>
        <w:spacing w:after="0" w:line="238" w:lineRule="auto"/>
        <w:rPr>
          <w:sz w:val="20"/>
          <w:szCs w:val="20"/>
          <w:color w:val="auto"/>
        </w:rPr>
      </w:pPr>
      <w:r>
        <w:rPr>
          <w:rFonts w:ascii="Courier New" w:cs="Courier New" w:eastAsia="Courier New" w:hAnsi="Courier New"/>
          <w:sz w:val="15"/>
          <w:szCs w:val="15"/>
          <w:color w:val="auto"/>
        </w:rPr>
        <w:t>from the sale of the shares of Common Stock will be $6,400,000,</w:t>
      </w:r>
    </w:p>
    <w:p>
      <w:pPr>
        <w:spacing w:after="0"/>
        <w:rPr>
          <w:sz w:val="20"/>
          <w:szCs w:val="20"/>
          <w:color w:val="auto"/>
        </w:rPr>
      </w:pPr>
      <w:r>
        <w:rPr>
          <w:rFonts w:ascii="Courier New" w:cs="Courier New" w:eastAsia="Courier New" w:hAnsi="Courier New"/>
          <w:sz w:val="15"/>
          <w:szCs w:val="15"/>
          <w:color w:val="auto"/>
        </w:rPr>
        <w:t>after the deduction of estimated offering expenses payable by</w:t>
      </w:r>
    </w:p>
    <w:p>
      <w:pPr>
        <w:spacing w:after="0"/>
        <w:tabs>
          <w:tab w:leader="none" w:pos="76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4"/>
          <w:szCs w:val="14"/>
          <w:color w:val="auto"/>
        </w:rPr>
        <w:t>Set forth below is a table containing revised summary</w:t>
      </w:r>
    </w:p>
    <w:p>
      <w:pPr>
        <w:spacing w:after="0" w:line="238" w:lineRule="auto"/>
        <w:rPr>
          <w:sz w:val="20"/>
          <w:szCs w:val="20"/>
          <w:color w:val="auto"/>
        </w:rPr>
      </w:pPr>
      <w:r>
        <w:rPr>
          <w:rFonts w:ascii="Courier New" w:cs="Courier New" w:eastAsia="Courier New" w:hAnsi="Courier New"/>
          <w:sz w:val="15"/>
          <w:szCs w:val="15"/>
          <w:color w:val="auto"/>
        </w:rPr>
        <w:t>consolidated financial information and a revised capitalization</w:t>
      </w:r>
    </w:p>
    <w:p>
      <w:pPr>
        <w:spacing w:after="0"/>
        <w:rPr>
          <w:sz w:val="20"/>
          <w:szCs w:val="20"/>
          <w:color w:val="auto"/>
        </w:rPr>
      </w:pPr>
      <w:r>
        <w:rPr>
          <w:rFonts w:ascii="Courier New" w:cs="Courier New" w:eastAsia="Courier New" w:hAnsi="Courier New"/>
          <w:sz w:val="15"/>
          <w:szCs w:val="15"/>
          <w:color w:val="auto"/>
        </w:rPr>
        <w:t>table: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ind w:left="2720"/>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86"/>
        </w:trPr>
        <w:tc>
          <w:tcPr>
            <w:tcW w:w="5980" w:type="dxa"/>
            <w:vAlign w:val="bottom"/>
            <w:gridSpan w:val="3"/>
          </w:tcPr>
          <w:p>
            <w:pPr>
              <w:jc w:val="center"/>
              <w:ind w:left="1867"/>
              <w:spacing w:after="0"/>
              <w:rPr>
                <w:sz w:val="20"/>
                <w:szCs w:val="20"/>
                <w:color w:val="auto"/>
              </w:rPr>
            </w:pPr>
            <w:r>
              <w:rPr>
                <w:rFonts w:ascii="Courier New" w:cs="Courier New" w:eastAsia="Courier New" w:hAnsi="Courier New"/>
                <w:sz w:val="15"/>
                <w:szCs w:val="15"/>
                <w:color w:val="auto"/>
                <w:w w:val="98"/>
              </w:rPr>
              <w:t>United Community Banks, Inc.</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0"/>
        </w:trPr>
        <w:tc>
          <w:tcPr>
            <w:tcW w:w="5980" w:type="dxa"/>
            <w:vAlign w:val="bottom"/>
            <w:gridSpan w:val="3"/>
          </w:tcPr>
          <w:p>
            <w:pPr>
              <w:jc w:val="center"/>
              <w:ind w:left="1847"/>
              <w:spacing w:after="0"/>
              <w:rPr>
                <w:sz w:val="20"/>
                <w:szCs w:val="20"/>
                <w:color w:val="auto"/>
              </w:rPr>
            </w:pPr>
            <w:r>
              <w:rPr>
                <w:rFonts w:ascii="Courier New" w:cs="Courier New" w:eastAsia="Courier New" w:hAnsi="Courier New"/>
                <w:sz w:val="15"/>
                <w:szCs w:val="15"/>
                <w:color w:val="auto"/>
                <w:w w:val="97"/>
              </w:rPr>
              <w:t>Summary Consolidated Financial Information</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420" w:type="dxa"/>
            <w:vAlign w:val="bottom"/>
            <w:gridSpan w:val="4"/>
          </w:tcPr>
          <w:p>
            <w:pPr>
              <w:jc w:val="center"/>
              <w:ind w:left="1427"/>
              <w:spacing w:after="0"/>
              <w:rPr>
                <w:sz w:val="20"/>
                <w:szCs w:val="20"/>
                <w:color w:val="auto"/>
              </w:rPr>
            </w:pPr>
            <w:r>
              <w:rPr>
                <w:rFonts w:ascii="Courier New" w:cs="Courier New" w:eastAsia="Courier New" w:hAnsi="Courier New"/>
                <w:sz w:val="15"/>
                <w:szCs w:val="15"/>
                <w:color w:val="auto"/>
                <w:w w:val="98"/>
              </w:rPr>
              <w:t>(Dollars in thousands, except per share amounts)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09"/>
        </w:trPr>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As Adjusted</w:t>
            </w:r>
          </w:p>
        </w:tc>
      </w:tr>
      <w:tr>
        <w:trPr>
          <w:trHeight w:val="170"/>
        </w:trPr>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 30, Sept. 30,</w:t>
            </w:r>
          </w:p>
        </w:tc>
      </w:tr>
      <w:tr>
        <w:trPr>
          <w:trHeight w:val="170"/>
        </w:trPr>
        <w:tc>
          <w:tcPr>
            <w:tcW w:w="38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1991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1993</w:t>
            </w:r>
          </w:p>
        </w:tc>
        <w:tc>
          <w:tcPr>
            <w:tcW w:w="6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8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6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Total assets  . . . .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$269,684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$332,013</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$393,632</w:t>
            </w: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$456,936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659,669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779,565</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789,965</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Loans, gross  . . . .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180,254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224,057</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283,611</w:t>
            </w: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341,621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456,140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564,685</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564,685</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Deposits  . . . . . .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242,957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300,020</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349,765</w:t>
            </w: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393,270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590,656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680,337</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680,337</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Long term debt  . . .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5,277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7,800</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7,400</w:t>
            </w:r>
          </w:p>
        </w:tc>
        <w:tc>
          <w:tcPr>
            <w:tcW w:w="60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9,400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10,736</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10,736</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Stockholders' equity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17,968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20,942</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25,449</w:t>
            </w:r>
          </w:p>
        </w:tc>
        <w:tc>
          <w:tcPr>
            <w:tcW w:w="60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30,217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44,027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48,766</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56,266</w:t>
            </w:r>
          </w:p>
        </w:tc>
      </w:tr>
      <w:tr>
        <w:trPr>
          <w:trHeight w:val="678"/>
        </w:trPr>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Pro Forma Consolidated</w:t>
            </w:r>
          </w:p>
        </w:tc>
      </w:tr>
      <w:tr>
        <w:trPr>
          <w:trHeight w:val="170"/>
        </w:trPr>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w w:val="98"/>
              </w:rPr>
              <w:t>As Adjusted</w:t>
            </w:r>
          </w:p>
        </w:tc>
      </w:tr>
      <w:tr>
        <w:trPr>
          <w:trHeight w:val="170"/>
        </w:trPr>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2260" w:type="dxa"/>
            <w:vAlign w:val="bottom"/>
            <w:gridSpan w:val="4"/>
          </w:tcPr>
          <w:p>
            <w:pPr>
              <w:jc w:val="right"/>
              <w:ind w:right="687"/>
              <w:spacing w:after="0"/>
              <w:rPr>
                <w:sz w:val="20"/>
                <w:szCs w:val="20"/>
                <w:color w:val="auto"/>
              </w:rPr>
            </w:pPr>
            <w:r>
              <w:rPr>
                <w:rFonts w:ascii="Courier New" w:cs="Courier New" w:eastAsia="Courier New" w:hAnsi="Courier New"/>
                <w:sz w:val="15"/>
                <w:szCs w:val="15"/>
                <w:color w:val="auto"/>
              </w:rPr>
              <w:t>of December 31,</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Sept. 30,  Sept. 30,  Dec. 31,</w:t>
            </w:r>
          </w:p>
        </w:tc>
      </w:tr>
      <w:tr>
        <w:trPr>
          <w:trHeight w:val="170"/>
        </w:trPr>
        <w:tc>
          <w:tcPr>
            <w:tcW w:w="38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1991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1993</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8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Statement of Earnings Data</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Net interest income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$9,322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$11,131</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$14,516</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$18,217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22,919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22,632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22,802</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23,147</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Provision for loan losses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834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w:t>
            </w:r>
          </w:p>
        </w:tc>
        <w:tc>
          <w:tcPr>
            <w:tcW w:w="4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842</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915</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1,040</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Noninterest income  .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1,551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2,157</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3,700</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3,762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4,264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3,740</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4,264</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Noninterest expense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7,377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8,635</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11,705</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13,902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17,854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16,803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16,803</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17,854</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Net earnings  . . . .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2,082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4,202</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5,200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5,836</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6,201</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Book value (period end)   . . . . . .</w:t>
            </w:r>
          </w:p>
        </w:tc>
        <w:tc>
          <w:tcPr>
            <w:tcW w:w="120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3.29</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c>
          <w:tcPr>
            <w:tcW w:w="360" w:type="dxa"/>
            <w:vAlign w:val="bottom"/>
          </w:tcPr>
          <w:p>
            <w:pPr>
              <w:spacing w:after="0"/>
              <w:rPr>
                <w:sz w:val="14"/>
                <w:szCs w:val="14"/>
                <w:color w:val="auto"/>
              </w:rPr>
            </w:pP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5.41</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7.03</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7.79</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8.35</w:t>
            </w:r>
          </w:p>
        </w:tc>
        <w:tc>
          <w:tcPr>
            <w:tcW w:w="10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7.65</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Net earnings  . . . .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0.38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0.57</w:t>
            </w:r>
          </w:p>
        </w:tc>
        <w:tc>
          <w:tcPr>
            <w:tcW w:w="4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0.76</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0.91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0.87</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0.99</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outstanding shares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5,454,040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5,492.435</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5,545,110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5,589,365</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5,813,615 6,260,280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6,738,848</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6,292,183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Dividends   . . . . . . . . . . . . . .</w:t>
            </w:r>
          </w:p>
        </w:tc>
        <w:tc>
          <w:tcPr>
            <w:tcW w:w="12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0.03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0.05</w:t>
            </w:r>
          </w:p>
        </w:tc>
        <w:tc>
          <w:tcPr>
            <w:tcW w:w="4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0.04</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0.04</w:t>
            </w:r>
          </w:p>
        </w:tc>
      </w:tr>
    </w:tbl>
    <w:p>
      <w:pPr>
        <w:sectPr>
          <w:pgSz w:w="11900" w:h="16838" w:orient="portrait"/>
          <w:cols w:equalWidth="0" w:num="1">
            <w:col w:w="11520"/>
          </w:cols>
          <w:pgMar w:left="240" w:top="226" w:right="1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Ratios  Return</w:t>
            </w:r>
          </w:p>
        </w:tc>
        <w:tc>
          <w:tcPr>
            <w:tcW w:w="2600" w:type="dxa"/>
            <w:vAlign w:val="bottom"/>
          </w:tcPr>
          <w:p>
            <w:pPr>
              <w:ind w:left="60"/>
              <w:spacing w:after="0"/>
              <w:rPr>
                <w:sz w:val="20"/>
                <w:szCs w:val="20"/>
                <w:color w:val="auto"/>
              </w:rPr>
            </w:pPr>
            <w:r>
              <w:rPr>
                <w:rFonts w:ascii="Courier New" w:cs="Courier New" w:eastAsia="Courier New" w:hAnsi="Courier New"/>
                <w:sz w:val="15"/>
                <w:szCs w:val="15"/>
                <w:color w:val="auto"/>
              </w:rPr>
              <w:t>on average assets  . . . .</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0"/>
        </w:trPr>
        <w:tc>
          <w:tcPr>
            <w:tcW w:w="3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Return on average stockholders' equity</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18.68%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15.17%</w:t>
            </w:r>
          </w:p>
        </w:tc>
      </w:tr>
      <w:tr>
        <w:trPr>
          <w:trHeight w:val="170"/>
        </w:trPr>
        <w:tc>
          <w:tcPr>
            <w:tcW w:w="12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interest</w:t>
            </w:r>
          </w:p>
        </w:tc>
        <w:tc>
          <w:tcPr>
            <w:tcW w:w="2600" w:type="dxa"/>
            <w:vAlign w:val="bottom"/>
          </w:tcPr>
          <w:p>
            <w:pPr>
              <w:ind w:left="60"/>
              <w:spacing w:after="0"/>
              <w:rPr>
                <w:sz w:val="20"/>
                <w:szCs w:val="20"/>
                <w:color w:val="auto"/>
              </w:rPr>
            </w:pPr>
            <w:r>
              <w:rPr>
                <w:rFonts w:ascii="Courier New" w:cs="Courier New" w:eastAsia="Courier New" w:hAnsi="Courier New"/>
                <w:sz w:val="15"/>
                <w:szCs w:val="15"/>
                <w:color w:val="auto"/>
              </w:rPr>
              <w:t>margin . . . . . . . .</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4.27%</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4.27%</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4.57%</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4.88%</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4.60%</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4.64%</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4.60%</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4.56%</w:t>
            </w:r>
          </w:p>
        </w:tc>
      </w:tr>
      <w:tr>
        <w:trPr>
          <w:trHeight w:val="170"/>
        </w:trPr>
        <w:tc>
          <w:tcPr>
            <w:tcW w:w="502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Average stockholders' equity to average assets   6.73%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7.13%</w:t>
            </w: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______________</w:t>
            </w: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608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Represents stockholders' equity divided by the number of outstanding</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w w:val="98"/>
              </w:rPr>
              <w:t>shares at</w:t>
            </w:r>
          </w:p>
        </w:tc>
        <w:tc>
          <w:tcPr>
            <w:tcW w:w="2600" w:type="dxa"/>
            <w:vAlign w:val="bottom"/>
          </w:tcPr>
          <w:p>
            <w:pPr>
              <w:ind w:left="60"/>
              <w:spacing w:after="0"/>
              <w:rPr>
                <w:sz w:val="20"/>
                <w:szCs w:val="20"/>
                <w:color w:val="auto"/>
              </w:rPr>
            </w:pPr>
            <w:r>
              <w:rPr>
                <w:rFonts w:ascii="Courier New" w:cs="Courier New" w:eastAsia="Courier New" w:hAnsi="Courier New"/>
                <w:sz w:val="15"/>
                <w:szCs w:val="15"/>
                <w:color w:val="auto"/>
              </w:rPr>
              <w:t>period end.</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9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Represents net interest income as a percentage of average interest-earning</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08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Gives effect to the application of the net proceeds of the Offering,</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96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issuance of the 2006 Debentures and conversion of the 2000 Debentures</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96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as of December 31, 1996.  See Management's Discussion and Analysis of</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w w:val="98"/>
              </w:rPr>
              <w:t>Financial</w:t>
            </w:r>
          </w:p>
        </w:tc>
        <w:tc>
          <w:tcPr>
            <w:tcW w:w="57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Condition and Results of Operations - Financial Information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96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for the Nine Months Ended September 30, 1996 - Developments Since</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w w:val="98"/>
              </w:rPr>
              <w:t>September</w:t>
            </w:r>
          </w:p>
        </w:tc>
        <w:tc>
          <w:tcPr>
            <w:tcW w:w="2600" w:type="dxa"/>
            <w:vAlign w:val="bottom"/>
          </w:tcPr>
          <w:p>
            <w:pPr>
              <w:ind w:left="60"/>
              <w:spacing w:after="0"/>
              <w:rPr>
                <w:sz w:val="20"/>
                <w:szCs w:val="20"/>
                <w:color w:val="auto"/>
              </w:rPr>
            </w:pPr>
            <w:r>
              <w:rPr>
                <w:rFonts w:ascii="Courier New" w:cs="Courier New" w:eastAsia="Courier New" w:hAnsi="Courier New"/>
                <w:sz w:val="15"/>
                <w:szCs w:val="15"/>
                <w:color w:val="auto"/>
              </w:rPr>
              <w:t>30, 1996.</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1260" w:type="dxa"/>
            <w:vAlign w:val="bottom"/>
          </w:tcPr>
          <w:p>
            <w:pPr>
              <w:spacing w:after="0"/>
              <w:rPr>
                <w:sz w:val="24"/>
                <w:szCs w:val="24"/>
                <w:color w:val="auto"/>
              </w:rPr>
            </w:pPr>
          </w:p>
        </w:tc>
        <w:tc>
          <w:tcPr>
            <w:tcW w:w="2600" w:type="dxa"/>
            <w:vAlign w:val="bottom"/>
          </w:tcPr>
          <w:p>
            <w:pPr>
              <w:ind w:left="1460"/>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60"/>
          </w:cols>
          <w:pgMar w:left="240" w:top="136" w:right="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CAPITALIZATION</w:t>
      </w:r>
    </w:p>
    <w:p>
      <w:pPr>
        <w:spacing w:after="0" w:line="175" w:lineRule="exact"/>
        <w:rPr>
          <w:sz w:val="20"/>
          <w:szCs w:val="20"/>
          <w:color w:val="auto"/>
        </w:rPr>
      </w:pPr>
    </w:p>
    <w:p>
      <w:pPr>
        <w:ind w:right="3799" w:firstLine="441"/>
        <w:spacing w:after="0" w:line="257" w:lineRule="auto"/>
        <w:rPr>
          <w:sz w:val="20"/>
          <w:szCs w:val="20"/>
          <w:color w:val="auto"/>
        </w:rPr>
      </w:pPr>
      <w:r>
        <w:rPr>
          <w:rFonts w:ascii="Courier New" w:cs="Courier New" w:eastAsia="Courier New" w:hAnsi="Courier New"/>
          <w:sz w:val="14"/>
          <w:szCs w:val="14"/>
          <w:color w:val="auto"/>
        </w:rPr>
        <w:t>The following table sets forth the consolidated capitalization of United at September 30, 1996, and as adjusted at that date to give effect to the sale by United of the 2006 Debentures, conversion of the 2000 Debentures and the sale of 300,000 shares of Common Stock and the application of the estimated net proceeds therefrom as described in "USE OF PROCEEDS" and as further adjusted to give effect to the application of the net proceeds of the Offering. This table should be reviewed in conjunction with the United's Consolidated Financial Statements and the related notes thereto appearing elsewhere in this Prospectus.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396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September 30, 1996</w:t>
            </w:r>
          </w:p>
        </w:tc>
      </w:tr>
      <w:tr>
        <w:trPr>
          <w:trHeight w:val="170"/>
        </w:trPr>
        <w:tc>
          <w:tcPr>
            <w:tcW w:w="5540" w:type="dxa"/>
            <w:vAlign w:val="bottom"/>
          </w:tcPr>
          <w:p>
            <w:pPr>
              <w:spacing w:after="0"/>
              <w:rPr>
                <w:sz w:val="14"/>
                <w:szCs w:val="14"/>
                <w:color w:val="auto"/>
              </w:rPr>
            </w:pPr>
          </w:p>
        </w:tc>
        <w:tc>
          <w:tcPr>
            <w:tcW w:w="396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Actual</w:t>
            </w:r>
          </w:p>
        </w:tc>
        <w:tc>
          <w:tcPr>
            <w:tcW w:w="1980" w:type="dxa"/>
            <w:vAlign w:val="bottom"/>
          </w:tcPr>
          <w:p>
            <w:pPr>
              <w:ind w:left="580"/>
              <w:spacing w:after="0"/>
              <w:rPr>
                <w:sz w:val="20"/>
                <w:szCs w:val="20"/>
                <w:color w:val="auto"/>
              </w:rPr>
            </w:pPr>
            <w:r>
              <w:rPr>
                <w:rFonts w:ascii="Courier New" w:cs="Courier New" w:eastAsia="Courier New" w:hAnsi="Courier New"/>
                <w:sz w:val="15"/>
                <w:szCs w:val="15"/>
                <w:color w:val="auto"/>
              </w:rPr>
              <w:t>As Adjusted</w:t>
            </w:r>
          </w:p>
        </w:tc>
      </w:tr>
      <w:tr>
        <w:trPr>
          <w:trHeight w:val="170"/>
        </w:trPr>
        <w:tc>
          <w:tcPr>
            <w:tcW w:w="5540" w:type="dxa"/>
            <w:vAlign w:val="bottom"/>
          </w:tcPr>
          <w:p>
            <w:pPr>
              <w:spacing w:after="0"/>
              <w:rPr>
                <w:sz w:val="14"/>
                <w:szCs w:val="14"/>
                <w:color w:val="auto"/>
              </w:rPr>
            </w:pP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5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 in thousands)</w:t>
            </w:r>
          </w:p>
        </w:tc>
        <w:tc>
          <w:tcPr>
            <w:tcW w:w="19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Long-Term Debt  . . . . . . . . . . . . . . . . . . . .</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$10,736</w:t>
            </w: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$10,736</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Convertible Subordinated Debentures . . . . . . . . . .</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1,000</w:t>
            </w: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$1.00 par value; 10,000,000 shares</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authorized, no shares issued and outstanding</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Common Stock, $1.00 par value; 10,000,000 shares</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authorized, 6,260,280 shares issued and</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outstanding, 6,738,848 shares issued and</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outstanding, as adjusted</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6,260</w:t>
            </w: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6,739</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Capital surplus . . . . . . . . . . . . . . . . . . . .</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14,520</w:t>
            </w: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21,541</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Retained earnings . . . . . . . . . . . . . . . . . . .</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28,471</w:t>
            </w: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28,471</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Unrealized losses on securities available for sale  . .</w:t>
            </w:r>
          </w:p>
        </w:tc>
        <w:tc>
          <w:tcPr>
            <w:tcW w:w="19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(485)</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 stockholders' equity  . . . . . . . . . . . . . .</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48,766</w:t>
            </w: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56,266</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 capitalization</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60,502</w:t>
            </w: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70,502</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__________________</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175" w:lineRule="exact"/>
        <w:rPr>
          <w:sz w:val="20"/>
          <w:szCs w:val="20"/>
          <w:color w:val="auto"/>
        </w:rPr>
      </w:pPr>
    </w:p>
    <w:p>
      <w:pPr>
        <w:ind w:right="3979" w:firstLine="88"/>
        <w:spacing w:after="0" w:line="238" w:lineRule="auto"/>
        <w:rPr>
          <w:sz w:val="20"/>
          <w:szCs w:val="20"/>
          <w:color w:val="auto"/>
        </w:rPr>
      </w:pPr>
      <w:r>
        <w:rPr>
          <w:rFonts w:ascii="Courier New" w:cs="Courier New" w:eastAsia="Courier New" w:hAnsi="Courier New"/>
          <w:sz w:val="15"/>
          <w:szCs w:val="15"/>
          <w:color w:val="auto"/>
        </w:rPr>
        <w:t>Gives effect to the application of the net proceeds of the Offering, proceeds from issuance of 2006 Debentures and conversion of the 2000 Debentures as of December 31, 1996. See Management's Discussion and Analysis of Financial Condition and Results of Operations - Financial Information for the Nine Months Ended September 30, 1996 - Developments Since September 30, 1996.</w:t>
      </w:r>
    </w:p>
    <w:sectPr>
      <w:pgSz w:w="11900" w:h="16838" w:orient="portrait"/>
      <w:cols w:equalWidth="0" w:num="1">
        <w:col w:w="10219"/>
      </w:cols>
      <w:pgMar w:left="24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2019-12-13T19:10:54Z</dcterms:created>
  <dcterms:modified xsi:type="dcterms:W3CDTF">2019-12-13T19:10:54Z</dcterms:modified>
</cp:coreProperties>
</file>