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380" w:hanging="516"/>
        <w:spacing w:after="0"/>
        <w:tabs>
          <w:tab w:leader="none" w:pos="3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27" w:lineRule="exact"/>
        <w:rPr>
          <w:rFonts w:ascii="Arial" w:cs="Arial" w:eastAsia="Arial" w:hAnsi="Arial"/>
          <w:sz w:val="18"/>
          <w:szCs w:val="18"/>
          <w:b w:val="1"/>
          <w:bCs w:val="1"/>
          <w:color w:val="auto"/>
        </w:rPr>
      </w:pPr>
    </w:p>
    <w:p>
      <w:pPr>
        <w:ind w:left="3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60" w:hanging="496"/>
        <w:spacing w:after="0"/>
        <w:tabs>
          <w:tab w:leader="none" w:pos="3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3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0-21656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17145</wp:posOffset>
            </wp:positionV>
            <wp:extent cx="25298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2" w:lineRule="exact"/>
        <w:rPr>
          <w:sz w:val="24"/>
          <w:szCs w:val="24"/>
          <w:color w:val="auto"/>
        </w:rPr>
      </w:pPr>
    </w:p>
    <w:tbl>
      <w:tblPr>
        <w:tblLayout w:type="fixed"/>
        <w:tblInd w:w="2500" w:type="dxa"/>
        <w:tblCellMar>
          <w:top w:w="0" w:type="dxa"/>
          <w:left w:w="0" w:type="dxa"/>
          <w:bottom w:w="0" w:type="dxa"/>
          <w:right w:w="0" w:type="dxa"/>
        </w:tblCellMar>
      </w:tblPr>
      <w:tr>
        <w:trPr>
          <w:trHeight w:val="241"/>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4180" w:type="dxa"/>
            <w:vAlign w:val="bottom"/>
            <w:gridSpan w:val="5"/>
          </w:tcPr>
          <w:p>
            <w:pPr>
              <w:jc w:val="right"/>
              <w:spacing w:after="0"/>
              <w:rPr>
                <w:sz w:val="20"/>
                <w:szCs w:val="20"/>
                <w:color w:val="auto"/>
              </w:rPr>
            </w:pPr>
            <w:r>
              <w:rPr>
                <w:rFonts w:ascii="Arial" w:cs="Arial" w:eastAsia="Arial" w:hAnsi="Arial"/>
                <w:sz w:val="18"/>
                <w:szCs w:val="18"/>
                <w:b w:val="1"/>
                <w:bCs w:val="1"/>
                <w:color w:val="auto"/>
              </w:rPr>
              <w:t>58-1807304</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of Incorporation)</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c>
          <w:tcPr>
            <w:tcW w:w="20" w:type="dxa"/>
            <w:vAlign w:val="bottom"/>
          </w:tcPr>
          <w:p>
            <w:pPr>
              <w:spacing w:after="0"/>
              <w:rPr>
                <w:sz w:val="20"/>
                <w:szCs w:val="20"/>
                <w:color w:val="auto"/>
              </w:rPr>
            </w:pPr>
          </w:p>
        </w:tc>
      </w:tr>
      <w:tr>
        <w:trPr>
          <w:trHeight w:val="39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63 Highway 515</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418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30512</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
        </w:trPr>
        <w:tc>
          <w:tcPr>
            <w:tcW w:w="18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gridSpan w:val="2"/>
          </w:tcPr>
          <w:p>
            <w:pPr>
              <w:spacing w:after="0"/>
              <w:rPr>
                <w:sz w:val="2"/>
                <w:szCs w:val="2"/>
                <w:color w:val="auto"/>
              </w:rPr>
            </w:pPr>
          </w:p>
        </w:tc>
      </w:tr>
      <w:tr>
        <w:trPr>
          <w:trHeight w:val="198"/>
        </w:trPr>
        <w:tc>
          <w:tcPr>
            <w:tcW w:w="18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Address of Principal</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(Zip Code)</w:t>
            </w:r>
          </w:p>
        </w:tc>
        <w:tc>
          <w:tcPr>
            <w:tcW w:w="900" w:type="dxa"/>
            <w:vAlign w:val="bottom"/>
            <w:gridSpan w:val="2"/>
          </w:tcPr>
          <w:p>
            <w:pPr>
              <w:spacing w:after="0"/>
              <w:rPr>
                <w:sz w:val="17"/>
                <w:szCs w:val="17"/>
                <w:color w:val="auto"/>
              </w:rPr>
            </w:pPr>
          </w:p>
        </w:tc>
      </w:t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Executive Offices</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1840" w:type="dxa"/>
            <w:vAlign w:val="bottom"/>
          </w:tcPr>
          <w:p>
            <w:pPr>
              <w:spacing w:after="0"/>
              <w:rPr>
                <w:sz w:val="24"/>
                <w:szCs w:val="24"/>
                <w:color w:val="auto"/>
              </w:rPr>
            </w:pPr>
          </w:p>
        </w:tc>
        <w:tc>
          <w:tcPr>
            <w:tcW w:w="21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(706) 781-2265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(Telephone Number)</w:t>
            </w:r>
          </w:p>
        </w:tc>
        <w:tc>
          <w:tcPr>
            <w:tcW w:w="2920" w:type="dxa"/>
            <w:vAlign w:val="bottom"/>
            <w:gridSpan w:val="5"/>
          </w:tcPr>
          <w:p>
            <w:pPr>
              <w:spacing w:after="0"/>
              <w:rPr>
                <w:sz w:val="20"/>
                <w:szCs w:val="20"/>
                <w:color w:val="auto"/>
              </w:rPr>
            </w:pPr>
          </w:p>
        </w:tc>
      </w:tr>
    </w:tbl>
    <w:p>
      <w:pPr>
        <w:spacing w:after="0" w:line="206"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52"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o NO o</w:t>
      </w:r>
    </w:p>
    <w:p>
      <w:pPr>
        <w:spacing w:after="0" w:line="252"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Large accelerated filer o</w:t>
            </w:r>
          </w:p>
        </w:tc>
        <w:tc>
          <w:tcPr>
            <w:tcW w:w="2920" w:type="dxa"/>
            <w:vAlign w:val="bottom"/>
          </w:tcPr>
          <w:p>
            <w:pPr>
              <w:ind w:left="1440"/>
              <w:spacing w:after="0"/>
              <w:rPr>
                <w:sz w:val="20"/>
                <w:szCs w:val="20"/>
                <w:color w:val="auto"/>
              </w:rPr>
            </w:pPr>
            <w:r>
              <w:rPr>
                <w:rFonts w:ascii="Arial" w:cs="Arial" w:eastAsia="Arial" w:hAnsi="Arial"/>
                <w:sz w:val="18"/>
                <w:szCs w:val="18"/>
                <w:b w:val="1"/>
                <w:bCs w:val="1"/>
                <w:color w:val="auto"/>
                <w:w w:val="94"/>
              </w:rPr>
              <w:t>Accelerated filer x</w:t>
            </w:r>
          </w:p>
        </w:tc>
      </w:tr>
      <w:tr>
        <w:trPr>
          <w:trHeight w:val="432"/>
        </w:trPr>
        <w:tc>
          <w:tcPr>
            <w:tcW w:w="8500" w:type="dxa"/>
            <w:vAlign w:val="bottom"/>
          </w:tcPr>
          <w:p>
            <w:pPr>
              <w:spacing w:after="0"/>
              <w:rPr>
                <w:sz w:val="20"/>
                <w:szCs w:val="20"/>
                <w:color w:val="auto"/>
              </w:rPr>
            </w:pPr>
            <w:r>
              <w:rPr>
                <w:rFonts w:ascii="Arial" w:cs="Arial" w:eastAsia="Arial" w:hAnsi="Arial"/>
                <w:sz w:val="18"/>
                <w:szCs w:val="18"/>
                <w:b w:val="1"/>
                <w:bCs w:val="1"/>
                <w:color w:val="auto"/>
              </w:rPr>
              <w:t>Non-accelerated filer o (Do not check if a smaller reporting company)</w:t>
            </w:r>
          </w:p>
        </w:tc>
        <w:tc>
          <w:tcPr>
            <w:tcW w:w="2920" w:type="dxa"/>
            <w:vAlign w:val="bottom"/>
          </w:tcPr>
          <w:p>
            <w:pPr>
              <w:ind w:left="560"/>
              <w:spacing w:after="0"/>
              <w:rPr>
                <w:sz w:val="20"/>
                <w:szCs w:val="20"/>
                <w:color w:val="auto"/>
              </w:rPr>
            </w:pPr>
            <w:r>
              <w:rPr>
                <w:rFonts w:ascii="Arial" w:cs="Arial" w:eastAsia="Arial" w:hAnsi="Arial"/>
                <w:sz w:val="18"/>
                <w:szCs w:val="18"/>
                <w:b w:val="1"/>
                <w:bCs w:val="1"/>
                <w:color w:val="auto"/>
                <w:w w:val="90"/>
              </w:rPr>
              <w:t>Smaller Reporting Company o</w:t>
            </w:r>
          </w:p>
        </w:tc>
      </w:tr>
      <w:tr>
        <w:trPr>
          <w:trHeight w:val="459"/>
        </w:trPr>
        <w:tc>
          <w:tcPr>
            <w:tcW w:w="8500" w:type="dxa"/>
            <w:vAlign w:val="bottom"/>
          </w:tcPr>
          <w:p>
            <w:pPr>
              <w:spacing w:after="0"/>
              <w:rPr>
                <w:sz w:val="20"/>
                <w:szCs w:val="20"/>
                <w:color w:val="auto"/>
              </w:rPr>
            </w:pPr>
            <w:r>
              <w:rPr>
                <w:rFonts w:ascii="Arial" w:cs="Arial" w:eastAsia="Arial" w:hAnsi="Arial"/>
                <w:sz w:val="18"/>
                <w:szCs w:val="18"/>
                <w:b w:val="1"/>
                <w:bCs w:val="1"/>
                <w:color w:val="auto"/>
                <w:w w:val="97"/>
              </w:rPr>
              <w:t>Indicate by check mark whether the registrant is a shell company (as defined in Rule 12b-2 of the Act).</w:t>
            </w:r>
          </w:p>
        </w:tc>
        <w:tc>
          <w:tcPr>
            <w:tcW w:w="2920" w:type="dxa"/>
            <w:vAlign w:val="bottom"/>
          </w:tcPr>
          <w:p>
            <w:pPr>
              <w:spacing w:after="0"/>
              <w:rPr>
                <w:sz w:val="24"/>
                <w:szCs w:val="24"/>
                <w:color w:val="auto"/>
              </w:rPr>
            </w:pPr>
          </w:p>
        </w:tc>
      </w:tr>
      <w:tr>
        <w:trPr>
          <w:trHeight w:val="459"/>
        </w:trPr>
        <w:tc>
          <w:tcPr>
            <w:tcW w:w="8500" w:type="dxa"/>
            <w:vAlign w:val="bottom"/>
          </w:tcPr>
          <w:p>
            <w:pPr>
              <w:jc w:val="center"/>
              <w:ind w:left="2830"/>
              <w:spacing w:after="0"/>
              <w:rPr>
                <w:sz w:val="20"/>
                <w:szCs w:val="20"/>
                <w:color w:val="auto"/>
              </w:rPr>
            </w:pPr>
            <w:r>
              <w:rPr>
                <w:rFonts w:ascii="Arial" w:cs="Arial" w:eastAsia="Arial" w:hAnsi="Arial"/>
                <w:sz w:val="18"/>
                <w:szCs w:val="18"/>
                <w:b w:val="1"/>
                <w:bCs w:val="1"/>
                <w:color w:val="auto"/>
                <w:w w:val="94"/>
              </w:rPr>
              <w:t>YES o NO x</w:t>
            </w:r>
          </w:p>
        </w:tc>
        <w:tc>
          <w:tcPr>
            <w:tcW w:w="2920" w:type="dxa"/>
            <w:vAlign w:val="bottom"/>
          </w:tcPr>
          <w:p>
            <w:pPr>
              <w:spacing w:after="0"/>
              <w:rPr>
                <w:sz w:val="24"/>
                <w:szCs w:val="24"/>
                <w:color w:val="auto"/>
              </w:rPr>
            </w:pPr>
          </w:p>
        </w:tc>
      </w:tr>
      <w:tr>
        <w:trPr>
          <w:trHeight w:val="441"/>
        </w:trPr>
        <w:tc>
          <w:tcPr>
            <w:tcW w:w="8500" w:type="dxa"/>
            <w:vAlign w:val="bottom"/>
          </w:tcPr>
          <w:p>
            <w:pPr>
              <w:jc w:val="center"/>
              <w:ind w:left="2850"/>
              <w:spacing w:after="0"/>
              <w:rPr>
                <w:sz w:val="20"/>
                <w:szCs w:val="20"/>
                <w:color w:val="auto"/>
              </w:rPr>
            </w:pPr>
            <w:r>
              <w:rPr>
                <w:rFonts w:ascii="Arial" w:cs="Arial" w:eastAsia="Arial" w:hAnsi="Arial"/>
                <w:sz w:val="18"/>
                <w:szCs w:val="18"/>
                <w:b w:val="1"/>
                <w:bCs w:val="1"/>
                <w:color w:val="auto"/>
                <w:w w:val="89"/>
              </w:rPr>
              <w:t>Common stock, par value $1 per share: 48,966,262 shares</w:t>
            </w:r>
          </w:p>
        </w:tc>
        <w:tc>
          <w:tcPr>
            <w:tcW w:w="2920" w:type="dxa"/>
            <w:vAlign w:val="bottom"/>
          </w:tcPr>
          <w:p>
            <w:pPr>
              <w:spacing w:after="0"/>
              <w:rPr>
                <w:sz w:val="24"/>
                <w:szCs w:val="24"/>
                <w:color w:val="auto"/>
              </w:rPr>
            </w:pPr>
          </w:p>
        </w:tc>
      </w:tr>
      <w:tr>
        <w:trPr>
          <w:trHeight w:val="234"/>
        </w:trPr>
        <w:tc>
          <w:tcPr>
            <w:tcW w:w="8500" w:type="dxa"/>
            <w:vAlign w:val="bottom"/>
          </w:tcPr>
          <w:p>
            <w:pPr>
              <w:jc w:val="center"/>
              <w:ind w:left="2850"/>
              <w:spacing w:after="0"/>
              <w:rPr>
                <w:sz w:val="20"/>
                <w:szCs w:val="20"/>
                <w:color w:val="auto"/>
              </w:rPr>
            </w:pPr>
            <w:r>
              <w:rPr>
                <w:rFonts w:ascii="Arial" w:cs="Arial" w:eastAsia="Arial" w:hAnsi="Arial"/>
                <w:sz w:val="18"/>
                <w:szCs w:val="18"/>
                <w:b w:val="1"/>
                <w:bCs w:val="1"/>
                <w:color w:val="auto"/>
                <w:w w:val="88"/>
              </w:rPr>
              <w:t>outstanding as of July 31, 2009</w:t>
            </w:r>
          </w:p>
        </w:tc>
        <w:tc>
          <w:tcPr>
            <w:tcW w:w="2920" w:type="dxa"/>
            <w:vAlign w:val="bottom"/>
          </w:tcPr>
          <w:p>
            <w:pPr>
              <w:spacing w:after="0"/>
              <w:rPr>
                <w:sz w:val="20"/>
                <w:szCs w:val="20"/>
                <w:color w:val="auto"/>
              </w:rPr>
            </w:pPr>
          </w:p>
        </w:tc>
      </w:tr>
      <w:tr>
        <w:trPr>
          <w:trHeight w:val="540"/>
        </w:trPr>
        <w:tc>
          <w:tcPr>
            <w:tcW w:w="85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1.</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580" w:type="dxa"/>
            <w:vAlign w:val="bottom"/>
          </w:tcPr>
          <w:p>
            <w:pPr>
              <w:spacing w:after="0"/>
              <w:rPr>
                <w:sz w:val="20"/>
                <w:szCs w:val="20"/>
                <w:color w:val="auto"/>
              </w:rPr>
            </w:pPr>
          </w:p>
        </w:tc>
      </w:tr>
      <w:tr>
        <w:trPr>
          <w:trHeight w:val="432"/>
        </w:trPr>
        <w:tc>
          <w:tcPr>
            <w:tcW w:w="10840" w:type="dxa"/>
            <w:vAlign w:val="bottom"/>
            <w:gridSpan w:val="2"/>
          </w:tcPr>
          <w:p>
            <w:pPr>
              <w:ind w:left="1420"/>
              <w:spacing w:after="0"/>
              <w:rPr>
                <w:sz w:val="20"/>
                <w:szCs w:val="20"/>
                <w:color w:val="auto"/>
              </w:rPr>
            </w:pPr>
            <w:r>
              <w:rPr>
                <w:rFonts w:ascii="Arial" w:cs="Arial" w:eastAsia="Arial" w:hAnsi="Arial"/>
                <w:sz w:val="18"/>
                <w:szCs w:val="18"/>
                <w:b w:val="1"/>
                <w:bCs w:val="1"/>
                <w:color w:val="auto"/>
              </w:rPr>
              <w:t>Consolidated Statement of Income (unaudited) for the Three and Six Months Ended June 30, 2009 and 2008</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648"/>
        </w:trPr>
        <w:tc>
          <w:tcPr>
            <w:tcW w:w="10840" w:type="dxa"/>
            <w:vAlign w:val="bottom"/>
            <w:gridSpan w:val="2"/>
          </w:tcPr>
          <w:p>
            <w:pPr>
              <w:ind w:left="1420"/>
              <w:spacing w:after="0"/>
              <w:rPr>
                <w:sz w:val="20"/>
                <w:szCs w:val="20"/>
                <w:color w:val="auto"/>
              </w:rPr>
            </w:pPr>
            <w:r>
              <w:rPr>
                <w:rFonts w:ascii="Arial" w:cs="Arial" w:eastAsia="Arial" w:hAnsi="Arial"/>
                <w:sz w:val="18"/>
                <w:szCs w:val="18"/>
                <w:b w:val="1"/>
                <w:bCs w:val="1"/>
                <w:color w:val="auto"/>
                <w:w w:val="93"/>
              </w:rPr>
              <w:t>Consolidated Balance Sheet at June 30, 2009 (unaudited), December 31, 2008 (audited) and June 30, 2008 (unaudited)</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630"/>
        </w:trPr>
        <w:tc>
          <w:tcPr>
            <w:tcW w:w="10840" w:type="dxa"/>
            <w:vAlign w:val="bottom"/>
            <w:gridSpan w:val="2"/>
          </w:tcPr>
          <w:p>
            <w:pPr>
              <w:ind w:left="1420"/>
              <w:spacing w:after="0"/>
              <w:rPr>
                <w:sz w:val="20"/>
                <w:szCs w:val="20"/>
                <w:color w:val="auto"/>
              </w:rPr>
            </w:pPr>
            <w:r>
              <w:rPr>
                <w:rFonts w:ascii="Arial" w:cs="Arial" w:eastAsia="Arial" w:hAnsi="Arial"/>
                <w:sz w:val="18"/>
                <w:szCs w:val="18"/>
                <w:b w:val="1"/>
                <w:bCs w:val="1"/>
                <w:color w:val="auto"/>
                <w:w w:val="94"/>
              </w:rPr>
              <w:t>Consolidated Statement of Changes in Shareholders’ Equity (unaudited) for the Six Months Ended June 30, 2009 and</w:t>
            </w:r>
          </w:p>
        </w:tc>
        <w:tc>
          <w:tcPr>
            <w:tcW w:w="580" w:type="dxa"/>
            <w:vAlign w:val="bottom"/>
          </w:tcPr>
          <w:p>
            <w:pPr>
              <w:spacing w:after="0"/>
              <w:rPr>
                <w:sz w:val="24"/>
                <w:szCs w:val="24"/>
                <w:color w:val="auto"/>
              </w:rPr>
            </w:pPr>
          </w:p>
        </w:tc>
      </w:tr>
      <w:tr>
        <w:trPr>
          <w:trHeight w:val="234"/>
        </w:trPr>
        <w:tc>
          <w:tcPr>
            <w:tcW w:w="10840" w:type="dxa"/>
            <w:vAlign w:val="bottom"/>
            <w:gridSpan w:val="2"/>
          </w:tcPr>
          <w:p>
            <w:pPr>
              <w:ind w:left="1580"/>
              <w:spacing w:after="0"/>
              <w:rPr>
                <w:sz w:val="20"/>
                <w:szCs w:val="20"/>
                <w:color w:val="auto"/>
              </w:rPr>
            </w:pPr>
            <w:r>
              <w:rPr>
                <w:rFonts w:ascii="Arial" w:cs="Arial" w:eastAsia="Arial" w:hAnsi="Arial"/>
                <w:sz w:val="18"/>
                <w:szCs w:val="18"/>
                <w:b w:val="1"/>
                <w:bCs w:val="1"/>
                <w:color w:val="auto"/>
              </w:rPr>
              <w:t>2008</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648"/>
        </w:trPr>
        <w:tc>
          <w:tcPr>
            <w:tcW w:w="10840" w:type="dxa"/>
            <w:vAlign w:val="bottom"/>
            <w:gridSpan w:val="2"/>
          </w:tcPr>
          <w:p>
            <w:pPr>
              <w:ind w:left="1420"/>
              <w:spacing w:after="0"/>
              <w:rPr>
                <w:sz w:val="20"/>
                <w:szCs w:val="20"/>
                <w:color w:val="auto"/>
              </w:rPr>
            </w:pPr>
            <w:r>
              <w:rPr>
                <w:rFonts w:ascii="Arial" w:cs="Arial" w:eastAsia="Arial" w:hAnsi="Arial"/>
                <w:sz w:val="18"/>
                <w:szCs w:val="18"/>
                <w:b w:val="1"/>
                <w:bCs w:val="1"/>
                <w:color w:val="auto"/>
              </w:rPr>
              <w:t>Consolidated Statement of Cash Flows (unaudited) for the Six Months Ended June 30, 2009 and 2008</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648"/>
        </w:trPr>
        <w:tc>
          <w:tcPr>
            <w:tcW w:w="10840" w:type="dxa"/>
            <w:vAlign w:val="bottom"/>
            <w:gridSpan w:val="2"/>
          </w:tcPr>
          <w:p>
            <w:pPr>
              <w:ind w:left="1420"/>
              <w:spacing w:after="0"/>
              <w:rPr>
                <w:sz w:val="20"/>
                <w:szCs w:val="20"/>
                <w:color w:val="auto"/>
              </w:rPr>
            </w:pPr>
            <w:r>
              <w:rPr>
                <w:rFonts w:ascii="Arial" w:cs="Arial" w:eastAsia="Arial" w:hAnsi="Arial"/>
                <w:sz w:val="18"/>
                <w:szCs w:val="18"/>
                <w:b w:val="1"/>
                <w:bCs w:val="1"/>
                <w:color w:val="auto"/>
              </w:rPr>
              <w:t>Notes to Consolidated Financial Statements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32"/>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2.</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3.</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32"/>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4.</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Controls and Procedures.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648"/>
        </w:trPr>
        <w:tc>
          <w:tcPr>
            <w:tcW w:w="10840" w:type="dxa"/>
            <w:vAlign w:val="bottom"/>
            <w:gridSpan w:val="2"/>
          </w:tcPr>
          <w:p>
            <w:pPr>
              <w:ind w:left="460"/>
              <w:spacing w:after="0"/>
              <w:rPr>
                <w:sz w:val="20"/>
                <w:szCs w:val="20"/>
                <w:color w:val="auto"/>
              </w:rPr>
            </w:pPr>
            <w:r>
              <w:rPr>
                <w:rFonts w:ascii="Arial" w:cs="Arial" w:eastAsia="Arial" w:hAnsi="Arial"/>
                <w:sz w:val="18"/>
                <w:szCs w:val="18"/>
                <w:b w:val="1"/>
                <w:bCs w:val="1"/>
                <w:color w:val="auto"/>
              </w:rPr>
              <w:t>PART II - Other Information</w:t>
            </w:r>
          </w:p>
        </w:tc>
        <w:tc>
          <w:tcPr>
            <w:tcW w:w="580" w:type="dxa"/>
            <w:vAlign w:val="bottom"/>
          </w:tcPr>
          <w:p>
            <w:pPr>
              <w:spacing w:after="0"/>
              <w:rPr>
                <w:sz w:val="24"/>
                <w:szCs w:val="24"/>
                <w:color w:val="auto"/>
              </w:rPr>
            </w:pPr>
          </w:p>
        </w:tc>
      </w:tr>
      <w:tr>
        <w:trPr>
          <w:trHeight w:val="414"/>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1.</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Legal Proceedings.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w w:val="97"/>
              </w:rPr>
              <w:t>Item 1A.</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Risk Factors.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2.</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3.</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Defaults Upon Senior Securities.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4.</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Submission of Matters to a Vote of Security Holders.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5.</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34"/>
        </w:trPr>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Item 6.</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675"/>
        </w:trPr>
        <w:tc>
          <w:tcPr>
            <w:tcW w:w="1640" w:type="dxa"/>
            <w:vAlign w:val="bottom"/>
          </w:tcPr>
          <w:p>
            <w:pPr>
              <w:spacing w:after="0"/>
              <w:rPr>
                <w:sz w:val="24"/>
                <w:szCs w:val="24"/>
                <w:color w:val="auto"/>
              </w:rPr>
            </w:pPr>
          </w:p>
        </w:tc>
        <w:tc>
          <w:tcPr>
            <w:tcW w:w="9200" w:type="dxa"/>
            <w:vAlign w:val="bottom"/>
          </w:tcPr>
          <w:p>
            <w:pPr>
              <w:ind w:left="402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4"/>
                <w:szCs w:val="24"/>
                <w:color w:val="auto"/>
              </w:rPr>
            </w:pPr>
          </w:p>
        </w:tc>
      </w:tr>
      <w:tr>
        <w:trPr>
          <w:trHeight w:val="108"/>
        </w:trPr>
        <w:tc>
          <w:tcPr>
            <w:tcW w:w="1640" w:type="dxa"/>
            <w:vAlign w:val="bottom"/>
            <w:tcBorders>
              <w:bottom w:val="single" w:sz="8" w:color="808080"/>
            </w:tcBorders>
          </w:tcPr>
          <w:p>
            <w:pPr>
              <w:spacing w:after="0"/>
              <w:rPr>
                <w:sz w:val="9"/>
                <w:szCs w:val="9"/>
                <w:color w:val="auto"/>
              </w:rPr>
            </w:pPr>
          </w:p>
        </w:tc>
        <w:tc>
          <w:tcPr>
            <w:tcW w:w="9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6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9"/>
                <w:szCs w:val="19"/>
                <w:color w:val="auto"/>
              </w:rPr>
            </w:pPr>
          </w:p>
        </w:tc>
      </w:tr>
      <w:tr>
        <w:trPr>
          <w:trHeight w:val="241"/>
        </w:trPr>
        <w:tc>
          <w:tcPr>
            <w:tcW w:w="6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b w:val="1"/>
                <w:bCs w:val="1"/>
                <w:color w:val="auto"/>
                <w:w w:val="97"/>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2008</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20" w:type="dxa"/>
            <w:vAlign w:val="bottom"/>
          </w:tcPr>
          <w:p>
            <w:pPr>
              <w:spacing w:after="0"/>
              <w:rPr>
                <w:sz w:val="19"/>
                <w:szCs w:val="19"/>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Interest revenue: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81,691</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97,051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163,571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206,317</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Investment securities, including tax exempt of $309, $398, $628 and $792</w:t>
            </w:r>
          </w:p>
        </w:tc>
        <w:tc>
          <w:tcPr>
            <w:tcW w:w="1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20,485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19,277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41,237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38,299</w:t>
            </w:r>
          </w:p>
        </w:tc>
      </w:tr>
      <w:tr>
        <w:trPr>
          <w:trHeight w:val="237"/>
        </w:trPr>
        <w:tc>
          <w:tcPr>
            <w:tcW w:w="6180" w:type="dxa"/>
            <w:vAlign w:val="bottom"/>
          </w:tcPr>
          <w:p>
            <w:pPr>
              <w:ind w:left="160"/>
              <w:spacing w:after="0"/>
              <w:rPr>
                <w:sz w:val="20"/>
                <w:szCs w:val="20"/>
                <w:color w:val="auto"/>
              </w:rPr>
            </w:pPr>
            <w:r>
              <w:rPr>
                <w:rFonts w:ascii="Arial" w:cs="Arial" w:eastAsia="Arial" w:hAnsi="Arial"/>
                <w:sz w:val="18"/>
                <w:szCs w:val="18"/>
                <w:color w:val="auto"/>
              </w:rPr>
              <w:t>Federal funds sold, commercial paper and deposits in banks</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r>
        <w:trPr>
          <w:trHeight w:val="223"/>
        </w:trPr>
        <w:tc>
          <w:tcPr>
            <w:tcW w:w="6180" w:type="dxa"/>
            <w:vAlign w:val="bottom"/>
          </w:tcPr>
          <w:p>
            <w:pPr>
              <w:ind w:left="500"/>
              <w:spacing w:after="0"/>
              <w:rPr>
                <w:sz w:val="20"/>
                <w:szCs w:val="20"/>
                <w:color w:val="auto"/>
              </w:rPr>
            </w:pPr>
            <w:r>
              <w:rPr>
                <w:rFonts w:ascii="Arial" w:cs="Arial" w:eastAsia="Arial" w:hAnsi="Arial"/>
                <w:sz w:val="18"/>
                <w:szCs w:val="18"/>
                <w:color w:val="auto"/>
              </w:rPr>
              <w:t>Total interest revenue</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102,274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244,888</w:t>
            </w:r>
          </w:p>
        </w:tc>
        <w:tc>
          <w:tcPr>
            <w:tcW w:w="20" w:type="dxa"/>
            <w:vAlign w:val="bottom"/>
          </w:tcPr>
          <w:p>
            <w:pPr>
              <w:spacing w:after="0"/>
              <w:rPr>
                <w:sz w:val="19"/>
                <w:szCs w:val="19"/>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80" w:type="dxa"/>
            <w:vAlign w:val="bottom"/>
          </w:tcPr>
          <w:p>
            <w:pPr>
              <w:ind w:left="340"/>
              <w:spacing w:after="0"/>
              <w:rPr>
                <w:sz w:val="20"/>
                <w:szCs w:val="20"/>
                <w:color w:val="auto"/>
              </w:rPr>
            </w:pPr>
            <w:r>
              <w:rPr>
                <w:rFonts w:ascii="Arial" w:cs="Arial" w:eastAsia="Arial" w:hAnsi="Arial"/>
                <w:sz w:val="18"/>
                <w:szCs w:val="18"/>
                <w:color w:val="auto"/>
              </w:rPr>
              <w:t>NOW</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15,803</w:t>
            </w:r>
          </w:p>
        </w:tc>
      </w:tr>
      <w:tr>
        <w:trPr>
          <w:trHeight w:val="216"/>
        </w:trPr>
        <w:tc>
          <w:tcPr>
            <w:tcW w:w="618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5,223</w:t>
            </w:r>
          </w:p>
        </w:tc>
      </w:tr>
      <w:tr>
        <w:trPr>
          <w:trHeight w:val="216"/>
        </w:trPr>
        <w:tc>
          <w:tcPr>
            <w:tcW w:w="6180" w:type="dxa"/>
            <w:vAlign w:val="bottom"/>
          </w:tcPr>
          <w:p>
            <w:pPr>
              <w:ind w:left="340"/>
              <w:spacing w:after="0"/>
              <w:rPr>
                <w:sz w:val="20"/>
                <w:szCs w:val="20"/>
                <w:color w:val="auto"/>
              </w:rPr>
            </w:pPr>
            <w:r>
              <w:rPr>
                <w:rFonts w:ascii="Arial" w:cs="Arial" w:eastAsia="Arial" w:hAnsi="Arial"/>
                <w:sz w:val="18"/>
                <w:szCs w:val="18"/>
                <w:color w:val="auto"/>
              </w:rPr>
              <w:t>Savings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r>
      <w:tr>
        <w:trPr>
          <w:trHeight w:val="237"/>
        </w:trPr>
        <w:tc>
          <w:tcPr>
            <w:tcW w:w="6180" w:type="dxa"/>
            <w:vAlign w:val="bottom"/>
          </w:tcPr>
          <w:p>
            <w:pPr>
              <w:ind w:left="340"/>
              <w:spacing w:after="0"/>
              <w:rPr>
                <w:sz w:val="20"/>
                <w:szCs w:val="20"/>
                <w:color w:val="auto"/>
              </w:rPr>
            </w:pPr>
            <w:r>
              <w:rPr>
                <w:rFonts w:ascii="Arial" w:cs="Arial" w:eastAsia="Arial" w:hAnsi="Arial"/>
                <w:sz w:val="18"/>
                <w:szCs w:val="18"/>
                <w:color w:val="auto"/>
              </w:rPr>
              <w:t>Time</w:t>
            </w:r>
          </w:p>
        </w:tc>
        <w:tc>
          <w:tcPr>
            <w:tcW w:w="180" w:type="dxa"/>
            <w:vAlign w:val="bottom"/>
          </w:tcPr>
          <w:p>
            <w:pPr>
              <w:spacing w:after="0"/>
              <w:rPr>
                <w:sz w:val="20"/>
                <w:szCs w:val="20"/>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32,064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38,828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68,117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77,712</w:t>
            </w:r>
          </w:p>
        </w:tc>
      </w:tr>
      <w:tr>
        <w:trPr>
          <w:trHeight w:val="202"/>
        </w:trPr>
        <w:tc>
          <w:tcPr>
            <w:tcW w:w="6180" w:type="dxa"/>
            <w:vAlign w:val="bottom"/>
          </w:tcPr>
          <w:p>
            <w:pPr>
              <w:ind w:left="500"/>
              <w:spacing w:after="0" w:line="201" w:lineRule="exact"/>
              <w:rPr>
                <w:sz w:val="20"/>
                <w:szCs w:val="20"/>
                <w:color w:val="auto"/>
              </w:rPr>
            </w:pPr>
            <w:r>
              <w:rPr>
                <w:rFonts w:ascii="Arial" w:cs="Arial" w:eastAsia="Arial" w:hAnsi="Arial"/>
                <w:sz w:val="18"/>
                <w:szCs w:val="18"/>
                <w:color w:val="auto"/>
              </w:rPr>
              <w:t>Total deposit interest expense</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4"/>
          </w:tcPr>
          <w:p>
            <w:pPr>
              <w:jc w:val="right"/>
              <w:ind w:right="60"/>
              <w:spacing w:after="0" w:line="201" w:lineRule="exact"/>
              <w:rPr>
                <w:sz w:val="20"/>
                <w:szCs w:val="20"/>
                <w:color w:val="auto"/>
              </w:rPr>
            </w:pPr>
            <w:r>
              <w:rPr>
                <w:rFonts w:ascii="Arial" w:cs="Arial" w:eastAsia="Arial" w:hAnsi="Arial"/>
                <w:sz w:val="18"/>
                <w:szCs w:val="18"/>
                <w:color w:val="auto"/>
              </w:rPr>
              <w:t>37,297</w:t>
            </w: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48,534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79,051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99,145</w:t>
            </w:r>
          </w:p>
        </w:tc>
        <w:tc>
          <w:tcPr>
            <w:tcW w:w="20" w:type="dxa"/>
            <w:vAlign w:val="bottom"/>
          </w:tcPr>
          <w:p>
            <w:pPr>
              <w:spacing w:after="0"/>
              <w:rPr>
                <w:sz w:val="17"/>
                <w:szCs w:val="17"/>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Federal funds purchased, repurchase agreements and other short-term</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8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6,138</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8,563</w:t>
            </w:r>
          </w:p>
        </w:tc>
      </w:tr>
      <w:tr>
        <w:trPr>
          <w:trHeight w:val="237"/>
        </w:trPr>
        <w:tc>
          <w:tcPr>
            <w:tcW w:w="61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2,760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4,139</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41,855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117,985</w:t>
            </w:r>
          </w:p>
        </w:tc>
        <w:tc>
          <w:tcPr>
            <w:tcW w:w="20" w:type="dxa"/>
            <w:vAlign w:val="bottom"/>
          </w:tcPr>
          <w:p>
            <w:pPr>
              <w:spacing w:after="0"/>
              <w:rPr>
                <w:sz w:val="19"/>
                <w:szCs w:val="19"/>
                <w:color w:val="auto"/>
              </w:rPr>
            </w:pPr>
          </w:p>
        </w:tc>
      </w:tr>
      <w:tr>
        <w:trPr>
          <w:trHeight w:val="202"/>
        </w:trPr>
        <w:tc>
          <w:tcPr>
            <w:tcW w:w="6180" w:type="dxa"/>
            <w:vAlign w:val="bottom"/>
          </w:tcPr>
          <w:p>
            <w:pPr>
              <w:ind w:left="340"/>
              <w:spacing w:after="0" w:line="201" w:lineRule="exact"/>
              <w:rPr>
                <w:sz w:val="20"/>
                <w:szCs w:val="20"/>
                <w:color w:val="auto"/>
              </w:rPr>
            </w:pPr>
            <w:r>
              <w:rPr>
                <w:rFonts w:ascii="Arial" w:cs="Arial" w:eastAsia="Arial" w:hAnsi="Arial"/>
                <w:sz w:val="18"/>
                <w:szCs w:val="18"/>
                <w:color w:val="auto"/>
              </w:rPr>
              <w:t>Net interest revenue</w:t>
            </w:r>
          </w:p>
        </w:tc>
        <w:tc>
          <w:tcPr>
            <w:tcW w:w="180" w:type="dxa"/>
            <w:vAlign w:val="bottom"/>
          </w:tcPr>
          <w:p>
            <w:pPr>
              <w:spacing w:after="0"/>
              <w:rPr>
                <w:sz w:val="17"/>
                <w:szCs w:val="17"/>
                <w:color w:val="auto"/>
              </w:rPr>
            </w:pPr>
          </w:p>
        </w:tc>
        <w:tc>
          <w:tcPr>
            <w:tcW w:w="82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60,419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61,147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117,343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126,903</w:t>
            </w:r>
          </w:p>
        </w:tc>
        <w:tc>
          <w:tcPr>
            <w:tcW w:w="20" w:type="dxa"/>
            <w:vAlign w:val="bottom"/>
          </w:tcPr>
          <w:p>
            <w:pPr>
              <w:spacing w:after="0"/>
              <w:rPr>
                <w:sz w:val="17"/>
                <w:szCs w:val="17"/>
                <w:color w:val="auto"/>
              </w:rPr>
            </w:pPr>
          </w:p>
        </w:tc>
      </w:tr>
      <w:tr>
        <w:trPr>
          <w:trHeight w:val="237"/>
        </w:trPr>
        <w:tc>
          <w:tcPr>
            <w:tcW w:w="618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20"/>
                <w:szCs w:val="20"/>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23,000</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Net interest revenue after provision for loan losses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103,903</w:t>
            </w:r>
          </w:p>
        </w:tc>
        <w:tc>
          <w:tcPr>
            <w:tcW w:w="20" w:type="dxa"/>
            <w:vAlign w:val="bottom"/>
          </w:tcPr>
          <w:p>
            <w:pPr>
              <w:spacing w:after="0"/>
              <w:rPr>
                <w:sz w:val="19"/>
                <w:szCs w:val="19"/>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Fee revenue: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Service charges and fees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14,591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15,770</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Mortgage loan and other related fees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4,165</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4,059</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Brokerage fees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1,907</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Securities (losses) gains, net</w:t>
            </w:r>
          </w:p>
        </w:tc>
        <w:tc>
          <w:tcPr>
            <w:tcW w:w="180" w:type="dxa"/>
            <w:vAlign w:val="bottom"/>
          </w:tcPr>
          <w:p>
            <w:pPr>
              <w:spacing w:after="0"/>
              <w:rPr>
                <w:sz w:val="18"/>
                <w:szCs w:val="18"/>
                <w:color w:val="auto"/>
              </w:rPr>
            </w:pPr>
          </w:p>
        </w:tc>
        <w:tc>
          <w:tcPr>
            <w:tcW w:w="1100" w:type="dxa"/>
            <w:vAlign w:val="bottom"/>
            <w:gridSpan w:val="5"/>
          </w:tcPr>
          <w:p>
            <w:pPr>
              <w:jc w:val="right"/>
              <w:ind w:right="280"/>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Gain from acquisition</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11,390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3,044</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Total fee revenue</w:t>
            </w: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24,440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29,302</w:t>
            </w:r>
          </w:p>
        </w:tc>
        <w:tc>
          <w:tcPr>
            <w:tcW w:w="20" w:type="dxa"/>
            <w:vAlign w:val="bottom"/>
          </w:tcPr>
          <w:p>
            <w:pPr>
              <w:spacing w:after="0"/>
              <w:rPr>
                <w:sz w:val="19"/>
                <w:szCs w:val="19"/>
                <w:color w:val="auto"/>
              </w:rPr>
            </w:pP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24,859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133,205</w:t>
            </w:r>
          </w:p>
        </w:tc>
        <w:tc>
          <w:tcPr>
            <w:tcW w:w="20" w:type="dxa"/>
            <w:vAlign w:val="bottom"/>
          </w:tcPr>
          <w:p>
            <w:pPr>
              <w:spacing w:after="0"/>
              <w:rPr>
                <w:sz w:val="19"/>
                <w:szCs w:val="19"/>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28,058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28,753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56,897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57,507</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Communications and equipment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7,374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7,684</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7,660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7,420</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Advertising and public relations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3,360</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Postage, printing and supplies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3,040</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Foreclosed property</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3,763</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FDIC assessments and other regulatory charges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2,531</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6,873</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8"/>
                <w:szCs w:val="18"/>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160"/>
              <w:spacing w:after="0"/>
              <w:rPr>
                <w:sz w:val="20"/>
                <w:szCs w:val="20"/>
                <w:color w:val="auto"/>
              </w:rPr>
            </w:pPr>
            <w:r>
              <w:rPr>
                <w:rFonts w:ascii="Arial" w:cs="Arial" w:eastAsia="Arial" w:hAnsi="Arial"/>
                <w:sz w:val="18"/>
                <w:szCs w:val="18"/>
                <w:color w:val="auto"/>
              </w:rPr>
              <w:t>Severance costs</w:t>
            </w:r>
          </w:p>
        </w:tc>
        <w:tc>
          <w:tcPr>
            <w:tcW w:w="180" w:type="dxa"/>
            <w:vAlign w:val="bottom"/>
          </w:tcPr>
          <w:p>
            <w:pPr>
              <w:spacing w:after="0"/>
              <w:rPr>
                <w:sz w:val="20"/>
                <w:szCs w:val="20"/>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55,348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97,290</w:t>
            </w:r>
          </w:p>
        </w:tc>
        <w:tc>
          <w:tcPr>
            <w:tcW w:w="20" w:type="dxa"/>
            <w:vAlign w:val="bottom"/>
          </w:tcPr>
          <w:p>
            <w:pPr>
              <w:spacing w:after="0"/>
              <w:rPr>
                <w:sz w:val="19"/>
                <w:szCs w:val="19"/>
                <w:color w:val="auto"/>
              </w:rPr>
            </w:pPr>
          </w:p>
        </w:tc>
      </w:tr>
      <w:tr>
        <w:trPr>
          <w:trHeight w:val="202"/>
        </w:trPr>
        <w:tc>
          <w:tcPr>
            <w:tcW w:w="6180" w:type="dxa"/>
            <w:vAlign w:val="bottom"/>
          </w:tcPr>
          <w:p>
            <w:pPr>
              <w:ind w:left="160"/>
              <w:spacing w:after="0" w:line="201" w:lineRule="exact"/>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17"/>
                <w:szCs w:val="17"/>
                <w:color w:val="auto"/>
              </w:rPr>
            </w:pPr>
          </w:p>
        </w:tc>
        <w:tc>
          <w:tcPr>
            <w:tcW w:w="82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(30,489)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10,991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w w:val="93"/>
              </w:rPr>
              <w:t>(151,186)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35,915</w:t>
            </w:r>
          </w:p>
        </w:tc>
        <w:tc>
          <w:tcPr>
            <w:tcW w:w="20" w:type="dxa"/>
            <w:vAlign w:val="bottom"/>
          </w:tcPr>
          <w:p>
            <w:pPr>
              <w:spacing w:after="0"/>
              <w:rPr>
                <w:sz w:val="17"/>
                <w:szCs w:val="17"/>
                <w:color w:val="auto"/>
              </w:rPr>
            </w:pPr>
          </w:p>
        </w:tc>
      </w:tr>
      <w:tr>
        <w:trPr>
          <w:trHeight w:val="237"/>
        </w:trPr>
        <w:tc>
          <w:tcPr>
            <w:tcW w:w="618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0"/>
                <w:szCs w:val="20"/>
                <w:color w:val="auto"/>
              </w:rPr>
            </w:pPr>
          </w:p>
        </w:tc>
        <w:tc>
          <w:tcPr>
            <w:tcW w:w="1100" w:type="dxa"/>
            <w:vAlign w:val="bottom"/>
            <w:gridSpan w:val="5"/>
          </w:tcPr>
          <w:p>
            <w:pPr>
              <w:jc w:val="right"/>
              <w:ind w:right="280"/>
              <w:spacing w:after="0"/>
              <w:rPr>
                <w:sz w:val="20"/>
                <w:szCs w:val="20"/>
                <w:color w:val="auto"/>
              </w:rPr>
            </w:pPr>
            <w:r>
              <w:rPr>
                <w:rFonts w:ascii="Arial" w:cs="Arial" w:eastAsia="Arial" w:hAnsi="Arial"/>
                <w:sz w:val="18"/>
                <w:szCs w:val="18"/>
                <w:color w:val="auto"/>
              </w:rPr>
              <w:t>(14,488)</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3,898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(31,412)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12,744</w:t>
            </w:r>
          </w:p>
        </w:tc>
      </w:tr>
      <w:tr>
        <w:trPr>
          <w:trHeight w:val="202"/>
        </w:trPr>
        <w:tc>
          <w:tcPr>
            <w:tcW w:w="6180" w:type="dxa"/>
            <w:vAlign w:val="bottom"/>
          </w:tcPr>
          <w:p>
            <w:pPr>
              <w:ind w:left="340"/>
              <w:spacing w:after="0" w:line="201" w:lineRule="exact"/>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(16,001)</w:t>
            </w:r>
          </w:p>
        </w:tc>
        <w:tc>
          <w:tcPr>
            <w:tcW w:w="4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7,093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(119,774)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23,171</w:t>
            </w:r>
          </w:p>
        </w:tc>
        <w:tc>
          <w:tcPr>
            <w:tcW w:w="20" w:type="dxa"/>
            <w:vAlign w:val="bottom"/>
          </w:tcPr>
          <w:p>
            <w:pPr>
              <w:spacing w:after="0"/>
              <w:rPr>
                <w:sz w:val="17"/>
                <w:szCs w:val="17"/>
                <w:color w:val="auto"/>
              </w:rPr>
            </w:pPr>
          </w:p>
        </w:tc>
      </w:tr>
      <w:tr>
        <w:trPr>
          <w:trHeight w:val="237"/>
        </w:trPr>
        <w:tc>
          <w:tcPr>
            <w:tcW w:w="6180" w:type="dxa"/>
            <w:vAlign w:val="bottom"/>
          </w:tcPr>
          <w:p>
            <w:pPr>
              <w:ind w:left="160"/>
              <w:spacing w:after="0"/>
              <w:rPr>
                <w:sz w:val="20"/>
                <w:szCs w:val="20"/>
                <w:color w:val="auto"/>
              </w:rPr>
            </w:pPr>
            <w:r>
              <w:rPr>
                <w:rFonts w:ascii="Arial" w:cs="Arial" w:eastAsia="Arial" w:hAnsi="Arial"/>
                <w:sz w:val="18"/>
                <w:szCs w:val="18"/>
                <w:color w:val="auto"/>
              </w:rPr>
              <w:t>Preferred stock dividends, including discount accretion</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(18,560</w:t>
            </w:r>
          </w:p>
        </w:tc>
        <w:tc>
          <w:tcPr>
            <w:tcW w:w="320" w:type="dxa"/>
            <w:vAlign w:val="bottom"/>
            <w:gridSpan w:val="3"/>
          </w:tcPr>
          <w:p>
            <w:pPr>
              <w:jc w:val="right"/>
              <w:ind w:right="280"/>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(124,887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23,163</w:t>
            </w:r>
          </w:p>
        </w:tc>
        <w:tc>
          <w:tcPr>
            <w:tcW w:w="20" w:type="dxa"/>
            <w:vAlign w:val="bottom"/>
          </w:tcPr>
          <w:p>
            <w:pPr>
              <w:spacing w:after="0"/>
              <w:rPr>
                <w:sz w:val="18"/>
                <w:szCs w:val="18"/>
                <w:color w:val="auto"/>
              </w:rPr>
            </w:pPr>
          </w:p>
        </w:tc>
      </w:tr>
      <w:tr>
        <w:trPr>
          <w:trHeight w:val="21"/>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6180" w:type="dxa"/>
            <w:vAlign w:val="bottom"/>
          </w:tcPr>
          <w:p>
            <w:pPr>
              <w:spacing w:after="0"/>
              <w:rPr>
                <w:sz w:val="20"/>
                <w:szCs w:val="20"/>
                <w:color w:val="auto"/>
              </w:rPr>
            </w:pPr>
            <w:r>
              <w:rPr>
                <w:rFonts w:ascii="Arial" w:cs="Arial" w:eastAsia="Arial" w:hAnsi="Arial"/>
                <w:sz w:val="18"/>
                <w:szCs w:val="18"/>
                <w:color w:val="auto"/>
              </w:rPr>
              <w:t>Basic (loss) earnings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5"/>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Diluted (loss) earnings per common share</w:t>
            </w:r>
          </w:p>
        </w:tc>
        <w:tc>
          <w:tcPr>
            <w:tcW w:w="180" w:type="dxa"/>
            <w:vAlign w:val="bottom"/>
          </w:tcPr>
          <w:p>
            <w:pPr>
              <w:spacing w:after="0"/>
              <w:rPr>
                <w:sz w:val="18"/>
                <w:szCs w:val="18"/>
                <w:color w:val="auto"/>
              </w:rPr>
            </w:pPr>
          </w:p>
        </w:tc>
        <w:tc>
          <w:tcPr>
            <w:tcW w:w="1100" w:type="dxa"/>
            <w:vAlign w:val="bottom"/>
            <w:gridSpan w:val="5"/>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180" w:type="dxa"/>
            <w:vAlign w:val="bottom"/>
          </w:tcPr>
          <w:p>
            <w:pPr>
              <w:spacing w:after="0"/>
              <w:rPr>
                <w:sz w:val="18"/>
                <w:szCs w:val="18"/>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Stock dividends per common share (new shares issued per shares held)</w:t>
            </w:r>
          </w:p>
        </w:tc>
        <w:tc>
          <w:tcPr>
            <w:tcW w:w="180" w:type="dxa"/>
            <w:vAlign w:val="bottom"/>
          </w:tcPr>
          <w:p>
            <w:pPr>
              <w:spacing w:after="0"/>
              <w:rPr>
                <w:sz w:val="18"/>
                <w:szCs w:val="18"/>
                <w:color w:val="auto"/>
              </w:rPr>
            </w:pP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1 for 130</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 for 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48,794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47,158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48,560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47,105</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80" w:type="dxa"/>
            <w:vAlign w:val="bottom"/>
          </w:tcPr>
          <w:p>
            <w:pPr>
              <w:spacing w:after="0"/>
              <w:rPr>
                <w:sz w:val="20"/>
                <w:szCs w:val="20"/>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48,794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47,249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48,560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47,260</w:t>
            </w:r>
          </w:p>
        </w:tc>
      </w:tr>
    </w:tbl>
    <w:p>
      <w:pPr>
        <w:sectPr>
          <w:pgSz w:w="11900" w:h="16838" w:orient="portrait"/>
          <w:cols w:equalWidth="0" w:num="1">
            <w:col w:w="11320"/>
          </w:cols>
          <w:pgMar w:left="240" w:top="580" w:right="339" w:bottom="0" w:gutter="0" w:footer="0" w:header="0"/>
        </w:sectPr>
      </w:pPr>
    </w:p>
    <w:bookmarkStart w:id="3" w:name="page4"/>
    <w:bookmarkEnd w:id="3"/>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w:t>
            </w:r>
          </w:p>
        </w:tc>
        <w:tc>
          <w:tcPr>
            <w:tcW w:w="1560" w:type="dxa"/>
            <w:vAlign w:val="bottom"/>
            <w:tcBorders>
              <w:top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w w:val="98"/>
              </w:rPr>
              <w:t>(audited)</w:t>
            </w:r>
          </w:p>
        </w:tc>
        <w:tc>
          <w:tcPr>
            <w:tcW w:w="12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82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110,943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116,395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176,240</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Interest-bearing deposits in banks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37"/>
        </w:trPr>
        <w:tc>
          <w:tcPr>
            <w:tcW w:w="7820" w:type="dxa"/>
            <w:vAlign w:val="bottom"/>
          </w:tcPr>
          <w:p>
            <w:pPr>
              <w:ind w:left="180"/>
              <w:spacing w:after="0"/>
              <w:rPr>
                <w:sz w:val="20"/>
                <w:szCs w:val="20"/>
                <w:color w:val="auto"/>
              </w:rPr>
            </w:pPr>
            <w:r>
              <w:rPr>
                <w:rFonts w:ascii="Arial" w:cs="Arial" w:eastAsia="Arial" w:hAnsi="Arial"/>
                <w:sz w:val="18"/>
                <w:szCs w:val="18"/>
                <w:color w:val="auto"/>
              </w:rPr>
              <w:t>Federal funds sold, commercial paper and short-term investments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368,609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181,417</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493,421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82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1,816,787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1,617,187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1,430,588</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Mortgage loans held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27,094</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Loans, net of unearned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5,513,087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5,704,861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5,933,141</w:t>
            </w:r>
          </w:p>
        </w:tc>
        <w:tc>
          <w:tcPr>
            <w:tcW w:w="0" w:type="dxa"/>
            <w:vAlign w:val="bottom"/>
          </w:tcPr>
          <w:p>
            <w:pPr>
              <w:spacing w:after="0"/>
              <w:rPr>
                <w:sz w:val="1"/>
                <w:szCs w:val="1"/>
                <w:color w:val="auto"/>
              </w:rPr>
            </w:pPr>
          </w:p>
        </w:tc>
      </w:tr>
      <w:tr>
        <w:trPr>
          <w:trHeight w:val="237"/>
        </w:trPr>
        <w:tc>
          <w:tcPr>
            <w:tcW w:w="7820" w:type="dxa"/>
            <w:vAlign w:val="bottom"/>
          </w:tcPr>
          <w:p>
            <w:pPr>
              <w:ind w:left="340"/>
              <w:spacing w:after="0"/>
              <w:rPr>
                <w:sz w:val="20"/>
                <w:szCs w:val="20"/>
                <w:color w:val="auto"/>
              </w:rPr>
            </w:pPr>
            <w:r>
              <w:rPr>
                <w:rFonts w:ascii="Arial" w:cs="Arial" w:eastAsia="Arial" w:hAnsi="Arial"/>
                <w:sz w:val="18"/>
                <w:szCs w:val="18"/>
                <w:color w:val="auto"/>
              </w:rPr>
              <w:t>Less allowance for loan losses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145,678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122,271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91,035</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Loans, net</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5,367,409</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5,582,590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5,842,106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820" w:type="dxa"/>
            <w:vAlign w:val="bottom"/>
          </w:tcPr>
          <w:p>
            <w:pPr>
              <w:ind w:left="180"/>
              <w:spacing w:after="0"/>
              <w:rPr>
                <w:sz w:val="20"/>
                <w:szCs w:val="20"/>
                <w:color w:val="auto"/>
              </w:rPr>
            </w:pPr>
            <w:r>
              <w:rPr>
                <w:rFonts w:ascii="Arial" w:cs="Arial" w:eastAsia="Arial" w:hAnsi="Arial"/>
                <w:sz w:val="18"/>
                <w:szCs w:val="18"/>
                <w:color w:val="auto"/>
              </w:rPr>
              <w:t>Covered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230,125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178,983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179,160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181,395</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46,088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50,399</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251,821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321,798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323,296</w:t>
            </w:r>
          </w:p>
        </w:tc>
        <w:tc>
          <w:tcPr>
            <w:tcW w:w="0" w:type="dxa"/>
            <w:vAlign w:val="bottom"/>
          </w:tcPr>
          <w:p>
            <w:pPr>
              <w:spacing w:after="0"/>
              <w:rPr>
                <w:sz w:val="1"/>
                <w:szCs w:val="1"/>
                <w:color w:val="auto"/>
              </w:rPr>
            </w:pPr>
          </w:p>
        </w:tc>
      </w:tr>
      <w:tr>
        <w:trPr>
          <w:trHeight w:val="237"/>
        </w:trPr>
        <w:tc>
          <w:tcPr>
            <w:tcW w:w="78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292,914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260,187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220,478</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8,403,046</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8,520,765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8,264,051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Demand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714,630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654,036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696,575</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NOW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1,273,368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1,543,385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1,541,609</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573,463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466,750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418,935</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180,368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170,275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187,088</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500"/>
              <w:spacing w:after="0"/>
              <w:rPr>
                <w:sz w:val="20"/>
                <w:szCs w:val="20"/>
                <w:color w:val="auto"/>
              </w:rPr>
            </w:pPr>
            <w:r>
              <w:rPr>
                <w:rFonts w:ascii="Arial" w:cs="Arial" w:eastAsia="Arial" w:hAnsi="Arial"/>
                <w:sz w:val="18"/>
                <w:szCs w:val="18"/>
                <w:color w:val="auto"/>
              </w:rPr>
              <w:t>Less than $100,000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1,992,056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1,953,235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1,747,763</w:t>
            </w:r>
          </w:p>
        </w:tc>
        <w:tc>
          <w:tcPr>
            <w:tcW w:w="0" w:type="dxa"/>
            <w:vAlign w:val="bottom"/>
          </w:tcPr>
          <w:p>
            <w:pPr>
              <w:spacing w:after="0"/>
              <w:rPr>
                <w:sz w:val="1"/>
                <w:szCs w:val="1"/>
                <w:color w:val="auto"/>
              </w:rPr>
            </w:pPr>
          </w:p>
        </w:tc>
      </w:tr>
      <w:tr>
        <w:trPr>
          <w:trHeight w:val="216"/>
        </w:trPr>
        <w:tc>
          <w:tcPr>
            <w:tcW w:w="7820" w:type="dxa"/>
            <w:vAlign w:val="bottom"/>
          </w:tcPr>
          <w:p>
            <w:pPr>
              <w:ind w:left="500"/>
              <w:spacing w:after="0"/>
              <w:rPr>
                <w:sz w:val="20"/>
                <w:szCs w:val="20"/>
                <w:color w:val="auto"/>
              </w:rPr>
            </w:pPr>
            <w:r>
              <w:rPr>
                <w:rFonts w:ascii="Arial" w:cs="Arial" w:eastAsia="Arial" w:hAnsi="Arial"/>
                <w:sz w:val="18"/>
                <w:szCs w:val="18"/>
                <w:color w:val="auto"/>
              </w:rPr>
              <w:t>Greater than $100,000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1,351,527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1,422,974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1,573,078</w:t>
            </w:r>
          </w:p>
        </w:tc>
        <w:tc>
          <w:tcPr>
            <w:tcW w:w="0" w:type="dxa"/>
            <w:vAlign w:val="bottom"/>
          </w:tcPr>
          <w:p>
            <w:pPr>
              <w:spacing w:after="0"/>
              <w:rPr>
                <w:sz w:val="1"/>
                <w:szCs w:val="1"/>
                <w:color w:val="auto"/>
              </w:rPr>
            </w:pPr>
          </w:p>
        </w:tc>
      </w:tr>
      <w:tr>
        <w:trPr>
          <w:trHeight w:val="237"/>
        </w:trPr>
        <w:tc>
          <w:tcPr>
            <w:tcW w:w="7820" w:type="dxa"/>
            <w:vAlign w:val="bottom"/>
          </w:tcPr>
          <w:p>
            <w:pPr>
              <w:ind w:left="500"/>
              <w:spacing w:after="0"/>
              <w:rPr>
                <w:sz w:val="20"/>
                <w:szCs w:val="20"/>
                <w:color w:val="auto"/>
              </w:rPr>
            </w:pPr>
            <w:r>
              <w:rPr>
                <w:rFonts w:ascii="Arial" w:cs="Arial" w:eastAsia="Arial" w:hAnsi="Arial"/>
                <w:sz w:val="18"/>
                <w:szCs w:val="18"/>
                <w:color w:val="auto"/>
              </w:rPr>
              <w:t>Brokered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763,348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792,969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531,408</w:t>
            </w:r>
          </w:p>
        </w:tc>
        <w:tc>
          <w:tcPr>
            <w:tcW w:w="0" w:type="dxa"/>
            <w:vAlign w:val="bottom"/>
          </w:tcPr>
          <w:p>
            <w:pPr>
              <w:spacing w:after="0"/>
              <w:rPr>
                <w:sz w:val="1"/>
                <w:szCs w:val="1"/>
                <w:color w:val="auto"/>
              </w:rPr>
            </w:pPr>
          </w:p>
        </w:tc>
      </w:tr>
      <w:tr>
        <w:trPr>
          <w:trHeight w:val="230"/>
        </w:trPr>
        <w:tc>
          <w:tcPr>
            <w:tcW w:w="7820" w:type="dxa"/>
            <w:vAlign w:val="bottom"/>
          </w:tcPr>
          <w:p>
            <w:pPr>
              <w:ind w:left="660"/>
              <w:spacing w:after="0"/>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6,848,760</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7,003,624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6,696,456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820" w:type="dxa"/>
            <w:vAlign w:val="bottom"/>
          </w:tcPr>
          <w:p>
            <w:pPr>
              <w:ind w:left="18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252,493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108,411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288,650</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283,292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235,321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285,807</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150,986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107,996</w:t>
            </w:r>
          </w:p>
        </w:tc>
        <w:tc>
          <w:tcPr>
            <w:tcW w:w="0" w:type="dxa"/>
            <w:vAlign w:val="bottom"/>
          </w:tcPr>
          <w:p>
            <w:pPr>
              <w:spacing w:after="0"/>
              <w:rPr>
                <w:sz w:val="1"/>
                <w:szCs w:val="1"/>
                <w:color w:val="auto"/>
              </w:rPr>
            </w:pPr>
          </w:p>
        </w:tc>
      </w:tr>
      <w:tr>
        <w:trPr>
          <w:trHeight w:val="237"/>
        </w:trPr>
        <w:tc>
          <w:tcPr>
            <w:tcW w:w="78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13,203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33,041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47,252</w:t>
            </w:r>
          </w:p>
        </w:tc>
        <w:tc>
          <w:tcPr>
            <w:tcW w:w="0" w:type="dxa"/>
            <w:vAlign w:val="bottom"/>
          </w:tcPr>
          <w:p>
            <w:pPr>
              <w:spacing w:after="0"/>
              <w:rPr>
                <w:sz w:val="1"/>
                <w:szCs w:val="1"/>
                <w:color w:val="auto"/>
              </w:rPr>
            </w:pPr>
          </w:p>
        </w:tc>
      </w:tr>
      <w:tr>
        <w:trPr>
          <w:trHeight w:val="223"/>
        </w:trPr>
        <w:tc>
          <w:tcPr>
            <w:tcW w:w="782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7,547,774</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7,531,383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7,426,161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8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Preferred stock, $1 par value; 10,000,000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Series A; $10 stated value; 21,700, 25,800 and 25,800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Series B; $1,000 stated value; 180,000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173,785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173,180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w w:val="93"/>
              </w:rPr>
              <w:t>Common stock, $1 par value; 100,000,000 shares authorized;48,933,383, 48,809,301 and 48,809,301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color w:val="auto"/>
              </w:rPr>
              <w:t>shares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48,809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48,809</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Common stock issuable; 182,041, 129,304 and 105,579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Capital surplus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450,514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460,708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462,939</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136,624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265,405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362,089</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Treasury stock; 799,892 and 1,713,310 shares, at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(16,465)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(39,222)</w:t>
            </w:r>
          </w:p>
        </w:tc>
        <w:tc>
          <w:tcPr>
            <w:tcW w:w="0" w:type="dxa"/>
            <w:vAlign w:val="bottom"/>
          </w:tcPr>
          <w:p>
            <w:pPr>
              <w:spacing w:after="0"/>
              <w:rPr>
                <w:sz w:val="1"/>
                <w:szCs w:val="1"/>
                <w:color w:val="auto"/>
              </w:rPr>
            </w:pPr>
          </w:p>
        </w:tc>
      </w:tr>
      <w:tr>
        <w:trPr>
          <w:trHeight w:val="237"/>
        </w:trPr>
        <w:tc>
          <w:tcPr>
            <w:tcW w:w="78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41,816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54,579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7820" w:type="dxa"/>
            <w:vAlign w:val="bottom"/>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855,272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989,382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8,403,046</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8,520,765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8,264,051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Series A</w:t>
            </w:r>
          </w:p>
        </w:tc>
        <w:tc>
          <w:tcPr>
            <w:tcW w:w="10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Series B</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i w:val="1"/>
                <w:iCs w:val="1"/>
                <w:color w:val="auto"/>
                <w:w w:val="97"/>
              </w:rPr>
              <w:t>(in thousands, except share</w:t>
            </w: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Preferred</w:t>
            </w:r>
          </w:p>
        </w:tc>
        <w:tc>
          <w:tcPr>
            <w:tcW w:w="10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Preferred</w:t>
            </w:r>
          </w:p>
        </w:tc>
        <w:tc>
          <w:tcPr>
            <w:tcW w:w="10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Retained</w:t>
            </w:r>
          </w:p>
        </w:tc>
        <w:tc>
          <w:tcPr>
            <w:tcW w:w="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Treasury</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r>
              <w:rPr>
                <w:rFonts w:ascii="Arial" w:cs="Arial" w:eastAsia="Arial" w:hAnsi="Arial"/>
                <w:sz w:val="18"/>
                <w:szCs w:val="18"/>
                <w:i w:val="1"/>
                <w:iCs w:val="1"/>
                <w:color w:val="auto"/>
              </w:rPr>
              <w:t>and per share data)</w:t>
            </w:r>
          </w:p>
        </w:tc>
        <w:tc>
          <w:tcPr>
            <w:tcW w:w="14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Issuable</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Surplus</w:t>
            </w:r>
          </w:p>
        </w:tc>
        <w:tc>
          <w:tcPr>
            <w:tcW w:w="8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Earnings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Stock</w:t>
            </w:r>
          </w:p>
        </w:tc>
        <w:tc>
          <w:tcPr>
            <w:tcW w:w="80" w:type="dxa"/>
            <w:vAlign w:val="bottom"/>
          </w:tcPr>
          <w:p>
            <w:pPr>
              <w:spacing w:after="0"/>
              <w:rPr>
                <w:sz w:val="20"/>
                <w:szCs w:val="20"/>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1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Balance, December 31,</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48,809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462,881</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347,391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(43,798)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831,902</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23,171</w:t>
            </w: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Unrealized holding</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losses on available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w w:val="94"/>
              </w:rPr>
              <w:t>for sale securities, net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of deferred tax</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benefit and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reclassification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(15,203)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Unrealized gains 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derivative financial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qualifying as cash</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flow hedges, net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Pr>
          <w:p>
            <w:pPr>
              <w:ind w:left="500"/>
              <w:spacing w:after="0"/>
              <w:rPr>
                <w:sz w:val="20"/>
                <w:szCs w:val="20"/>
                <w:color w:val="auto"/>
              </w:rPr>
            </w:pPr>
            <w:r>
              <w:rPr>
                <w:rFonts w:ascii="Arial" w:cs="Arial" w:eastAsia="Arial" w:hAnsi="Arial"/>
                <w:sz w:val="18"/>
                <w:szCs w:val="18"/>
                <w:color w:val="auto"/>
                <w:w w:val="98"/>
              </w:rPr>
              <w:t>deferred tax expense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1,263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02"/>
        </w:trPr>
        <w:tc>
          <w:tcPr>
            <w:tcW w:w="2180" w:type="dxa"/>
            <w:vAlign w:val="bottom"/>
          </w:tcPr>
          <w:p>
            <w:pPr>
              <w:ind w:left="660"/>
              <w:spacing w:after="0" w:line="201" w:lineRule="exact"/>
              <w:rPr>
                <w:sz w:val="20"/>
                <w:szCs w:val="20"/>
                <w:color w:val="auto"/>
              </w:rPr>
            </w:pPr>
            <w:r>
              <w:rPr>
                <w:rFonts w:ascii="Arial" w:cs="Arial" w:eastAsia="Arial" w:hAnsi="Arial"/>
                <w:sz w:val="18"/>
                <w:szCs w:val="18"/>
                <w:color w:val="auto"/>
              </w:rPr>
              <w:t>Comprehensive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82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(13,940)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7"/>
              </w:rPr>
              <w:t>Cash dividends declared 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common stock ($.18 per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(8,465)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(62,860 shares)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Common stock issued to</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dividend reinvestment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w w:val="93"/>
              </w:rPr>
              <w:t>plan and employee benefit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plans (113,047 shares)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Amortization of 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w w:val="94"/>
              </w:rPr>
              <w:t>option and restricted 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(15,159 shares issued,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8,700 shares deferred)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plan, net, including</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dividend equivalents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5"/>
              </w:rPr>
              <w:t>Shares issued from deferred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w w:val="95"/>
              </w:rPr>
              <w:t>compensation plan (1,545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Tax benefit from options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Dividends on Series A</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preferred stock ($.30 per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Balance, June 30, 2008</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48,809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362,089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80" w:type="dxa"/>
            <w:vAlign w:val="bottom"/>
          </w:tcPr>
          <w:p>
            <w:pPr>
              <w:ind w:left="18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173,180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48,809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2,908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460,708</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265,405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(16,465)</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54,579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989,382</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(119,774)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(119,774)</w:t>
            </w: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Unrealized holding</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w w:val="97"/>
              </w:rPr>
              <w:t>gains on available for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w w:val="98"/>
              </w:rPr>
              <w:t>sale securities, net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w w:val="98"/>
              </w:rPr>
              <w:t>deferred tax expense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and reclassification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Unrealized losses 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(14,345)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derivative financial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500"/>
              <w:spacing w:after="0"/>
              <w:rPr>
                <w:sz w:val="20"/>
                <w:szCs w:val="20"/>
                <w:color w:val="auto"/>
              </w:rPr>
            </w:pPr>
            <w:r>
              <w:rPr>
                <w:rFonts w:ascii="Arial" w:cs="Arial" w:eastAsia="Arial" w:hAnsi="Arial"/>
                <w:sz w:val="18"/>
                <w:szCs w:val="18"/>
                <w:color w:val="auto"/>
              </w:rPr>
              <w:t>qualifying as cash</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580"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500"/>
              <w:spacing w:after="0"/>
              <w:rPr>
                <w:sz w:val="20"/>
                <w:szCs w:val="20"/>
                <w:color w:val="auto"/>
              </w:rPr>
            </w:pPr>
            <w:r>
              <w:rPr>
                <w:rFonts w:ascii="Arial" w:cs="Arial" w:eastAsia="Arial" w:hAnsi="Arial"/>
                <w:sz w:val="18"/>
                <w:szCs w:val="18"/>
                <w:color w:val="auto"/>
              </w:rPr>
              <w:t>flow hedges, net of</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2180" w:type="dxa"/>
            <w:vAlign w:val="bottom"/>
          </w:tcPr>
          <w:p>
            <w:pPr>
              <w:ind w:left="500"/>
              <w:spacing w:after="0"/>
              <w:rPr>
                <w:sz w:val="20"/>
                <w:szCs w:val="20"/>
                <w:color w:val="auto"/>
              </w:rPr>
            </w:pPr>
            <w:r>
              <w:rPr>
                <w:rFonts w:ascii="Arial" w:cs="Arial" w:eastAsia="Arial" w:hAnsi="Arial"/>
                <w:sz w:val="18"/>
                <w:szCs w:val="18"/>
                <w:color w:val="auto"/>
              </w:rPr>
              <w:t>deferred tax benefit</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180" w:type="dxa"/>
            <w:vAlign w:val="bottom"/>
          </w:tcPr>
          <w:p>
            <w:pPr>
              <w:ind w:left="660"/>
              <w:spacing w:after="0" w:line="201" w:lineRule="exact"/>
              <w:rPr>
                <w:sz w:val="20"/>
                <w:szCs w:val="20"/>
                <w:color w:val="auto"/>
              </w:rPr>
            </w:pPr>
            <w:r>
              <w:rPr>
                <w:rFonts w:ascii="Arial" w:cs="Arial" w:eastAsia="Arial" w:hAnsi="Arial"/>
                <w:sz w:val="18"/>
                <w:szCs w:val="18"/>
                <w:color w:val="auto"/>
              </w:rPr>
              <w:t>Comprehensive</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80" w:type="dxa"/>
            <w:vAlign w:val="bottom"/>
          </w:tcPr>
          <w:p>
            <w:pPr>
              <w:ind w:left="820"/>
              <w:spacing w:after="0"/>
              <w:rPr>
                <w:sz w:val="20"/>
                <w:szCs w:val="20"/>
                <w:color w:val="auto"/>
              </w:rPr>
            </w:pPr>
            <w:r>
              <w:rPr>
                <w:rFonts w:ascii="Arial" w:cs="Arial" w:eastAsia="Arial" w:hAnsi="Arial"/>
                <w:sz w:val="18"/>
                <w:szCs w:val="18"/>
                <w:color w:val="auto"/>
              </w:rPr>
              <w:t>loss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(119,774)</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(12,763)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(132,537)</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Retirement of Series A</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preferred stock (4,100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5"/>
              </w:rPr>
              <w:t>Stock dividends declared on</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common stock (737,530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(8,893)</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(3,894)</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12,649</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(437 shares)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Common stock issued to</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dividend reinvestment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w w:val="93"/>
              </w:rPr>
              <w:t>plan and employee benefit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plans (167,873 shares)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(2,474)</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3,434</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974</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Amortization of stock</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options and restricted</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stock awards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1,846</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(12,447 shares issued,</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16,162 shares deferred)</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plan, net, including</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dividend equivalents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214</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5"/>
              </w:rPr>
              <w:t>Shares issued from deferred</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w w:val="95"/>
              </w:rPr>
              <w:t>compensation plan (5,687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9"/>
              </w:rPr>
              <w:t>Tax on option exercise and</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restricted stock vesting</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Dividends on Series A</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preferred stock ($.30 per</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Dividends on Series B</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8"/>
                <w:szCs w:val="18"/>
                <w:color w:val="auto"/>
              </w:rPr>
              <w:t>preferred stock (5%)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(5,105)</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(4,500)</w:t>
            </w:r>
          </w:p>
        </w:tc>
      </w:t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Balance, June 30, 2009</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$ 173,785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48,933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$ 450,514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$ 136,624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$ 855,272</w:t>
            </w:r>
          </w:p>
        </w:tc>
        <w:tc>
          <w:tcPr>
            <w:tcW w:w="60" w:type="dxa"/>
            <w:vAlign w:val="bottom"/>
          </w:tcPr>
          <w:p>
            <w:pPr>
              <w:spacing w:after="0"/>
              <w:rPr>
                <w:sz w:val="18"/>
                <w:szCs w:val="18"/>
                <w:color w:val="auto"/>
              </w:rPr>
            </w:pPr>
          </w:p>
        </w:tc>
      </w:tr>
      <w:tr>
        <w:trPr>
          <w:trHeight w:val="21"/>
        </w:trPr>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Comprehensive loss for the second quarter of 2009 and 2008 was $32,735,000 and $31,569,000, respectively.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6"/>
          </w:tcPr>
          <w:p>
            <w:pPr>
              <w:jc w:val="right"/>
              <w:ind w:right="29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Operating activities:</w:t>
            </w: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(119,774)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Goodwill impairment charge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Loss (gain) on sale of securities available for sale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(Gain) loss on sale of other assets and other real estate owned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Write downs of other real estate owned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Gain from acquisition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(11,390)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Other assets and accrued interest receivable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(10,943)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50,868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25,309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Mortgage loans held for sale</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(21,851)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85,889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sales of securities available for sale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399,401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(584,100)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(511,626)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increase in loans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(12,617)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(6,237)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cash received from acquisitions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63,618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56,060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30,636</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1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(68,311)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(128,688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8"/>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(462,921)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change in federal funds purchased, repurchase agreements, and other short-term borrowings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141,412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(349,812)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FHLB advances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Repayments of FHLB advances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(634,000)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Retirement of preferred stock</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dividends on preferred stock</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1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(329,582</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(312,004)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(30,928)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493,421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181,417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188,695</w:t>
            </w:r>
          </w:p>
        </w:tc>
        <w:tc>
          <w:tcPr>
            <w:tcW w:w="0" w:type="dxa"/>
            <w:vAlign w:val="bottom"/>
          </w:tcPr>
          <w:p>
            <w:pPr>
              <w:spacing w:after="0"/>
              <w:rPr>
                <w:sz w:val="1"/>
                <w:szCs w:val="1"/>
                <w:color w:val="auto"/>
              </w:rPr>
            </w:pPr>
          </w:p>
        </w:tc>
      </w:tr>
      <w:tr>
        <w:trPr>
          <w:trHeight w:val="21"/>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12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Cash paid (received) during the period for: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Interest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91,865</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(23,850)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20,098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56" w:lineRule="exact"/>
        <w:rPr>
          <w:sz w:val="20"/>
          <w:szCs w:val="20"/>
          <w:color w:val="auto"/>
        </w:rPr>
      </w:pPr>
    </w:p>
    <w:p>
      <w:pPr>
        <w:jc w:val="both"/>
        <w:ind w:firstLine="591"/>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2008 annual report filed on Form 10-K.</w:t>
      </w:r>
    </w:p>
    <w:p>
      <w:pPr>
        <w:spacing w:after="0" w:line="214" w:lineRule="exact"/>
        <w:rPr>
          <w:sz w:val="20"/>
          <w:szCs w:val="20"/>
          <w:color w:val="auto"/>
        </w:rPr>
      </w:pPr>
    </w:p>
    <w:p>
      <w:pPr>
        <w:jc w:val="both"/>
        <w:ind w:firstLine="821"/>
        <w:spacing w:after="0" w:line="286" w:lineRule="auto"/>
        <w:rPr>
          <w:sz w:val="20"/>
          <w:szCs w:val="20"/>
          <w:color w:val="auto"/>
        </w:rPr>
      </w:pPr>
      <w:r>
        <w:rPr>
          <w:rFonts w:ascii="Arial" w:cs="Arial" w:eastAsia="Arial" w:hAnsi="Arial"/>
          <w:sz w:val="17"/>
          <w:szCs w:val="17"/>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93" w:lineRule="exact"/>
        <w:rPr>
          <w:sz w:val="20"/>
          <w:szCs w:val="20"/>
          <w:color w:val="auto"/>
        </w:rPr>
      </w:pPr>
    </w:p>
    <w:p>
      <w:pPr>
        <w:jc w:val="both"/>
        <w:ind w:firstLine="633"/>
        <w:spacing w:after="0" w:line="291" w:lineRule="auto"/>
        <w:rPr>
          <w:sz w:val="20"/>
          <w:szCs w:val="20"/>
          <w:color w:val="auto"/>
        </w:rPr>
      </w:pPr>
      <w:r>
        <w:rPr>
          <w:rFonts w:ascii="Arial" w:cs="Arial" w:eastAsia="Arial" w:hAnsi="Arial"/>
          <w:sz w:val="16"/>
          <w:szCs w:val="16"/>
          <w:color w:val="auto"/>
        </w:rPr>
        <w:t xml:space="preserve">Statement of Financial Accounting Standards No. 161, </w:t>
      </w:r>
      <w:r>
        <w:rPr>
          <w:rFonts w:ascii="Arial" w:cs="Arial" w:eastAsia="Arial" w:hAnsi="Arial"/>
          <w:sz w:val="16"/>
          <w:szCs w:val="16"/>
          <w:i w:val="1"/>
          <w:iCs w:val="1"/>
          <w:color w:val="auto"/>
        </w:rPr>
        <w:t>Disclosures about Derivative Instruments and Hedging Activities,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133 </w:t>
      </w:r>
      <w:r>
        <w:rPr>
          <w:rFonts w:ascii="Arial" w:cs="Arial" w:eastAsia="Arial" w:hAnsi="Arial"/>
          <w:sz w:val="16"/>
          <w:szCs w:val="16"/>
          <w:color w:val="auto"/>
        </w:rPr>
        <w:t>(“SFAS 161”), amends and expands the disclosure requirements of Financial Accounting Standards Board (“FASB”) Statement No. 133,</w:t>
      </w:r>
      <w:r>
        <w:rPr>
          <w:rFonts w:ascii="Arial" w:cs="Arial" w:eastAsia="Arial" w:hAnsi="Arial"/>
          <w:sz w:val="16"/>
          <w:szCs w:val="16"/>
          <w:i w:val="1"/>
          <w:iCs w:val="1"/>
          <w:color w:val="auto"/>
        </w:rPr>
        <w:t xml:space="preserve"> Accounting for Derivative Instruments and Hedging Activities </w:t>
      </w:r>
      <w:r>
        <w:rPr>
          <w:rFonts w:ascii="Arial" w:cs="Arial" w:eastAsia="Arial" w:hAnsi="Arial"/>
          <w:sz w:val="16"/>
          <w:szCs w:val="16"/>
          <w:color w:val="auto"/>
        </w:rPr>
        <w:t>(“SFAS 133”) with the intent to provide users of financial statements with an enhanced</w:t>
      </w:r>
      <w:r>
        <w:rPr>
          <w:rFonts w:ascii="Arial" w:cs="Arial" w:eastAsia="Arial" w:hAnsi="Arial"/>
          <w:sz w:val="16"/>
          <w:szCs w:val="16"/>
          <w:i w:val="1"/>
          <w:iCs w:val="1"/>
          <w:color w:val="auto"/>
        </w:rPr>
        <w:t xml:space="preserve"> </w:t>
      </w:r>
      <w:r>
        <w:rPr>
          <w:rFonts w:ascii="Arial" w:cs="Arial" w:eastAsia="Arial" w:hAnsi="Arial"/>
          <w:sz w:val="16"/>
          <w:szCs w:val="16"/>
          <w:color w:val="auto"/>
        </w:rPr>
        <w:t>understanding of: (1) how and why an entity uses derivative instruments, (2) how derivative instruments and related hedged items are accounted for under SFAS 133 and its related interpretations, and (3) how derivative instruments and related hedged items affect an entity’s financial position, financial performance, and cash flows. SFAS 161 requires qualitative disclosures about objectives and strategies for using derivatives, quantitative disclosures about the fair value of and gains and losses on derivative instruments, and disclosures about credit-risk-related contingent features in derivative instruments.</w:t>
      </w:r>
    </w:p>
    <w:p>
      <w:pPr>
        <w:spacing w:after="0" w:line="194" w:lineRule="exact"/>
        <w:rPr>
          <w:sz w:val="20"/>
          <w:szCs w:val="20"/>
          <w:color w:val="auto"/>
        </w:rPr>
      </w:pPr>
    </w:p>
    <w:p>
      <w:pPr>
        <w:jc w:val="both"/>
        <w:ind w:firstLine="498"/>
        <w:spacing w:after="0" w:line="288" w:lineRule="auto"/>
        <w:rPr>
          <w:sz w:val="20"/>
          <w:szCs w:val="20"/>
          <w:color w:val="auto"/>
        </w:rPr>
      </w:pPr>
      <w:r>
        <w:rPr>
          <w:rFonts w:ascii="Arial" w:cs="Arial" w:eastAsia="Arial" w:hAnsi="Arial"/>
          <w:sz w:val="16"/>
          <w:szCs w:val="16"/>
          <w:color w:val="auto"/>
        </w:rPr>
        <w:t>As required by SFAS 133, United records all derivatives on the balance sheet at fair value. The accounting for changes in the fair value of derivatives depends on the intended use of the derivative, whether United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United may enter into derivative contracts that are intended to economically hedge certain of its risks, even though hedge accounting does not apply or United elects not to apply hedge accounting under SFAS 133.</w:t>
      </w:r>
    </w:p>
    <w:p>
      <w:pPr>
        <w:spacing w:after="0" w:line="196" w:lineRule="exact"/>
        <w:rPr>
          <w:sz w:val="20"/>
          <w:szCs w:val="20"/>
          <w:color w:val="auto"/>
        </w:rPr>
      </w:pPr>
    </w:p>
    <w:p>
      <w:pPr>
        <w:jc w:val="both"/>
        <w:ind w:firstLine="516"/>
        <w:spacing w:after="0" w:line="276" w:lineRule="auto"/>
        <w:rPr>
          <w:sz w:val="20"/>
          <w:szCs w:val="20"/>
          <w:color w:val="auto"/>
        </w:rPr>
      </w:pPr>
      <w:r>
        <w:rPr>
          <w:rFonts w:ascii="Arial" w:cs="Arial" w:eastAsia="Arial" w:hAnsi="Arial"/>
          <w:sz w:val="17"/>
          <w:szCs w:val="17"/>
          <w:color w:val="auto"/>
        </w:rPr>
        <w:t xml:space="preserve">Foreclosed property is initially recorded at fair value, less cost to sell. If the fair value, less cost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Statement of Financial Accounting Standards No. 66, </w:t>
      </w:r>
      <w:r>
        <w:rPr>
          <w:rFonts w:ascii="Arial" w:cs="Arial" w:eastAsia="Arial" w:hAnsi="Arial"/>
          <w:sz w:val="17"/>
          <w:szCs w:val="17"/>
          <w:i w:val="1"/>
          <w:iCs w:val="1"/>
          <w:color w:val="auto"/>
        </w:rPr>
        <w:t>Accounting for Sales of Real Estate</w:t>
      </w:r>
      <w:r>
        <w:rPr>
          <w:rFonts w:ascii="Arial" w:cs="Arial" w:eastAsia="Arial" w:hAnsi="Arial"/>
          <w:sz w:val="17"/>
          <w:szCs w:val="17"/>
          <w:color w:val="auto"/>
        </w:rPr>
        <w:t xml:space="preserve"> (“SFAS 66”).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Federally Assisted Acquisition of Southern Community Bank</w:t>
      </w:r>
    </w:p>
    <w:p>
      <w:pPr>
        <w:spacing w:after="0" w:line="256" w:lineRule="exact"/>
        <w:rPr>
          <w:sz w:val="20"/>
          <w:szCs w:val="20"/>
          <w:color w:val="auto"/>
        </w:rPr>
      </w:pPr>
    </w:p>
    <w:p>
      <w:pPr>
        <w:jc w:val="both"/>
        <w:ind w:firstLine="576"/>
        <w:spacing w:after="0" w:line="270" w:lineRule="auto"/>
        <w:rPr>
          <w:sz w:val="20"/>
          <w:szCs w:val="20"/>
          <w:color w:val="auto"/>
        </w:rPr>
      </w:pPr>
      <w:r>
        <w:rPr>
          <w:rFonts w:ascii="Arial" w:cs="Arial" w:eastAsia="Arial" w:hAnsi="Arial"/>
          <w:sz w:val="17"/>
          <w:szCs w:val="17"/>
          <w:color w:val="auto"/>
        </w:rPr>
        <w:t>On June 19, 2009, United Community Bank (“UCB”) purchased substantially all the assets and assumed substantially all the liabilities of Southern Community Bank (“SCB”) from the Federal Deposit Insurance Corporation (“FDIC”),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June 19, 2009. UCB submitted a bid for the acquisition of SCB with the FDIC on June 16, 2009. The transaction resulted in a cash payment of $31 million from the FDIC to UCB. Further,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residential real estate loans is ten years, while the term for loss sharing on all other loans is five years.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ind w:firstLine="532"/>
        <w:spacing w:after="0" w:line="264" w:lineRule="auto"/>
        <w:rPr>
          <w:sz w:val="20"/>
          <w:szCs w:val="20"/>
          <w:color w:val="auto"/>
        </w:rPr>
      </w:pPr>
      <w:r>
        <w:rPr>
          <w:rFonts w:ascii="Arial" w:cs="Arial" w:eastAsia="Arial" w:hAnsi="Arial"/>
          <w:sz w:val="18"/>
          <w:szCs w:val="18"/>
          <w:color w:val="auto"/>
        </w:rPr>
        <w:t xml:space="preserve">The SCB acquisition was accounted for under the purchase method of accounting in accordance with the FASB’s Statement of Financial Accounting Standards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The statement of net assets acquired as of June 19, 2009 and the resulting gain from acquisition are presented in the following table.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Statement of net assets acquired (at estimated fair values)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Southern</w:t>
            </w:r>
          </w:p>
        </w:tc>
      </w:t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Community</w:t>
            </w:r>
          </w:p>
        </w:tc>
      </w:tr>
      <w:tr>
        <w:trPr>
          <w:trHeight w:val="241"/>
        </w:trPr>
        <w:tc>
          <w:tcPr>
            <w:tcW w:w="3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Bank</w:t>
            </w: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Assets acquired:</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63,618</w:t>
            </w: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80,148</w:t>
            </w:r>
          </w:p>
        </w:tc>
      </w:tr>
      <w:tr>
        <w:trPr>
          <w:trHeight w:val="418"/>
        </w:trPr>
        <w:tc>
          <w:tcPr>
            <w:tcW w:w="3120" w:type="dxa"/>
            <w:vAlign w:val="bottom"/>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110,023</w:t>
            </w: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Foreclosed property</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25,913</w:t>
            </w: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Estimated loss reimbursement from</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3120" w:type="dxa"/>
            <w:vAlign w:val="bottom"/>
          </w:tcPr>
          <w:p>
            <w:pPr>
              <w:ind w:left="340"/>
              <w:spacing w:after="0"/>
              <w:rPr>
                <w:sz w:val="20"/>
                <w:szCs w:val="20"/>
                <w:color w:val="auto"/>
              </w:rPr>
            </w:pPr>
            <w:r>
              <w:rPr>
                <w:rFonts w:ascii="Arial" w:cs="Arial" w:eastAsia="Arial" w:hAnsi="Arial"/>
                <w:sz w:val="18"/>
                <w:szCs w:val="18"/>
                <w:color w:val="auto"/>
              </w:rPr>
              <w:t>the FDIC</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94,550</w:t>
            </w: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Covered assets</w:t>
            </w:r>
          </w:p>
        </w:tc>
        <w:tc>
          <w:tcPr>
            <w:tcW w:w="14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230,486</w:t>
            </w: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Core deposit intangible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w w:val="97"/>
              </w:rPr>
              <w:t>Accrued interest receivable and other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3120" w:type="dxa"/>
            <w:vAlign w:val="bottom"/>
          </w:tcPr>
          <w:p>
            <w:pPr>
              <w:ind w:left="3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r>
      <w:tr>
        <w:trPr>
          <w:trHeight w:val="223"/>
        </w:trPr>
        <w:tc>
          <w:tcPr>
            <w:tcW w:w="3120" w:type="dxa"/>
            <w:vAlign w:val="bottom"/>
          </w:tcPr>
          <w:p>
            <w:pPr>
              <w:ind w:left="3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378,186</w:t>
            </w: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Liabilities assumed:</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309,437</w:t>
            </w: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53,416</w:t>
            </w: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Accrued interest payable and other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312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r>
      <w:tr>
        <w:trPr>
          <w:trHeight w:val="223"/>
        </w:trPr>
        <w:tc>
          <w:tcPr>
            <w:tcW w:w="312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366,796</w:t>
            </w: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Net assets acquired / gain from</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3120" w:type="dxa"/>
            <w:vAlign w:val="bottom"/>
          </w:tcPr>
          <w:p>
            <w:pPr>
              <w:ind w:left="500"/>
              <w:spacing w:after="0"/>
              <w:rPr>
                <w:sz w:val="20"/>
                <w:szCs w:val="20"/>
                <w:color w:val="auto"/>
              </w:rPr>
            </w:pPr>
            <w:r>
              <w:rPr>
                <w:rFonts w:ascii="Arial" w:cs="Arial" w:eastAsia="Arial" w:hAnsi="Arial"/>
                <w:sz w:val="18"/>
                <w:szCs w:val="18"/>
                <w:color w:val="auto"/>
              </w:rPr>
              <w:t>acquisition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33"/>
        <w:spacing w:after="0" w:line="273" w:lineRule="auto"/>
        <w:rPr>
          <w:sz w:val="20"/>
          <w:szCs w:val="20"/>
          <w:color w:val="auto"/>
        </w:rPr>
      </w:pPr>
      <w:r>
        <w:rPr>
          <w:rFonts w:ascii="Arial" w:cs="Arial" w:eastAsia="Arial" w:hAnsi="Arial"/>
          <w:sz w:val="17"/>
          <w:szCs w:val="17"/>
          <w:color w:val="auto"/>
        </w:rPr>
        <w:t>The purchased assets and assumed liabilities were recorded at their respective acquisition date fair values, and identifiable intangible assets were recorded at fair value. Fair values are preliminary and subject to refinement for up to one year after the closing date of a merger as information relative to closing date fair values become available. A gain totaling $11.4 million resulted from the acquisition and is included as a component of fee revenue on the consolidated statement of income. The amount of the gain is equal to the amount by which the fair value of assets purchased exceeded the fair value of liabilities assumed. The results of operations of SCB for the period of June 19, 2009 to June 30, 2009 are included in the consolidated financial statements. SCB’s results of operations prior to the acquisition are not included in United’s consolidated statement of income.</w:t>
      </w:r>
    </w:p>
    <w:p>
      <w:pPr>
        <w:spacing w:after="0" w:line="20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United made significant estimates and exercised significant judgment in accounting for the acquisition of SCB. Management engaged an independent third party to assist in determining the value of SCB’s loans. United also recorded an identifiable intangible asset representing the value of the core deposit customer base of SCB. In determining the value of the identifiable intangible asset, United estimated average lives of depository accounts, future interest rate levels, the cost of servicing various depository products, and other significant items. Management used quoted market prices and observable data to determine the fair value of investment securities. The fair values of FHLB advances, certificates of deposit and other borrowings which were purchased and assumed from SCB were determined based on discounted cash flows at current rates for similar instruments.</w:t>
      </w:r>
    </w:p>
    <w:p>
      <w:pPr>
        <w:spacing w:after="0" w:line="205" w:lineRule="exact"/>
        <w:rPr>
          <w:sz w:val="20"/>
          <w:szCs w:val="20"/>
          <w:color w:val="auto"/>
        </w:rPr>
      </w:pPr>
    </w:p>
    <w:p>
      <w:pPr>
        <w:jc w:val="both"/>
        <w:ind w:firstLine="492"/>
        <w:spacing w:after="0" w:line="287" w:lineRule="auto"/>
        <w:rPr>
          <w:sz w:val="20"/>
          <w:szCs w:val="20"/>
          <w:color w:val="auto"/>
        </w:rPr>
      </w:pPr>
      <w:r>
        <w:rPr>
          <w:rFonts w:ascii="Arial" w:cs="Arial" w:eastAsia="Arial" w:hAnsi="Arial"/>
          <w:sz w:val="16"/>
          <w:szCs w:val="16"/>
          <w:color w:val="auto"/>
        </w:rPr>
        <w:t xml:space="preserve">Purchased loans acquired in a business combination are recorded at estimated fair value on their purchase date. The carryover of the related allowance for loan losses is prohibited. Purchased loans are accounted for under American Institute of Certified Public Accountants Statement of Position 03-3, </w:t>
      </w:r>
      <w:r>
        <w:rPr>
          <w:rFonts w:ascii="Arial" w:cs="Arial" w:eastAsia="Arial" w:hAnsi="Arial"/>
          <w:sz w:val="16"/>
          <w:szCs w:val="16"/>
          <w:i w:val="1"/>
          <w:iCs w:val="1"/>
          <w:color w:val="auto"/>
        </w:rPr>
        <w:t xml:space="preserve">Accounting for Certain Loans or Debt Securities Acquired in a Transfer </w:t>
      </w:r>
      <w:r>
        <w:rPr>
          <w:rFonts w:ascii="Arial" w:cs="Arial" w:eastAsia="Arial" w:hAnsi="Arial"/>
          <w:sz w:val="16"/>
          <w:szCs w:val="16"/>
          <w:color w:val="auto"/>
        </w:rPr>
        <w:t>(“SOP 03-3”), when the loans have evidence of credit deterioration since origination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it is probable at the date of acquisition that United will not collect all contractually required principal and interest payments. Evidence of credit quality deterioration as of the purchase date may include statistics such as past due and nonaccrual status. Generally, acquired loans that meet United’s definition of nonaccrual status fall within the scope of SOP 03-3. The difference between contractually required payments at acquisition and the cash flows expected to be collected at acquisition is referred to as the non-accretable difference which is deducted from the carrying amount of loans. Subsequent decreases to the expected cash flows will generally result in a provision for loan losses. Subsequent increases in cash flows result in a reversal of the provision for loan losses to the extent of prior charges or a reversal of the non-accretable difference with a positive impact on interest revenue. Further, any excess of cash flows expected at acquisition over the estimated fair value is referred to as the accretable yield and is recognized into interest revenue over the remaining life of the loan when there is reasonable expectation about the amount and timing of such cash flows.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0" w:name="page11"/>
    <w:bookmarkEnd w:id="10"/>
    <w:p>
      <w:pPr>
        <w:jc w:val="both"/>
        <w:ind w:right="20" w:firstLine="549"/>
        <w:spacing w:after="0" w:line="277" w:lineRule="auto"/>
        <w:rPr>
          <w:sz w:val="20"/>
          <w:szCs w:val="20"/>
          <w:color w:val="auto"/>
        </w:rPr>
      </w:pPr>
      <w:r>
        <w:rPr>
          <w:rFonts w:ascii="Arial" w:cs="Arial" w:eastAsia="Arial" w:hAnsi="Arial"/>
          <w:sz w:val="18"/>
          <w:szCs w:val="18"/>
          <w:color w:val="auto"/>
        </w:rPr>
        <w:t>Loans, foreclosed property and the estimated FDIC reimbursement resulting from the loss share agreements with the FDIC are reported as “covered assets” in the consolidated balance sheet. The table below shows the components of covered assets at June 30, 2009.</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SOP 03-3</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Non SOP 03-3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Loans</w:t>
            </w:r>
          </w:p>
        </w:tc>
        <w:tc>
          <w:tcPr>
            <w:tcW w:w="34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Loans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8"/>
                <w:szCs w:val="18"/>
                <w:color w:val="auto"/>
              </w:rPr>
              <w:t>Covered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23,513</w:t>
            </w:r>
          </w:p>
        </w:tc>
        <w:tc>
          <w:tcPr>
            <w:tcW w:w="3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86,339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109,852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Covered foreclosed property</w:t>
            </w:r>
          </w:p>
        </w:tc>
        <w:tc>
          <w:tcPr>
            <w:tcW w:w="10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25,723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25,723</w:t>
            </w: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Estimated loss reimbursement from the FDIC</w:t>
            </w:r>
          </w:p>
        </w:tc>
        <w:tc>
          <w:tcPr>
            <w:tcW w:w="10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94,550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94,550</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Total covered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23,513</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230,125</w:t>
            </w:r>
          </w:p>
        </w:tc>
        <w:tc>
          <w:tcPr>
            <w:tcW w:w="20" w:type="dxa"/>
            <w:vAlign w:val="bottom"/>
          </w:tcPr>
          <w:p>
            <w:pPr>
              <w:spacing w:after="0"/>
              <w:rPr>
                <w:sz w:val="18"/>
                <w:szCs w:val="18"/>
                <w:color w:val="auto"/>
              </w:rPr>
            </w:pPr>
          </w:p>
        </w:tc>
      </w:tr>
      <w:tr>
        <w:trPr>
          <w:trHeight w:val="21"/>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18"/>
        <w:spacing w:after="0" w:line="264" w:lineRule="auto"/>
        <w:rPr>
          <w:sz w:val="20"/>
          <w:szCs w:val="20"/>
          <w:color w:val="auto"/>
        </w:rPr>
      </w:pPr>
      <w:r>
        <w:rPr>
          <w:rFonts w:ascii="Arial" w:cs="Arial" w:eastAsia="Arial" w:hAnsi="Arial"/>
          <w:sz w:val="18"/>
          <w:szCs w:val="18"/>
          <w:color w:val="auto"/>
        </w:rPr>
        <w:t>Covered loans are initially recorded at fair value at the acquisition date. Subsequent decreases in the amount expected to be collected results in a provision for loan losses and an increase in the estimated FDIC reimbursement, with any estimated net loss impacting earnings. Covered foreclosed property is initially recorded at its estimated fair value.</w:t>
      </w:r>
    </w:p>
    <w:p>
      <w:pPr>
        <w:spacing w:after="0" w:line="208"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On the acquisition date, the preliminary estimate of the contractually required payments receivable for all SOP 03-3 loans acquired was $70.8 million, the cash flows expected to be collected were $24.5 million including interest, and the estimated fair value of the loans was $23.6 million. These amounts were determined based upon the estimated remaining life of the underlying loans, which include the effects of estimated prepayments. At June 30, 2009, a majority of these loans were valued based on the liquidation value of the underlying collateral, because the expected cash flows are primarily based on the liquidation of the underlying collateral and the timing and amount of the cash flows could not be reasonably estimated. Because of the short time period between the closing of the transaction and June 30, 2009, certain amounts related to the SOP 03-3 loans are preliminary estimates and adjustments in future quarters may occur.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256" w:lineRule="exact"/>
        <w:rPr>
          <w:sz w:val="20"/>
          <w:szCs w:val="20"/>
          <w:color w:val="auto"/>
        </w:rPr>
      </w:pPr>
    </w:p>
    <w:p>
      <w:pPr>
        <w:jc w:val="both"/>
        <w:ind w:firstLine="608"/>
        <w:spacing w:after="0" w:line="293"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June 30, 2009, approximately 954,000 additional awards could be granted under the plan. Through June 30, 2009, only incentive stock options, nonqualified stock options and restricted stock awards and units had been granted under the plan.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stock option activity for the first six months of 2009.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Intrinisic</w:t>
            </w:r>
          </w:p>
        </w:tc>
      </w:tr>
      <w:tr>
        <w:trPr>
          <w:trHeight w:val="216"/>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 Exercise</w:t>
            </w:r>
          </w:p>
        </w:tc>
        <w:tc>
          <w:tcPr>
            <w:tcW w:w="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241"/>
        </w:trPr>
        <w:tc>
          <w:tcPr>
            <w:tcW w:w="492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($000)</w:t>
            </w:r>
          </w:p>
        </w:tc>
      </w:tr>
      <w:tr>
        <w:trPr>
          <w:trHeight w:val="445"/>
        </w:trPr>
        <w:tc>
          <w:tcPr>
            <w:tcW w:w="4920" w:type="dxa"/>
            <w:vAlign w:val="bottom"/>
          </w:tcPr>
          <w:p>
            <w:pPr>
              <w:spacing w:after="0"/>
              <w:rPr>
                <w:sz w:val="20"/>
                <w:szCs w:val="20"/>
                <w:color w:val="auto"/>
              </w:rPr>
            </w:pPr>
            <w:r>
              <w:rPr>
                <w:rFonts w:ascii="Arial" w:cs="Arial" w:eastAsia="Arial" w:hAnsi="Arial"/>
                <w:sz w:val="18"/>
                <w:szCs w:val="18"/>
                <w:color w:val="auto"/>
              </w:rPr>
              <w:t>Outstanding at December 31, 2008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3,350,701</w:t>
            </w:r>
          </w:p>
        </w:tc>
        <w:tc>
          <w:tcPr>
            <w:tcW w:w="160" w:type="dxa"/>
            <w:vAlign w:val="bottom"/>
          </w:tcPr>
          <w:p>
            <w:pPr>
              <w:spacing w:after="0"/>
              <w:rPr>
                <w:sz w:val="24"/>
                <w:szCs w:val="24"/>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19.99</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Stock dividend adjustment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51,266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352,950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(43,069)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Expired</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(27,198)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13.24</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4920" w:type="dxa"/>
            <w:vAlign w:val="bottom"/>
          </w:tcPr>
          <w:p>
            <w:pPr>
              <w:spacing w:after="0" w:line="196" w:lineRule="exact"/>
              <w:rPr>
                <w:sz w:val="20"/>
                <w:szCs w:val="20"/>
                <w:color w:val="auto"/>
              </w:rPr>
            </w:pPr>
            <w:r>
              <w:rPr>
                <w:rFonts w:ascii="Arial" w:cs="Arial" w:eastAsia="Arial" w:hAnsi="Arial"/>
                <w:sz w:val="18"/>
                <w:szCs w:val="18"/>
                <w:color w:val="auto"/>
              </w:rPr>
              <w:t>Outstanding at June 30, 2009</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3,684,213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18.43</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ind w:left="560"/>
              <w:spacing w:after="0" w:line="196" w:lineRule="exact"/>
              <w:rPr>
                <w:sz w:val="20"/>
                <w:szCs w:val="20"/>
                <w:color w:val="auto"/>
              </w:rPr>
            </w:pPr>
            <w:r>
              <w:rPr>
                <w:rFonts w:ascii="Arial" w:cs="Arial" w:eastAsia="Arial" w:hAnsi="Arial"/>
                <w:sz w:val="18"/>
                <w:szCs w:val="18"/>
                <w:color w:val="auto"/>
                <w:w w:val="88"/>
              </w:rPr>
              <w:t>—</w:t>
            </w:r>
          </w:p>
        </w:tc>
      </w:tr>
      <w:tr>
        <w:trPr>
          <w:trHeight w:val="21"/>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26"/>
        </w:trPr>
        <w:tc>
          <w:tcPr>
            <w:tcW w:w="4920" w:type="dxa"/>
            <w:vAlign w:val="bottom"/>
          </w:tcPr>
          <w:p>
            <w:pPr>
              <w:spacing w:after="0"/>
              <w:rPr>
                <w:sz w:val="20"/>
                <w:szCs w:val="20"/>
                <w:color w:val="auto"/>
              </w:rPr>
            </w:pPr>
            <w:r>
              <w:rPr>
                <w:rFonts w:ascii="Arial" w:cs="Arial" w:eastAsia="Arial" w:hAnsi="Arial"/>
                <w:sz w:val="18"/>
                <w:szCs w:val="18"/>
                <w:color w:val="auto"/>
              </w:rPr>
              <w:t>Exercisable at June 30, 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2,464,201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r>
      <w:tr>
        <w:trPr>
          <w:trHeight w:val="21"/>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512"/>
        <w:spacing w:after="0" w:line="259" w:lineRule="auto"/>
        <w:rPr>
          <w:sz w:val="20"/>
          <w:szCs w:val="20"/>
          <w:color w:val="auto"/>
        </w:rPr>
      </w:pPr>
      <w:r>
        <w:rPr>
          <w:rFonts w:ascii="Arial" w:cs="Arial" w:eastAsia="Arial" w:hAnsi="Arial"/>
          <w:sz w:val="18"/>
          <w:szCs w:val="18"/>
          <w:color w:val="auto"/>
        </w:rPr>
        <w:t>The weighted average fair value of stock options granted in the second quarter of 2009 and 2008 was $2.88 and $2.93,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Securities and Exchange Commission in Staff Accounting Bulletin No. 107 to determine the expected life of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t>The weighted average assumptions used to determine the fair value of stock options are presented in the table below.</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676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r>
      <w:tr>
        <w:trPr>
          <w:trHeight w:val="445"/>
        </w:trPr>
        <w:tc>
          <w:tcPr>
            <w:tcW w:w="676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40.68%</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23.42%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jc w:val="right"/>
              <w:spacing w:after="0"/>
              <w:rPr>
                <w:sz w:val="20"/>
                <w:szCs w:val="20"/>
                <w:color w:val="auto"/>
              </w:rPr>
            </w:pPr>
            <w:r>
              <w:rPr>
                <w:rFonts w:ascii="Arial" w:cs="Arial" w:eastAsia="Arial" w:hAnsi="Arial"/>
                <w:sz w:val="18"/>
                <w:szCs w:val="18"/>
                <w:color w:val="auto"/>
              </w:rPr>
              <w:t>6.25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Risk-free rate</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3.43%</w:t>
            </w:r>
          </w:p>
        </w:tc>
      </w:tr>
    </w:tbl>
    <w:p>
      <w:pPr>
        <w:spacing w:after="0" w:line="229"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8"/>
          <w:szCs w:val="18"/>
          <w:color w:val="auto"/>
        </w:rPr>
        <w:t>United’s stock trading history began in March of 2002 when United listed on the Nasdaq National Market. For 2009 expected volatility was determined using United’s historical monthly volatility for the seventy five months ended December 31, 2008. Seventy five months was chosen to correspond to the expected life of 6.25 years. For 2008, expected volatility was determined using United’s historical monthly volatility over the period beginning in March of 2002 through the end of 2007. Compensation expense for stock options was $1.4 million and $1.5 million for the six months ended June 30, 2009 and 2008, respectively. Deferred tax benefits of $498,000 and $445,000, respectively, were included in the determination of income tax (benefit) expense for the six-month periods ended June 30, 2009 and 2008. The amount of compensation expense for both periods was determined based on the fair value of the options at the time of grant, multiplied by the number of options granted that were expected to vest, which was then amortized over the vesting period. The forfeiture rate for options is estimated to be approximately 3% per year. The total intrinsic value of options exercised during the six months ended June 30, 2009 and 2008 was $840 and $277,000.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the activity in restricted stock awards for the first six months of 2009.</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Average Grant-</w:t>
            </w:r>
          </w:p>
        </w:tc>
      </w:tr>
      <w:tr>
        <w:trPr>
          <w:trHeight w:val="241"/>
        </w:trPr>
        <w:tc>
          <w:tcPr>
            <w:tcW w:w="384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Restricted Stock</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445"/>
        </w:trPr>
        <w:tc>
          <w:tcPr>
            <w:tcW w:w="3840" w:type="dxa"/>
            <w:vAlign w:val="bottom"/>
          </w:tcPr>
          <w:p>
            <w:pPr>
              <w:spacing w:after="0"/>
              <w:rPr>
                <w:sz w:val="20"/>
                <w:szCs w:val="20"/>
                <w:color w:val="auto"/>
              </w:rPr>
            </w:pPr>
            <w:r>
              <w:rPr>
                <w:rFonts w:ascii="Arial" w:cs="Arial" w:eastAsia="Arial" w:hAnsi="Arial"/>
                <w:sz w:val="18"/>
                <w:szCs w:val="18"/>
                <w:color w:val="auto"/>
              </w:rPr>
              <w:t>Outstanding at December 31, 2008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89,498</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Stock dividend adjustment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(28,609)</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Outstanding at June 30, 2009</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1"/>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six months ended June 30, 2009 and 2008, compensation expense of $433,000 and $441,000, respectively, was recognized related to restricted stock awards. The total intrinsic value of the restricted stock was $1.0 million at June 30, 2009.</w:t>
      </w:r>
    </w:p>
    <w:p>
      <w:pPr>
        <w:spacing w:after="0" w:line="198" w:lineRule="exact"/>
        <w:rPr>
          <w:sz w:val="20"/>
          <w:szCs w:val="20"/>
          <w:color w:val="auto"/>
        </w:rPr>
      </w:pPr>
    </w:p>
    <w:p>
      <w:pPr>
        <w:jc w:val="both"/>
        <w:ind w:firstLine="487"/>
        <w:spacing w:after="0" w:line="264" w:lineRule="auto"/>
        <w:rPr>
          <w:sz w:val="20"/>
          <w:szCs w:val="20"/>
          <w:color w:val="auto"/>
        </w:rPr>
      </w:pPr>
      <w:r>
        <w:rPr>
          <w:rFonts w:ascii="Arial" w:cs="Arial" w:eastAsia="Arial" w:hAnsi="Arial"/>
          <w:sz w:val="18"/>
          <w:szCs w:val="18"/>
          <w:color w:val="auto"/>
        </w:rPr>
        <w:t>As of June 30, 2009, there was $6.9 million of unrecognized compensation cost related to nonvested stock options and restricted stock awards granted under the plan. That cost is expected to be recognized over a weighted-average period of 1.4 years. The aggregate grant date fair value of options and restricted stock awards that vested during the six months ended June 30, 2009, was $3.5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 Issued / Common Stock Issuable</w:t>
      </w:r>
    </w:p>
    <w:p>
      <w:pPr>
        <w:spacing w:after="0" w:line="256"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United provides a Dividend Reinvestment and Share Purchase Plan (“DRIP”) to its shareholders. Under the DRIP, shareholders of record can voluntarily reinvest all or a portion of their cash dividends into shares of United’s common stock, as well as purchase additional stock through the plan with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six months ended June 30, 2009 and 2008, United issued 167,873 and 113,047 shares, respectively, and increased capital by $974,000 and $1.6 million, respectively, through these programs.</w:t>
      </w:r>
    </w:p>
    <w:p>
      <w:pPr>
        <w:spacing w:after="0" w:line="220"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June 30, 2009 and 2008 182,041 and 105,579 shares, respectively, were issuable under the deferred compensation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 Securities Available for Sale</w:t>
      </w:r>
    </w:p>
    <w:p>
      <w:pPr>
        <w:spacing w:after="0" w:line="256" w:lineRule="exact"/>
        <w:rPr>
          <w:sz w:val="20"/>
          <w:szCs w:val="20"/>
          <w:color w:val="auto"/>
        </w:rPr>
      </w:pPr>
    </w:p>
    <w:p>
      <w:pPr>
        <w:ind w:right="280" w:firstLine="447"/>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June 30, 2009, December 31, 2008 and June 30, 2008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Amortized</w:t>
            </w:r>
          </w:p>
        </w:tc>
        <w:tc>
          <w:tcPr>
            <w:tcW w:w="160" w:type="dxa"/>
            <w:vAlign w:val="bottom"/>
          </w:tcPr>
          <w:p>
            <w:pPr>
              <w:spacing w:after="0"/>
              <w:rPr>
                <w:sz w:val="18"/>
                <w:szCs w:val="18"/>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94"/>
        </w:trPr>
        <w:tc>
          <w:tcPr>
            <w:tcW w:w="5660" w:type="dxa"/>
            <w:vAlign w:val="bottom"/>
            <w:gridSpan w:val="3"/>
          </w:tcPr>
          <w:p>
            <w:pPr>
              <w:spacing w:after="0" w:line="194" w:lineRule="exact"/>
              <w:rPr>
                <w:sz w:val="20"/>
                <w:szCs w:val="20"/>
                <w:color w:val="auto"/>
              </w:rPr>
            </w:pPr>
            <w:r>
              <w:rPr>
                <w:rFonts w:ascii="Arial" w:cs="Arial" w:eastAsia="Arial" w:hAnsi="Arial"/>
                <w:sz w:val="18"/>
                <w:szCs w:val="18"/>
                <w:color w:val="auto"/>
              </w:rPr>
              <w:t>As of June 30, 2009</w:t>
            </w:r>
          </w:p>
        </w:tc>
        <w:tc>
          <w:tcPr>
            <w:tcW w:w="140" w:type="dxa"/>
            <w:vAlign w:val="bottom"/>
          </w:tcPr>
          <w:p>
            <w:pPr>
              <w:spacing w:after="0"/>
              <w:rPr>
                <w:sz w:val="16"/>
                <w:szCs w:val="16"/>
                <w:color w:val="auto"/>
              </w:rPr>
            </w:pPr>
          </w:p>
        </w:tc>
        <w:tc>
          <w:tcPr>
            <w:tcW w:w="960" w:type="dxa"/>
            <w:vAlign w:val="bottom"/>
            <w:gridSpan w:val="2"/>
          </w:tcPr>
          <w:p>
            <w:pPr>
              <w:jc w:val="right"/>
              <w:ind w:right="460"/>
              <w:spacing w:after="0" w:line="194" w:lineRule="exact"/>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500"/>
              <w:spacing w:after="0" w:line="194" w:lineRule="exact"/>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16"/>
                <w:szCs w:val="16"/>
                <w:color w:val="auto"/>
              </w:rPr>
            </w:pPr>
          </w:p>
        </w:tc>
        <w:tc>
          <w:tcPr>
            <w:tcW w:w="9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8"/>
        </w:trPr>
        <w:tc>
          <w:tcPr>
            <w:tcW w:w="1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U.S. Treasuries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39,979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39,975</w:t>
            </w:r>
          </w:p>
        </w:tc>
        <w:tc>
          <w:tcPr>
            <w:tcW w:w="0" w:type="dxa"/>
            <w:vAlign w:val="bottom"/>
          </w:tcPr>
          <w:p>
            <w:pPr>
              <w:spacing w:after="0"/>
              <w:rPr>
                <w:sz w:val="1"/>
                <w:szCs w:val="1"/>
                <w:color w:val="auto"/>
              </w:rPr>
            </w:pPr>
          </w:p>
        </w:tc>
      </w:tr>
      <w:tr>
        <w:trPr>
          <w:trHeight w:val="216"/>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209,662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3,364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207,313</w:t>
            </w:r>
          </w:p>
        </w:tc>
        <w:tc>
          <w:tcPr>
            <w:tcW w:w="0" w:type="dxa"/>
            <w:vAlign w:val="bottom"/>
          </w:tcPr>
          <w:p>
            <w:pPr>
              <w:spacing w:after="0"/>
              <w:rPr>
                <w:sz w:val="1"/>
                <w:szCs w:val="1"/>
                <w:color w:val="auto"/>
              </w:rPr>
            </w:pPr>
          </w:p>
        </w:tc>
      </w:tr>
      <w:tr>
        <w:trPr>
          <w:trHeight w:val="216"/>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55,194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55,503</w:t>
            </w:r>
          </w:p>
        </w:tc>
        <w:tc>
          <w:tcPr>
            <w:tcW w:w="0" w:type="dxa"/>
            <w:vAlign w:val="bottom"/>
          </w:tcPr>
          <w:p>
            <w:pPr>
              <w:spacing w:after="0"/>
              <w:rPr>
                <w:sz w:val="1"/>
                <w:szCs w:val="1"/>
                <w:color w:val="auto"/>
              </w:rPr>
            </w:pPr>
          </w:p>
        </w:tc>
      </w:tr>
      <w:tr>
        <w:trPr>
          <w:trHeight w:val="216"/>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1,462,695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32,318</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9,916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1,485,097</w:t>
            </w:r>
          </w:p>
        </w:tc>
        <w:tc>
          <w:tcPr>
            <w:tcW w:w="0" w:type="dxa"/>
            <w:vAlign w:val="bottom"/>
          </w:tcPr>
          <w:p>
            <w:pPr>
              <w:spacing w:after="0"/>
              <w:rPr>
                <w:sz w:val="1"/>
                <w:szCs w:val="1"/>
                <w:color w:val="auto"/>
              </w:rPr>
            </w:pPr>
          </w:p>
        </w:tc>
      </w:tr>
      <w:tr>
        <w:trPr>
          <w:trHeight w:val="230"/>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28,645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28,899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66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1,796,175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34,263</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13,651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1,816,787</w:t>
            </w:r>
          </w:p>
        </w:tc>
        <w:tc>
          <w:tcPr>
            <w:tcW w:w="0" w:type="dxa"/>
            <w:vAlign w:val="bottom"/>
          </w:tcPr>
          <w:p>
            <w:pPr>
              <w:spacing w:after="0"/>
              <w:rPr>
                <w:sz w:val="1"/>
                <w:szCs w:val="1"/>
                <w:color w:val="auto"/>
              </w:rPr>
            </w:pPr>
          </w:p>
        </w:tc>
      </w:tr>
      <w:tr>
        <w:trPr>
          <w:trHeight w:val="21"/>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2008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6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166,263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2,122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168,385</w:t>
            </w:r>
          </w:p>
        </w:tc>
        <w:tc>
          <w:tcPr>
            <w:tcW w:w="0" w:type="dxa"/>
            <w:vAlign w:val="bottom"/>
          </w:tcPr>
          <w:p>
            <w:pPr>
              <w:spacing w:after="0"/>
              <w:rPr>
                <w:sz w:val="1"/>
                <w:szCs w:val="1"/>
                <w:color w:val="auto"/>
              </w:rPr>
            </w:pPr>
          </w:p>
        </w:tc>
      </w:tr>
      <w:tr>
        <w:trPr>
          <w:trHeight w:val="216"/>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43,649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43,740</w:t>
            </w:r>
          </w:p>
        </w:tc>
        <w:tc>
          <w:tcPr>
            <w:tcW w:w="0" w:type="dxa"/>
            <w:vAlign w:val="bottom"/>
          </w:tcPr>
          <w:p>
            <w:pPr>
              <w:spacing w:after="0"/>
              <w:rPr>
                <w:sz w:val="1"/>
                <w:szCs w:val="1"/>
                <w:color w:val="auto"/>
              </w:rPr>
            </w:pPr>
          </w:p>
        </w:tc>
      </w:tr>
      <w:tr>
        <w:trPr>
          <w:trHeight w:val="216"/>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1,363,513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26,356</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10,713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1,379,156</w:t>
            </w:r>
          </w:p>
        </w:tc>
        <w:tc>
          <w:tcPr>
            <w:tcW w:w="0" w:type="dxa"/>
            <w:vAlign w:val="bottom"/>
          </w:tcPr>
          <w:p>
            <w:pPr>
              <w:spacing w:after="0"/>
              <w:rPr>
                <w:sz w:val="1"/>
                <w:szCs w:val="1"/>
                <w:color w:val="auto"/>
              </w:rPr>
            </w:pPr>
          </w:p>
        </w:tc>
      </w:tr>
      <w:tr>
        <w:trPr>
          <w:trHeight w:val="237"/>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26,080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25,906</w:t>
            </w:r>
          </w:p>
        </w:tc>
        <w:tc>
          <w:tcPr>
            <w:tcW w:w="0" w:type="dxa"/>
            <w:vAlign w:val="bottom"/>
          </w:tcPr>
          <w:p>
            <w:pPr>
              <w:spacing w:after="0"/>
              <w:rPr>
                <w:sz w:val="1"/>
                <w:szCs w:val="1"/>
                <w:color w:val="auto"/>
              </w:rPr>
            </w:pPr>
          </w:p>
        </w:tc>
      </w:tr>
      <w:tr>
        <w:trPr>
          <w:trHeight w:val="432"/>
        </w:trPr>
        <w:tc>
          <w:tcPr>
            <w:tcW w:w="566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1,599,505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w:t>
            </w:r>
          </w:p>
        </w:tc>
        <w:tc>
          <w:tcPr>
            <w:tcW w:w="3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1,617,187</w:t>
            </w:r>
          </w:p>
        </w:tc>
        <w:tc>
          <w:tcPr>
            <w:tcW w:w="0" w:type="dxa"/>
            <w:vAlign w:val="bottom"/>
          </w:tcPr>
          <w:p>
            <w:pPr>
              <w:spacing w:after="0"/>
              <w:rPr>
                <w:sz w:val="1"/>
                <w:szCs w:val="1"/>
                <w:color w:val="auto"/>
              </w:rPr>
            </w:pPr>
          </w:p>
        </w:tc>
      </w:tr>
      <w:tr>
        <w:trPr>
          <w:trHeight w:val="21"/>
        </w:trPr>
        <w:tc>
          <w:tcPr>
            <w:tcW w:w="1460" w:type="dxa"/>
            <w:vAlign w:val="bottom"/>
            <w:vMerge w:val="restart"/>
          </w:tcPr>
          <w:p>
            <w:pPr>
              <w:spacing w:after="0"/>
              <w:rPr>
                <w:sz w:val="20"/>
                <w:szCs w:val="20"/>
                <w:color w:val="auto"/>
              </w:rPr>
            </w:pPr>
            <w:r>
              <w:rPr>
                <w:rFonts w:ascii="Arial" w:cs="Arial" w:eastAsia="Arial" w:hAnsi="Arial"/>
                <w:sz w:val="18"/>
                <w:szCs w:val="18"/>
                <w:color w:val="auto"/>
                <w:w w:val="89"/>
              </w:rPr>
              <w:t>As of June 30, 2008</w:t>
            </w:r>
          </w:p>
        </w:tc>
        <w:tc>
          <w:tcPr>
            <w:tcW w:w="420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190,934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189,504</w:t>
            </w:r>
          </w:p>
        </w:tc>
        <w:tc>
          <w:tcPr>
            <w:tcW w:w="0" w:type="dxa"/>
            <w:vAlign w:val="bottom"/>
          </w:tcPr>
          <w:p>
            <w:pPr>
              <w:spacing w:after="0"/>
              <w:rPr>
                <w:sz w:val="1"/>
                <w:szCs w:val="1"/>
                <w:color w:val="auto"/>
              </w:rPr>
            </w:pPr>
          </w:p>
        </w:tc>
      </w:tr>
      <w:tr>
        <w:trPr>
          <w:trHeight w:val="216"/>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40,067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40,366</w:t>
            </w:r>
          </w:p>
        </w:tc>
        <w:tc>
          <w:tcPr>
            <w:tcW w:w="0" w:type="dxa"/>
            <w:vAlign w:val="bottom"/>
          </w:tcPr>
          <w:p>
            <w:pPr>
              <w:spacing w:after="0"/>
              <w:rPr>
                <w:sz w:val="1"/>
                <w:szCs w:val="1"/>
                <w:color w:val="auto"/>
              </w:rPr>
            </w:pPr>
          </w:p>
        </w:tc>
      </w:tr>
      <w:tr>
        <w:trPr>
          <w:trHeight w:val="216"/>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1,212,565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2,052</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20,379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1,194,238</w:t>
            </w:r>
          </w:p>
        </w:tc>
        <w:tc>
          <w:tcPr>
            <w:tcW w:w="0" w:type="dxa"/>
            <w:vAlign w:val="bottom"/>
          </w:tcPr>
          <w:p>
            <w:pPr>
              <w:spacing w:after="0"/>
              <w:rPr>
                <w:sz w:val="1"/>
                <w:szCs w:val="1"/>
                <w:color w:val="auto"/>
              </w:rPr>
            </w:pPr>
          </w:p>
        </w:tc>
      </w:tr>
      <w:tr>
        <w:trPr>
          <w:trHeight w:val="230"/>
        </w:trPr>
        <w:tc>
          <w:tcPr>
            <w:tcW w:w="566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6,495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66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1,450,061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3,187</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22,660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1,430,588</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following table summarizes securities in an unrealized loss position as of June 30, 2009, December 31, 2008 and June 30, 2008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Less than 12 Months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ind w:left="12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right"/>
              <w:ind w:right="81"/>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3080" w:type="dxa"/>
            <w:vAlign w:val="bottom"/>
            <w:gridSpan w:val="3"/>
          </w:tcPr>
          <w:p>
            <w:pPr>
              <w:spacing w:after="0" w:line="194" w:lineRule="exact"/>
              <w:rPr>
                <w:sz w:val="20"/>
                <w:szCs w:val="20"/>
                <w:color w:val="auto"/>
              </w:rPr>
            </w:pPr>
            <w:r>
              <w:rPr>
                <w:rFonts w:ascii="Arial" w:cs="Arial" w:eastAsia="Arial" w:hAnsi="Arial"/>
                <w:sz w:val="18"/>
                <w:szCs w:val="18"/>
                <w:color w:val="auto"/>
              </w:rPr>
              <w:t>As of June 30, 2009</w:t>
            </w:r>
          </w:p>
        </w:tc>
        <w:tc>
          <w:tcPr>
            <w:tcW w:w="1260" w:type="dxa"/>
            <w:vAlign w:val="bottom"/>
            <w:gridSpan w:val="3"/>
          </w:tcPr>
          <w:p>
            <w:pPr>
              <w:jc w:val="right"/>
              <w:ind w:right="400"/>
              <w:spacing w:after="0" w:line="194" w:lineRule="exact"/>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16"/>
                <w:szCs w:val="16"/>
                <w:color w:val="auto"/>
              </w:rPr>
            </w:pPr>
          </w:p>
        </w:tc>
        <w:tc>
          <w:tcPr>
            <w:tcW w:w="940" w:type="dxa"/>
            <w:vAlign w:val="bottom"/>
            <w:gridSpan w:val="2"/>
          </w:tcPr>
          <w:p>
            <w:pPr>
              <w:jc w:val="center"/>
              <w:ind w:right="400"/>
              <w:spacing w:after="0" w:line="194" w:lineRule="exact"/>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16"/>
                <w:szCs w:val="16"/>
                <w:color w:val="auto"/>
              </w:rPr>
            </w:pPr>
          </w:p>
        </w:tc>
        <w:tc>
          <w:tcPr>
            <w:tcW w:w="1260" w:type="dxa"/>
            <w:vAlign w:val="bottom"/>
            <w:gridSpan w:val="3"/>
          </w:tcPr>
          <w:p>
            <w:pPr>
              <w:jc w:val="right"/>
              <w:ind w:right="400"/>
              <w:spacing w:after="0" w:line="194" w:lineRule="exact"/>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16"/>
                <w:szCs w:val="16"/>
                <w:color w:val="auto"/>
              </w:rPr>
            </w:pPr>
          </w:p>
        </w:tc>
        <w:tc>
          <w:tcPr>
            <w:tcW w:w="90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16"/>
                <w:szCs w:val="16"/>
                <w:color w:val="auto"/>
              </w:rPr>
            </w:pPr>
          </w:p>
        </w:tc>
        <w:tc>
          <w:tcPr>
            <w:tcW w:w="110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760"/>
              <w:spacing w:after="0" w:line="194" w:lineRule="exact"/>
              <w:rPr>
                <w:sz w:val="20"/>
                <w:szCs w:val="20"/>
                <w:color w:val="auto"/>
              </w:rPr>
            </w:pPr>
            <w:r>
              <w:rPr>
                <w:rFonts w:ascii="Arial" w:cs="Arial" w:eastAsia="Arial" w:hAnsi="Arial"/>
                <w:sz w:val="18"/>
                <w:szCs w:val="18"/>
                <w:b w:val="1"/>
                <w:bCs w:val="1"/>
                <w:color w:val="auto"/>
                <w:w w:val="80"/>
              </w:rPr>
              <w:t>Loss</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46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U.S. Treasuries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39,975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39,975</w:t>
            </w:r>
          </w:p>
        </w:tc>
        <w:tc>
          <w:tcPr>
            <w:tcW w:w="3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142,256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142,256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4,317</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8,841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240,979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150,071</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391,050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428,213</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154,867</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2008</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30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6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9,672</w:t>
            </w:r>
          </w:p>
        </w:tc>
        <w:tc>
          <w:tcPr>
            <w:tcW w:w="3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3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4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9,686</w:t>
            </w:r>
          </w:p>
        </w:tc>
        <w:tc>
          <w:tcPr>
            <w:tcW w:w="3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215,396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10,210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11,719</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227,115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5,228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230,296</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1460" w:type="dxa"/>
            <w:vAlign w:val="bottom"/>
            <w:vMerge w:val="restart"/>
          </w:tcPr>
          <w:p>
            <w:pPr>
              <w:spacing w:after="0"/>
              <w:rPr>
                <w:sz w:val="20"/>
                <w:szCs w:val="20"/>
                <w:color w:val="auto"/>
              </w:rPr>
            </w:pPr>
            <w:r>
              <w:rPr>
                <w:rFonts w:ascii="Arial" w:cs="Arial" w:eastAsia="Arial" w:hAnsi="Arial"/>
                <w:sz w:val="18"/>
                <w:szCs w:val="18"/>
                <w:color w:val="auto"/>
                <w:w w:val="89"/>
              </w:rPr>
              <w:t>As of June 30, 2008</w:t>
            </w:r>
          </w:p>
        </w:tc>
        <w:tc>
          <w:tcPr>
            <w:tcW w:w="1620" w:type="dxa"/>
            <w:vAlign w:val="bottom"/>
            <w:gridSpan w:val="2"/>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460" w:type="dxa"/>
            <w:vAlign w:val="bottom"/>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6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143,449</w:t>
            </w:r>
          </w:p>
        </w:tc>
        <w:tc>
          <w:tcPr>
            <w:tcW w:w="3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1,998</w:t>
            </w:r>
          </w:p>
        </w:tc>
        <w:tc>
          <w:tcPr>
            <w:tcW w:w="3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143,449</w:t>
            </w:r>
          </w:p>
        </w:tc>
        <w:tc>
          <w:tcPr>
            <w:tcW w:w="3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1,998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7,520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810,995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20,341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1,898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812,893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20,379</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962,461</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964,359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076" w:gutter="0" w:footer="0" w:header="0"/>
        </w:sectPr>
      </w:pPr>
    </w:p>
    <w:bookmarkStart w:id="13" w:name="page14"/>
    <w:bookmarkEnd w:id="13"/>
    <w:p>
      <w:pPr>
        <w:jc w:val="both"/>
        <w:ind w:firstLine="520"/>
        <w:spacing w:after="0" w:line="264" w:lineRule="auto"/>
        <w:rPr>
          <w:sz w:val="20"/>
          <w:szCs w:val="20"/>
          <w:color w:val="auto"/>
        </w:rPr>
      </w:pPr>
      <w:r>
        <w:rPr>
          <w:rFonts w:ascii="Arial" w:cs="Arial" w:eastAsia="Arial" w:hAnsi="Arial"/>
          <w:sz w:val="18"/>
          <w:szCs w:val="18"/>
          <w:color w:val="auto"/>
        </w:rPr>
        <w:t>Management believes that there were no unrealized losses as of June 30, 2009, December 31, 2008 and June 30, 2008 that represented an other-than-temporary impairment. Unrealized losses were primarily attributable to changes in interest rates, and United has both the intent and ability to hold the securities for a time necessary to recover the amortized cost.</w:t>
      </w:r>
    </w:p>
    <w:p>
      <w:pPr>
        <w:spacing w:after="0" w:line="208" w:lineRule="exact"/>
        <w:rPr>
          <w:sz w:val="20"/>
          <w:szCs w:val="20"/>
          <w:color w:val="auto"/>
        </w:rPr>
      </w:pPr>
    </w:p>
    <w:p>
      <w:pPr>
        <w:jc w:val="both"/>
        <w:ind w:firstLine="647"/>
        <w:spacing w:after="0" w:line="264" w:lineRule="auto"/>
        <w:rPr>
          <w:sz w:val="20"/>
          <w:szCs w:val="20"/>
          <w:color w:val="auto"/>
        </w:rPr>
      </w:pPr>
      <w:r>
        <w:rPr>
          <w:rFonts w:ascii="Arial" w:cs="Arial" w:eastAsia="Arial" w:hAnsi="Arial"/>
          <w:sz w:val="18"/>
          <w:szCs w:val="18"/>
          <w:color w:val="auto"/>
        </w:rPr>
        <w:t xml:space="preserve">The amortized cost and fair value of the investment securities at June 30, 2009, by contractual maturity, are presented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Expected maturities may differ from contractual maturities because issuers and borrowers may have the right to call or prepay obligations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call or prepayment penalties.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Amortized Cost</w:t>
            </w:r>
          </w:p>
        </w:tc>
        <w:tc>
          <w:tcPr>
            <w:tcW w:w="30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Fair Value</w:t>
            </w:r>
          </w:p>
        </w:tc>
      </w:tr>
      <w:tr>
        <w:trPr>
          <w:trHeight w:val="418"/>
        </w:trPr>
        <w:tc>
          <w:tcPr>
            <w:tcW w:w="6440" w:type="dxa"/>
            <w:vAlign w:val="bottom"/>
          </w:tcPr>
          <w:p>
            <w:pPr>
              <w:spacing w:after="0"/>
              <w:rPr>
                <w:sz w:val="20"/>
                <w:szCs w:val="20"/>
                <w:color w:val="auto"/>
              </w:rPr>
            </w:pPr>
            <w:r>
              <w:rPr>
                <w:rFonts w:ascii="Arial" w:cs="Arial" w:eastAsia="Arial" w:hAnsi="Arial"/>
                <w:sz w:val="18"/>
                <w:szCs w:val="18"/>
                <w:color w:val="auto"/>
              </w:rPr>
              <w:t>U.S. Treasuries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39,979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39,975</w:t>
            </w:r>
          </w:p>
        </w:tc>
      </w:tr>
      <w:tr>
        <w:trPr>
          <w:trHeight w:val="223"/>
        </w:trPr>
        <w:tc>
          <w:tcPr>
            <w:tcW w:w="64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39,979</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39,975</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rPr>
              <w:t>U.S. Government agencies: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30,602</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158,055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157,018</w:t>
            </w: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18,991</w:t>
            </w: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209,662</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207,313</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rPr>
              <w:t>State and political subdivisions: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19,094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17,713</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16,054</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10,485</w:t>
            </w: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w:t>
            </w: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55,194</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55,503</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14,791</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9,851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9,853</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28,645</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28,899</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rPr>
              <w:t>Total securities other than mortgage-backed securities: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74,563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73,181</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56,509</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168,339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168,503</w:t>
            </w: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34,122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33,497</w:t>
            </w:r>
          </w:p>
        </w:tc>
      </w:tr>
      <w:tr>
        <w:trPr>
          <w:trHeight w:val="439"/>
        </w:trPr>
        <w:tc>
          <w:tcPr>
            <w:tcW w:w="64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1,462,695</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1,485,097</w:t>
            </w:r>
          </w:p>
        </w:tc>
      </w:tr>
      <w:tr>
        <w:trPr>
          <w:trHeight w:val="432"/>
        </w:trPr>
        <w:tc>
          <w:tcPr>
            <w:tcW w:w="6440" w:type="dxa"/>
            <w:vAlign w:val="bottom"/>
          </w:tcPr>
          <w:p>
            <w:pPr>
              <w:spacing w:after="0"/>
              <w:rPr>
                <w:sz w:val="24"/>
                <w:szCs w:val="24"/>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1,796,175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1,816,787</w:t>
            </w:r>
          </w:p>
        </w:tc>
      </w:tr>
      <w:tr>
        <w:trPr>
          <w:trHeight w:val="21"/>
        </w:trPr>
        <w:tc>
          <w:tcPr>
            <w:tcW w:w="6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following table summarizes securities sales activity for the three month and six month periods ended June 30, 2009 and 2008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7"/>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04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Proceeds from sales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54,735</w:t>
            </w:r>
          </w:p>
        </w:tc>
        <w:tc>
          <w:tcPr>
            <w:tcW w:w="34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15,017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79,735</w:t>
            </w:r>
          </w:p>
        </w:tc>
      </w:tr>
      <w:tr>
        <w:trPr>
          <w:trHeight w:val="21"/>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5660" w:type="dxa"/>
            <w:vAlign w:val="bottom"/>
          </w:tcPr>
          <w:p>
            <w:pPr>
              <w:spacing w:after="0"/>
              <w:rPr>
                <w:sz w:val="20"/>
                <w:szCs w:val="20"/>
                <w:color w:val="auto"/>
              </w:rPr>
            </w:pPr>
            <w:r>
              <w:rPr>
                <w:rFonts w:ascii="Arial" w:cs="Arial" w:eastAsia="Arial" w:hAnsi="Arial"/>
                <w:sz w:val="18"/>
                <w:szCs w:val="18"/>
                <w:color w:val="auto"/>
              </w:rPr>
              <w:t>Gross gains on sales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Gross losses on sales</w:t>
            </w: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Impairment losses</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32"/>
        </w:trPr>
        <w:tc>
          <w:tcPr>
            <w:tcW w:w="5660" w:type="dxa"/>
            <w:vAlign w:val="bottom"/>
          </w:tcPr>
          <w:p>
            <w:pPr>
              <w:ind w:left="160"/>
              <w:spacing w:after="0"/>
              <w:rPr>
                <w:sz w:val="20"/>
                <w:szCs w:val="20"/>
                <w:color w:val="auto"/>
              </w:rPr>
            </w:pPr>
            <w:r>
              <w:rPr>
                <w:rFonts w:ascii="Arial" w:cs="Arial" w:eastAsia="Arial" w:hAnsi="Arial"/>
                <w:sz w:val="18"/>
                <w:szCs w:val="18"/>
                <w:color w:val="auto"/>
              </w:rPr>
              <w:t>Net gains (losses) on sales of securities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(711)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r>
        <w:trPr>
          <w:trHeight w:val="21"/>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5660" w:type="dxa"/>
            <w:vAlign w:val="bottom"/>
          </w:tcPr>
          <w:p>
            <w:pPr>
              <w:spacing w:after="0"/>
              <w:rPr>
                <w:sz w:val="20"/>
                <w:szCs w:val="20"/>
                <w:color w:val="auto"/>
              </w:rPr>
            </w:pPr>
            <w:r>
              <w:rPr>
                <w:rFonts w:ascii="Arial" w:cs="Arial" w:eastAsia="Arial" w:hAnsi="Arial"/>
                <w:sz w:val="18"/>
                <w:szCs w:val="18"/>
                <w:color w:val="auto"/>
              </w:rPr>
              <w:t>Income tax expense (benefit) attributable to sales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(277)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r>
        <w:trPr>
          <w:trHeight w:val="21"/>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29"/>
        <w:spacing w:after="0" w:line="277" w:lineRule="auto"/>
        <w:rPr>
          <w:sz w:val="20"/>
          <w:szCs w:val="20"/>
          <w:color w:val="auto"/>
        </w:rPr>
      </w:pPr>
      <w:r>
        <w:rPr>
          <w:rFonts w:ascii="Arial" w:cs="Arial" w:eastAsia="Arial" w:hAnsi="Arial"/>
          <w:sz w:val="18"/>
          <w:szCs w:val="18"/>
          <w:color w:val="auto"/>
        </w:rPr>
        <w:t>During the second quarter of 2009, United recognized an impairment loss of $744,000 on an equity investment in Silverton Bank, a financial institution that failed during the quarter. The impairment loss represents the full amount of United’s investment in Silverton.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Earnings Per Share</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sets forth the computation of basic and diluted earnings per share for the three and six months ended June 30, 2009 and 2008</w:t>
      </w:r>
      <w:r>
        <w:rPr>
          <w:rFonts w:ascii="Arial" w:cs="Arial" w:eastAsia="Arial" w:hAnsi="Arial"/>
          <w:sz w:val="17"/>
          <w:szCs w:val="17"/>
          <w:i w:val="1"/>
          <w:iCs w:val="1"/>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80" w:type="dxa"/>
            <w:vAlign w:val="bottom"/>
          </w:tcPr>
          <w:p>
            <w:pPr>
              <w:spacing w:after="0"/>
              <w:rPr>
                <w:sz w:val="20"/>
                <w:szCs w:val="20"/>
                <w:color w:val="auto"/>
              </w:rPr>
            </w:pPr>
          </w:p>
        </w:tc>
        <w:tc>
          <w:tcPr>
            <w:tcW w:w="220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vMerge w:val="restart"/>
          </w:tcPr>
          <w:p>
            <w:pPr>
              <w:ind w:left="1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Net (loss) income available to common shareholders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(18,560)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7,089</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(124,887)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23,163</w:t>
            </w:r>
          </w:p>
        </w:tc>
        <w:tc>
          <w:tcPr>
            <w:tcW w:w="0" w:type="dxa"/>
            <w:vAlign w:val="bottom"/>
          </w:tcPr>
          <w:p>
            <w:pPr>
              <w:spacing w:after="0"/>
              <w:rPr>
                <w:sz w:val="1"/>
                <w:szCs w:val="1"/>
                <w:color w:val="auto"/>
              </w:rPr>
            </w:pPr>
          </w:p>
        </w:tc>
      </w:tr>
      <w:tr>
        <w:trPr>
          <w:trHeight w:val="21"/>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48,794</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47,158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48,560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47,105</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40"/>
              <w:spacing w:after="0"/>
              <w:rPr>
                <w:sz w:val="20"/>
                <w:szCs w:val="20"/>
                <w:color w:val="auto"/>
              </w:rPr>
            </w:pPr>
            <w:r>
              <w:rPr>
                <w:rFonts w:ascii="Arial" w:cs="Arial" w:eastAsia="Arial" w:hAnsi="Arial"/>
                <w:sz w:val="18"/>
                <w:szCs w:val="18"/>
                <w:color w:val="auto"/>
              </w:rPr>
              <w:t>Stock options and restricted stock</w:t>
            </w:r>
          </w:p>
        </w:tc>
        <w:tc>
          <w:tcPr>
            <w:tcW w:w="18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640" w:type="dxa"/>
            <w:vAlign w:val="bottom"/>
          </w:tcPr>
          <w:p>
            <w:pPr>
              <w:ind w:left="340"/>
              <w:spacing w:after="0"/>
              <w:rPr>
                <w:sz w:val="20"/>
                <w:szCs w:val="20"/>
                <w:color w:val="auto"/>
              </w:rPr>
            </w:pPr>
            <w:r>
              <w:rPr>
                <w:rFonts w:ascii="Arial" w:cs="Arial" w:eastAsia="Arial" w:hAnsi="Arial"/>
                <w:sz w:val="18"/>
                <w:szCs w:val="18"/>
                <w:color w:val="auto"/>
              </w:rPr>
              <w:t>Warrants attached to trust preferred securities</w:t>
            </w:r>
          </w:p>
        </w:tc>
        <w:tc>
          <w:tcPr>
            <w:tcW w:w="18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40" w:type="dxa"/>
            <w:vAlign w:val="bottom"/>
          </w:tcPr>
          <w:p>
            <w:pPr>
              <w:ind w:left="340"/>
              <w:spacing w:after="0"/>
              <w:rPr>
                <w:sz w:val="20"/>
                <w:szCs w:val="20"/>
                <w:color w:val="auto"/>
              </w:rPr>
            </w:pPr>
            <w:r>
              <w:rPr>
                <w:rFonts w:ascii="Arial" w:cs="Arial" w:eastAsia="Arial" w:hAnsi="Arial"/>
                <w:sz w:val="18"/>
                <w:szCs w:val="18"/>
                <w:color w:val="auto"/>
              </w:rPr>
              <w:t>Warrant granted with Series B preferred stock</w:t>
            </w:r>
          </w:p>
        </w:tc>
        <w:tc>
          <w:tcPr>
            <w:tcW w:w="180" w:type="dxa"/>
            <w:vAlign w:val="bottom"/>
          </w:tcPr>
          <w:p>
            <w:pPr>
              <w:spacing w:after="0"/>
              <w:rPr>
                <w:sz w:val="20"/>
                <w:szCs w:val="20"/>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48,794</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66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gridSpan w:val="2"/>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5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United performed an evaluation of subsequent events through August 7, 2009, the date upon which United’s quarterly report on Form 10-Q was filed with the Securities and Exchange Commission. No subsequent events were identified that would have required a change to the financial statements or disclosure in the notes to the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Assets and Liabilities Measured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jc w:val="both"/>
        <w:ind w:firstLine="522"/>
        <w:spacing w:after="0" w:line="277" w:lineRule="auto"/>
        <w:rPr>
          <w:sz w:val="20"/>
          <w:szCs w:val="20"/>
          <w:color w:val="auto"/>
        </w:rPr>
      </w:pPr>
      <w:r>
        <w:rPr>
          <w:rFonts w:ascii="Arial" w:cs="Arial" w:eastAsia="Arial" w:hAnsi="Arial"/>
          <w:sz w:val="18"/>
          <w:szCs w:val="18"/>
          <w:color w:val="auto"/>
        </w:rPr>
        <w:t>The table below presents United’s assets and liabilities measured at fair value on a recurring basis as of June 30, 2009, aggregated by the level in the fair value hierarchy within which those measurements fall.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Level 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2009</w:t>
            </w:r>
          </w:p>
        </w:tc>
        <w:tc>
          <w:tcPr>
            <w:tcW w:w="0" w:type="dxa"/>
            <w:vAlign w:val="bottom"/>
          </w:tcPr>
          <w:p>
            <w:pPr>
              <w:spacing w:after="0"/>
              <w:rPr>
                <w:sz w:val="1"/>
                <w:szCs w:val="1"/>
                <w:color w:val="auto"/>
              </w:rPr>
            </w:pP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1,816,787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1,816,787</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Deferred compensation plan assets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30,815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3,976</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1,847,602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22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Deferred compensation plan liability</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3,976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3,976</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360" w:type="dxa"/>
            <w:vAlign w:val="bottom"/>
            <w:vMerge w:val="restart"/>
          </w:tcPr>
          <w:p>
            <w:pPr>
              <w:jc w:val="right"/>
              <w:ind w:right="69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2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56" w:lineRule="exact"/>
        <w:rPr>
          <w:sz w:val="20"/>
          <w:szCs w:val="20"/>
          <w:color w:val="auto"/>
        </w:rPr>
      </w:pPr>
    </w:p>
    <w:p>
      <w:pPr>
        <w:jc w:val="both"/>
        <w:ind w:firstLine="561"/>
        <w:spacing w:after="0" w:line="259" w:lineRule="auto"/>
        <w:rPr>
          <w:sz w:val="20"/>
          <w:szCs w:val="20"/>
          <w:color w:val="auto"/>
        </w:rPr>
      </w:pPr>
      <w:r>
        <w:rPr>
          <w:rFonts w:ascii="Arial" w:cs="Arial" w:eastAsia="Arial" w:hAnsi="Arial"/>
          <w:sz w:val="18"/>
          <w:szCs w:val="18"/>
          <w:color w:val="auto"/>
        </w:rPr>
        <w:t>United may be required, from time to time, to measure certain assets at fair value on a nonrecurring basis in accordance with GAAP. These include assets that are measured at the lower of cost or market that were recognized at fair value below cost at the end of the period. The table below presents United’s assets and liabilities measured at fair value on a nonrecurring basis as of June 30, 2009, aggregated by the level in the fair value hierarchy within which those measurements fall.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98"/>
        </w:trPr>
        <w:tc>
          <w:tcPr>
            <w:tcW w:w="5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7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2009</w:t>
            </w:r>
          </w:p>
        </w:tc>
        <w:tc>
          <w:tcPr>
            <w:tcW w:w="0" w:type="dxa"/>
            <w:vAlign w:val="bottom"/>
          </w:tcPr>
          <w:p>
            <w:pPr>
              <w:spacing w:after="0"/>
              <w:rPr>
                <w:sz w:val="1"/>
                <w:szCs w:val="1"/>
                <w:color w:val="auto"/>
              </w:rPr>
            </w:pP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Loans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174,005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174,005</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Foreclosed assets</w:t>
            </w:r>
          </w:p>
        </w:tc>
        <w:tc>
          <w:tcPr>
            <w:tcW w:w="9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86,730</w:t>
            </w:r>
          </w:p>
        </w:tc>
        <w:tc>
          <w:tcPr>
            <w:tcW w:w="0" w:type="dxa"/>
            <w:vAlign w:val="bottom"/>
          </w:tcPr>
          <w:p>
            <w:pPr>
              <w:spacing w:after="0"/>
              <w:rPr>
                <w:sz w:val="1"/>
                <w:szCs w:val="1"/>
                <w:color w:val="auto"/>
              </w:rPr>
            </w:pPr>
          </w:p>
        </w:tc>
      </w:tr>
      <w:tr>
        <w:trPr>
          <w:trHeight w:val="237"/>
        </w:trPr>
        <w:tc>
          <w:tcPr>
            <w:tcW w:w="57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235,590</w:t>
            </w:r>
          </w:p>
        </w:tc>
        <w:tc>
          <w:tcPr>
            <w:tcW w:w="0" w:type="dxa"/>
            <w:vAlign w:val="bottom"/>
          </w:tcPr>
          <w:p>
            <w:pPr>
              <w:spacing w:after="0"/>
              <w:rPr>
                <w:sz w:val="1"/>
                <w:szCs w:val="1"/>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496,325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496,325</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56"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in United’s balance sheet at June 30, 2009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24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2009</w:t>
            </w:r>
          </w:p>
        </w:tc>
      </w:tr>
      <w:tr>
        <w:trPr>
          <w:trHeight w:val="198"/>
        </w:trPr>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9"/>
              </w:rPr>
              <w:t>Carrying</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41"/>
        </w:trPr>
        <w:tc>
          <w:tcPr>
            <w:tcW w:w="3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322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$5,367,409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$ 5,369,542</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Liabilities:</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2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6,848,760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6,893,851</w:t>
            </w:r>
          </w:p>
        </w:tc>
      </w:tr>
      <w:tr>
        <w:trPr>
          <w:trHeight w:val="216"/>
        </w:trPr>
        <w:tc>
          <w:tcPr>
            <w:tcW w:w="322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283,292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290,908</w:t>
            </w:r>
          </w:p>
        </w:tc>
      </w:tr>
      <w:tr>
        <w:trPr>
          <w:trHeight w:val="230"/>
        </w:trPr>
        <w:tc>
          <w:tcPr>
            <w:tcW w:w="322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150,026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87,907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 Dividend</w:t>
      </w:r>
    </w:p>
    <w:p>
      <w:pPr>
        <w:spacing w:after="0" w:line="256" w:lineRule="exact"/>
        <w:rPr>
          <w:sz w:val="20"/>
          <w:szCs w:val="20"/>
          <w:color w:val="auto"/>
        </w:rPr>
      </w:pPr>
    </w:p>
    <w:p>
      <w:pPr>
        <w:jc w:val="both"/>
        <w:ind w:right="20" w:firstLine="468"/>
        <w:spacing w:after="0" w:line="259" w:lineRule="auto"/>
        <w:rPr>
          <w:sz w:val="20"/>
          <w:szCs w:val="20"/>
          <w:color w:val="auto"/>
        </w:rPr>
      </w:pPr>
      <w:r>
        <w:rPr>
          <w:rFonts w:ascii="Arial" w:cs="Arial" w:eastAsia="Arial" w:hAnsi="Arial"/>
          <w:sz w:val="18"/>
          <w:szCs w:val="18"/>
          <w:color w:val="auto"/>
        </w:rPr>
        <w:t>During the first and second quarters of 2009, United declared a quarterly stock dividend at a rate of 1 new share for every 130 shares owned. The stock dividend has been reflected in the financial statements as an issuance of stock with no proceeds rather than a stock split and therefore prior period numbers of shares outstanding have not been adjusted. The amount of $30,000 shown in the equity statement as a reduction of capital related to the stock dividend is the amount of cash paid to shareholders for fractional shares.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 and Hedging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256" w:lineRule="exact"/>
        <w:rPr>
          <w:sz w:val="20"/>
          <w:szCs w:val="20"/>
          <w:color w:val="auto"/>
        </w:rPr>
      </w:pPr>
    </w:p>
    <w:p>
      <w:pPr>
        <w:jc w:val="both"/>
        <w:ind w:firstLine="576"/>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jc w:val="both"/>
        <w:ind w:firstLine="550"/>
        <w:spacing w:after="0" w:line="277" w:lineRule="auto"/>
        <w:rPr>
          <w:sz w:val="20"/>
          <w:szCs w:val="20"/>
          <w:color w:val="auto"/>
        </w:rPr>
      </w:pPr>
      <w:r>
        <w:rPr>
          <w:rFonts w:ascii="Arial" w:cs="Arial" w:eastAsia="Arial" w:hAnsi="Arial"/>
          <w:sz w:val="18"/>
          <w:szCs w:val="18"/>
          <w:color w:val="auto"/>
        </w:rPr>
        <w:t>The table below presents the fair value of United’s derivative financial instruments as well as their classification on the balance sheet as of June 30, 2009, December 31, 2008 and June 30, 2008.</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Derivatives designated as hedging instruments under SFAS 133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8"/>
        </w:trPr>
        <w:tc>
          <w:tcPr>
            <w:tcW w:w="3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Interest Rate</w:t>
            </w:r>
          </w:p>
        </w:tc>
        <w:tc>
          <w:tcPr>
            <w:tcW w:w="200" w:type="dxa"/>
            <w:vAlign w:val="bottom"/>
          </w:tcPr>
          <w:p>
            <w:pPr>
              <w:spacing w:after="0"/>
              <w:rPr>
                <w:sz w:val="17"/>
                <w:szCs w:val="17"/>
                <w:color w:val="auto"/>
              </w:rPr>
            </w:pPr>
          </w:p>
        </w:tc>
        <w:tc>
          <w:tcPr>
            <w:tcW w:w="18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6"/>
              </w:rPr>
              <w:t>Balance Sheet</w:t>
            </w:r>
          </w:p>
        </w:tc>
        <w:tc>
          <w:tcPr>
            <w:tcW w:w="200" w:type="dxa"/>
            <w:vAlign w:val="bottom"/>
          </w:tcPr>
          <w:p>
            <w:pPr>
              <w:spacing w:after="0"/>
              <w:rPr>
                <w:sz w:val="17"/>
                <w:szCs w:val="17"/>
                <w:color w:val="auto"/>
              </w:rPr>
            </w:pPr>
          </w:p>
        </w:tc>
        <w:tc>
          <w:tcPr>
            <w:tcW w:w="102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17"/>
                <w:szCs w:val="17"/>
                <w:color w:val="auto"/>
              </w:rPr>
            </w:pPr>
          </w:p>
        </w:tc>
        <w:tc>
          <w:tcPr>
            <w:tcW w:w="12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June 30,</w:t>
            </w:r>
          </w:p>
        </w:tc>
      </w:tr>
      <w:tr>
        <w:trPr>
          <w:trHeight w:val="241"/>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Asset derivatives</w:t>
            </w:r>
          </w:p>
        </w:tc>
        <w:tc>
          <w:tcPr>
            <w:tcW w:w="200" w:type="dxa"/>
            <w:vAlign w:val="bottom"/>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Other assets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81,612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28,356</w:t>
            </w:r>
          </w:p>
        </w:tc>
      </w:tr>
      <w:tr>
        <w:trPr>
          <w:trHeight w:val="21"/>
        </w:trPr>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derivatives classified as liabilities in the balance sheet at June 30, 2009, December 31, 2008 or June 30,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56" w:lineRule="exact"/>
        <w:rPr>
          <w:sz w:val="20"/>
          <w:szCs w:val="20"/>
          <w:color w:val="auto"/>
        </w:rPr>
      </w:pPr>
    </w:p>
    <w:p>
      <w:pPr>
        <w:jc w:val="both"/>
        <w:ind w:firstLine="524"/>
        <w:spacing w:after="0" w:line="272" w:lineRule="auto"/>
        <w:rPr>
          <w:sz w:val="20"/>
          <w:szCs w:val="20"/>
          <w:color w:val="auto"/>
        </w:rPr>
      </w:pPr>
      <w:r>
        <w:rPr>
          <w:rFonts w:ascii="Arial" w:cs="Arial" w:eastAsia="Arial" w:hAnsi="Arial"/>
          <w:sz w:val="17"/>
          <w:szCs w:val="17"/>
          <w:color w:val="auto"/>
        </w:rPr>
        <w:t>United’s objectives in using interest rate derivatives are to add stability to interest revenue and to manage its exposure to interest rate movements. To accomplish this objective, United primarily uses interest rate swaps and floors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As of June 30, 2009, United had six interest rate swaps with an aggregate notional amount of $325 million and two interest rate floors with an aggregate notional amount of $175 million that were designated as cash flow hedges of interest rate risk.</w:t>
      </w:r>
    </w:p>
    <w:p>
      <w:pPr>
        <w:spacing w:after="0" w:line="205" w:lineRule="exact"/>
        <w:rPr>
          <w:sz w:val="20"/>
          <w:szCs w:val="20"/>
          <w:color w:val="auto"/>
        </w:rPr>
      </w:pPr>
    </w:p>
    <w:p>
      <w:pPr>
        <w:jc w:val="both"/>
        <w:ind w:firstLine="615"/>
        <w:spacing w:after="0" w:line="276"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During the second quarter of 2009, such derivatives were used to hedge the variable cash flows associated with existing prime-based, variable-rate loans. The ineffective portion of the change in fair value of the derivatives is recognized directly in earnings. During the six months ended June 30, 2009 and June 30, 2008 no hedge ineffectiveness was recognized on derivative financial instruments designated as cash flow hedges.</w:t>
      </w:r>
    </w:p>
    <w:p>
      <w:pPr>
        <w:spacing w:after="0" w:line="200" w:lineRule="exact"/>
        <w:rPr>
          <w:sz w:val="20"/>
          <w:szCs w:val="20"/>
          <w:color w:val="auto"/>
        </w:rPr>
      </w:pPr>
    </w:p>
    <w:p>
      <w:pPr>
        <w:jc w:val="both"/>
        <w:ind w:firstLine="543"/>
        <w:spacing w:after="0" w:line="264"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revenue as interest payments are received on United’s prime-based, variable-rate loans. During the remaining six months of 2009, United estimates that an additional $26.7 million will be reclassified as an increase to interest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56"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June 30, 2009, United had three interest rate swaps with an aggregate notional amount of $195 million that were designated as fair value hedges of interest rate risk.</w:t>
      </w:r>
    </w:p>
    <w:p>
      <w:pPr>
        <w:spacing w:after="0" w:line="200" w:lineRule="exact"/>
        <w:rPr>
          <w:sz w:val="20"/>
          <w:szCs w:val="20"/>
          <w:color w:val="auto"/>
        </w:rPr>
      </w:pPr>
    </w:p>
    <w:p>
      <w:pPr>
        <w:jc w:val="both"/>
        <w:ind w:firstLine="530"/>
        <w:spacing w:after="0" w:line="273" w:lineRule="auto"/>
        <w:rPr>
          <w:sz w:val="20"/>
          <w:szCs w:val="20"/>
          <w:color w:val="auto"/>
        </w:rPr>
      </w:pPr>
      <w:r>
        <w:rPr>
          <w:rFonts w:ascii="Arial" w:cs="Arial" w:eastAsia="Arial" w:hAnsi="Arial"/>
          <w:sz w:val="17"/>
          <w:szCs w:val="17"/>
          <w:color w:val="auto"/>
        </w:rPr>
        <w:t xml:space="preserve">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six months ended June 30, 2009, United recognized a loss of $1.8 million related to changes in the fair value of the swaps that were offset by a gain of $1.5 million related to changes in the fair value of the hedged items. During the six months ended June 30, 2009, United recognized net losses of $282,000 related to ineffectiveness of the hedging relationships. The table below presents the earnings impact of the changes in fair value of the swaps and the hedged items for the six months ended June 30, 2009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Income Statement</w:t>
            </w:r>
          </w:p>
        </w:tc>
        <w:tc>
          <w:tcPr>
            <w:tcW w:w="1940" w:type="dxa"/>
            <w:vAlign w:val="bottom"/>
            <w:gridSpan w:val="4"/>
          </w:tcPr>
          <w:p>
            <w:pPr>
              <w:ind w:left="660"/>
              <w:spacing w:after="0"/>
              <w:rPr>
                <w:sz w:val="20"/>
                <w:szCs w:val="20"/>
                <w:color w:val="auto"/>
              </w:rPr>
            </w:pPr>
            <w:r>
              <w:rPr>
                <w:rFonts w:ascii="Arial" w:cs="Arial" w:eastAsia="Arial" w:hAnsi="Arial"/>
                <w:sz w:val="18"/>
                <w:szCs w:val="18"/>
                <w:b w:val="1"/>
                <w:bCs w:val="1"/>
                <w:color w:val="auto"/>
                <w:w w:val="99"/>
              </w:rPr>
              <w:t>Gain (Loss) on</w:t>
            </w:r>
          </w:p>
        </w:tc>
        <w:tc>
          <w:tcPr>
            <w:tcW w:w="4200" w:type="dxa"/>
            <w:vAlign w:val="bottom"/>
            <w:gridSpan w:val="4"/>
          </w:tcPr>
          <w:p>
            <w:pPr>
              <w:ind w:left="120"/>
              <w:spacing w:after="0"/>
              <w:rPr>
                <w:sz w:val="20"/>
                <w:szCs w:val="20"/>
                <w:color w:val="auto"/>
              </w:rPr>
            </w:pPr>
            <w:r>
              <w:rPr>
                <w:rFonts w:ascii="Arial" w:cs="Arial" w:eastAsia="Arial" w:hAnsi="Arial"/>
                <w:sz w:val="18"/>
                <w:szCs w:val="18"/>
                <w:b w:val="1"/>
                <w:bCs w:val="1"/>
                <w:color w:val="auto"/>
              </w:rPr>
              <w:t>Gain (Loss) on</w:t>
            </w:r>
          </w:p>
        </w:tc>
      </w:tr>
      <w:tr>
        <w:trPr>
          <w:trHeight w:val="241"/>
        </w:trPr>
        <w:tc>
          <w:tcPr>
            <w:tcW w:w="288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Derivative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Hedged Item</w:t>
            </w:r>
          </w:p>
        </w:tc>
        <w:tc>
          <w:tcPr>
            <w:tcW w:w="2960" w:type="dxa"/>
            <w:vAlign w:val="bottom"/>
          </w:tcPr>
          <w:p>
            <w:pPr>
              <w:spacing w:after="0"/>
              <w:rPr>
                <w:sz w:val="20"/>
                <w:szCs w:val="20"/>
                <w:color w:val="auto"/>
              </w:rPr>
            </w:pPr>
          </w:p>
        </w:tc>
      </w:tr>
      <w:tr>
        <w:trPr>
          <w:trHeight w:val="418"/>
        </w:trPr>
        <w:tc>
          <w:tcPr>
            <w:tcW w:w="5280" w:type="dxa"/>
            <w:vAlign w:val="bottom"/>
            <w:gridSpan w:val="2"/>
          </w:tcPr>
          <w:p>
            <w:pPr>
              <w:ind w:left="2860"/>
              <w:spacing w:after="0"/>
              <w:rPr>
                <w:sz w:val="20"/>
                <w:szCs w:val="20"/>
                <w:color w:val="auto"/>
              </w:rPr>
            </w:pPr>
            <w:r>
              <w:rPr>
                <w:rFonts w:ascii="Arial" w:cs="Arial" w:eastAsia="Arial" w:hAnsi="Arial"/>
                <w:sz w:val="18"/>
                <w:szCs w:val="18"/>
                <w:color w:val="auto"/>
              </w:rPr>
              <w:t>Other fee revenue</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431</w:t>
            </w:r>
          </w:p>
        </w:tc>
        <w:tc>
          <w:tcPr>
            <w:tcW w:w="2960" w:type="dxa"/>
            <w:vAlign w:val="bottom"/>
          </w:tcPr>
          <w:p>
            <w:pPr>
              <w:spacing w:after="0"/>
              <w:rPr>
                <w:sz w:val="24"/>
                <w:szCs w:val="24"/>
                <w:color w:val="auto"/>
              </w:rPr>
            </w:pPr>
          </w:p>
        </w:tc>
      </w:tr>
      <w:tr>
        <w:trPr>
          <w:trHeight w:val="230"/>
        </w:trPr>
        <w:tc>
          <w:tcPr>
            <w:tcW w:w="5280" w:type="dxa"/>
            <w:vAlign w:val="bottom"/>
            <w:gridSpan w:val="2"/>
          </w:tcPr>
          <w:p>
            <w:pPr>
              <w:ind w:left="2860"/>
              <w:spacing w:after="0"/>
              <w:rPr>
                <w:sz w:val="20"/>
                <w:szCs w:val="20"/>
                <w:color w:val="auto"/>
              </w:rPr>
            </w:pPr>
            <w:r>
              <w:rPr>
                <w:rFonts w:ascii="Arial" w:cs="Arial" w:eastAsia="Arial" w:hAnsi="Arial"/>
                <w:sz w:val="18"/>
                <w:szCs w:val="18"/>
                <w:color w:val="auto"/>
              </w:rPr>
              <w:t>Other expense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1,112</w:t>
            </w:r>
          </w:p>
        </w:tc>
        <w:tc>
          <w:tcPr>
            <w:tcW w:w="2960" w:type="dxa"/>
            <w:vAlign w:val="bottom"/>
          </w:tcPr>
          <w:p>
            <w:pPr>
              <w:spacing w:after="0"/>
              <w:rPr>
                <w:sz w:val="20"/>
                <w:szCs w:val="20"/>
                <w:color w:val="auto"/>
              </w:rPr>
            </w:pPr>
          </w:p>
        </w:tc>
      </w:tr>
      <w:tr>
        <w:trPr>
          <w:trHeight w:val="365"/>
        </w:trPr>
        <w:tc>
          <w:tcPr>
            <w:tcW w:w="2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08"/>
        </w:trPr>
        <w:tc>
          <w:tcPr>
            <w:tcW w:w="288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56" w:lineRule="exact"/>
        <w:rPr>
          <w:sz w:val="20"/>
          <w:szCs w:val="20"/>
          <w:color w:val="auto"/>
        </w:rPr>
      </w:pPr>
    </w:p>
    <w:p>
      <w:pPr>
        <w:ind w:right="60" w:firstLine="447"/>
        <w:spacing w:after="0" w:line="277" w:lineRule="auto"/>
        <w:rPr>
          <w:sz w:val="20"/>
          <w:szCs w:val="20"/>
          <w:color w:val="auto"/>
        </w:rPr>
      </w:pPr>
      <w:r>
        <w:rPr>
          <w:rFonts w:ascii="Arial" w:cs="Arial" w:eastAsia="Arial" w:hAnsi="Arial"/>
          <w:sz w:val="18"/>
          <w:szCs w:val="18"/>
          <w:color w:val="auto"/>
        </w:rPr>
        <w:t xml:space="preserve">The tables below present the effect of United’s derivative financial instruments on the Consolidated Statement of Income for the six months ended June 30, 2009 and June 30, 2008. Derivatives in SFAS 133 Fair Value Hedging Relationships </w:t>
      </w:r>
      <w:r>
        <w:rPr>
          <w:rFonts w:ascii="Arial" w:cs="Arial" w:eastAsia="Arial" w:hAnsi="Arial"/>
          <w:sz w:val="18"/>
          <w:szCs w:val="18"/>
          <w:i w:val="1"/>
          <w:iCs w:val="1"/>
          <w:color w:val="auto"/>
        </w:rPr>
        <w:t>(in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300" w:type="dxa"/>
            <w:vAlign w:val="bottom"/>
          </w:tcPr>
          <w:p>
            <w:pPr>
              <w:spacing w:after="0"/>
              <w:rPr>
                <w:sz w:val="18"/>
                <w:szCs w:val="18"/>
                <w:color w:val="auto"/>
              </w:rPr>
            </w:pPr>
          </w:p>
        </w:tc>
        <w:tc>
          <w:tcPr>
            <w:tcW w:w="328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1"/>
              </w:rPr>
              <w:t>Amount of Gain (Loss) Recognized in</w:t>
            </w:r>
          </w:p>
        </w:tc>
        <w:tc>
          <w:tcPr>
            <w:tcW w:w="3040" w:type="dxa"/>
            <w:vAlign w:val="bottom"/>
            <w:gridSpan w:val="7"/>
          </w:tcPr>
          <w:p>
            <w:pPr>
              <w:ind w:left="160"/>
              <w:spacing w:after="0"/>
              <w:rPr>
                <w:sz w:val="20"/>
                <w:szCs w:val="20"/>
                <w:color w:val="auto"/>
              </w:rPr>
            </w:pPr>
            <w:r>
              <w:rPr>
                <w:rFonts w:ascii="Arial" w:cs="Arial" w:eastAsia="Arial" w:hAnsi="Arial"/>
                <w:sz w:val="18"/>
                <w:szCs w:val="18"/>
                <w:b w:val="1"/>
                <w:bCs w:val="1"/>
                <w:color w:val="auto"/>
                <w:w w:val="89"/>
              </w:rPr>
              <w:t>Amount of Gain (Loss) Recognized in</w:t>
            </w:r>
          </w:p>
        </w:tc>
      </w:tr>
      <w:tr>
        <w:trPr>
          <w:trHeight w:val="241"/>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 Income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Income on Derivative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Income on Hedged Item</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 Derivative</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June 30, 2009</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June 30, 2008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2009</w:t>
            </w: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2008</w:t>
            </w:r>
          </w:p>
        </w:tc>
        <w:tc>
          <w:tcPr>
            <w:tcW w:w="40" w:type="dxa"/>
            <w:vAlign w:val="bottom"/>
          </w:tcPr>
          <w:p>
            <w:pPr>
              <w:spacing w:after="0"/>
              <w:rPr>
                <w:sz w:val="19"/>
                <w:szCs w:val="19"/>
                <w:color w:val="auto"/>
              </w:rPr>
            </w:pP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Other fee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431</w:t>
            </w:r>
          </w:p>
        </w:tc>
        <w:tc>
          <w:tcPr>
            <w:tcW w:w="12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1,112</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Derivatives in SFAS 133 Cash Flow Hedging Relationships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Amount of Gain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6"/>
              </w:rPr>
              <w:t>(Loss) Recognized</w:t>
            </w:r>
          </w:p>
        </w:tc>
      </w:tr>
      <w:tr>
        <w:trPr>
          <w:trHeight w:val="216"/>
        </w:trPr>
        <w:tc>
          <w:tcPr>
            <w:tcW w:w="1940" w:type="dxa"/>
            <w:vAlign w:val="bottom"/>
          </w:tcPr>
          <w:p>
            <w:pPr>
              <w:spacing w:after="0"/>
              <w:rPr>
                <w:sz w:val="18"/>
                <w:szCs w:val="18"/>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Amount of Gain</w:t>
            </w: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Location of Gain</w:t>
            </w:r>
          </w:p>
        </w:tc>
        <w:tc>
          <w:tcPr>
            <w:tcW w:w="14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Amount of Gain</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(Loss) Recognized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Income 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7"/>
              </w:rPr>
              <w:t>(Loss) Recognized</w:t>
            </w: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(Loss) Reclassified</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in Income 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5"/>
              </w:rPr>
              <w:t>in Other</w:t>
            </w: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Reclassified from</w:t>
            </w:r>
          </w:p>
        </w:tc>
        <w:tc>
          <w:tcPr>
            <w:tcW w:w="14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from Accumulated</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220" w:type="dxa"/>
            <w:vAlign w:val="bottom"/>
          </w:tcPr>
          <w:p>
            <w:pPr>
              <w:spacing w:after="0"/>
              <w:rPr>
                <w:sz w:val="18"/>
                <w:szCs w:val="18"/>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1"/>
              </w:rPr>
              <w:t>(Ineffective Portion</w:t>
            </w:r>
          </w:p>
        </w:tc>
      </w:tr>
      <w:tr>
        <w:trPr>
          <w:trHeight w:val="216"/>
        </w:trPr>
        <w:tc>
          <w:tcPr>
            <w:tcW w:w="1940" w:type="dxa"/>
            <w:vAlign w:val="bottom"/>
          </w:tcPr>
          <w:p>
            <w:pPr>
              <w:spacing w:after="0"/>
              <w:rPr>
                <w:sz w:val="18"/>
                <w:szCs w:val="18"/>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Other</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(Ineffective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and Amount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Income on</w:t>
            </w: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Portion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Excluded from</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Income into Income</w:t>
            </w:r>
          </w:p>
        </w:tc>
        <w:tc>
          <w:tcPr>
            <w:tcW w:w="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Excluded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Effectiveness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940" w:type="dxa"/>
            <w:vAlign w:val="bottom"/>
          </w:tcPr>
          <w:p>
            <w:pPr>
              <w:spacing w:after="0"/>
              <w:rPr>
                <w:sz w:val="20"/>
                <w:szCs w:val="20"/>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(Effective Portion)</w:t>
            </w:r>
          </w:p>
        </w:tc>
        <w:tc>
          <w:tcPr>
            <w:tcW w:w="140" w:type="dxa"/>
            <w:vAlign w:val="bottom"/>
          </w:tcPr>
          <w:p>
            <w:pPr>
              <w:spacing w:after="0"/>
              <w:rPr>
                <w:sz w:val="20"/>
                <w:szCs w:val="20"/>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Income into</w:t>
            </w:r>
          </w:p>
        </w:tc>
        <w:tc>
          <w:tcPr>
            <w:tcW w:w="140" w:type="dxa"/>
            <w:vAlign w:val="bottom"/>
          </w:tcPr>
          <w:p>
            <w:pPr>
              <w:spacing w:after="0"/>
              <w:rPr>
                <w:sz w:val="20"/>
                <w:szCs w:val="20"/>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from</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Testing)</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940" w:type="dxa"/>
            <w:vAlign w:val="bottom"/>
          </w:tcPr>
          <w:p>
            <w:pPr>
              <w:spacing w:after="0"/>
              <w:rPr>
                <w:sz w:val="17"/>
                <w:szCs w:val="17"/>
                <w:color w:val="auto"/>
              </w:rPr>
            </w:pPr>
          </w:p>
        </w:tc>
        <w:tc>
          <w:tcPr>
            <w:tcW w:w="10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June 30,</w:t>
            </w:r>
          </w:p>
        </w:tc>
        <w:tc>
          <w:tcPr>
            <w:tcW w:w="760" w:type="dxa"/>
            <w:vAlign w:val="bottom"/>
            <w:tcBorders>
              <w:top w:val="single" w:sz="8" w:color="auto"/>
            </w:tcBorders>
          </w:tcPr>
          <w:p>
            <w:pPr>
              <w:ind w:left="60"/>
              <w:spacing w:after="0" w:line="198" w:lineRule="exact"/>
              <w:rPr>
                <w:sz w:val="20"/>
                <w:szCs w:val="20"/>
                <w:color w:val="auto"/>
              </w:rPr>
            </w:pPr>
            <w:r>
              <w:rPr>
                <w:rFonts w:ascii="Arial" w:cs="Arial" w:eastAsia="Arial" w:hAnsi="Arial"/>
                <w:sz w:val="18"/>
                <w:szCs w:val="18"/>
                <w:b w:val="1"/>
                <w:bCs w:val="1"/>
                <w:color w:val="auto"/>
                <w:w w:val="94"/>
              </w:rPr>
              <w:t>June 30,</w:t>
            </w:r>
          </w:p>
        </w:tc>
        <w:tc>
          <w:tcPr>
            <w:tcW w:w="160" w:type="dxa"/>
            <w:vAlign w:val="bottom"/>
          </w:tcPr>
          <w:p>
            <w:pPr>
              <w:spacing w:after="0"/>
              <w:rPr>
                <w:sz w:val="17"/>
                <w:szCs w:val="17"/>
                <w:color w:val="auto"/>
              </w:rPr>
            </w:pPr>
          </w:p>
        </w:tc>
        <w:tc>
          <w:tcPr>
            <w:tcW w:w="17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1"/>
              </w:rPr>
              <w:t>Income (Effective)</w:t>
            </w:r>
          </w:p>
        </w:tc>
        <w:tc>
          <w:tcPr>
            <w:tcW w:w="140" w:type="dxa"/>
            <w:vAlign w:val="bottom"/>
          </w:tcPr>
          <w:p>
            <w:pPr>
              <w:spacing w:after="0"/>
              <w:rPr>
                <w:sz w:val="17"/>
                <w:szCs w:val="17"/>
                <w:color w:val="auto"/>
              </w:rPr>
            </w:pPr>
          </w:p>
        </w:tc>
        <w:tc>
          <w:tcPr>
            <w:tcW w:w="94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June 30,</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Effectiveness</w:t>
            </w:r>
          </w:p>
        </w:tc>
        <w:tc>
          <w:tcPr>
            <w:tcW w:w="220" w:type="dxa"/>
            <w:vAlign w:val="bottom"/>
          </w:tcPr>
          <w:p>
            <w:pPr>
              <w:spacing w:after="0"/>
              <w:rPr>
                <w:sz w:val="17"/>
                <w:szCs w:val="17"/>
                <w:color w:val="auto"/>
              </w:rPr>
            </w:pPr>
          </w:p>
        </w:tc>
        <w:tc>
          <w:tcPr>
            <w:tcW w:w="1000" w:type="dxa"/>
            <w:vAlign w:val="bottom"/>
            <w:tcBorders>
              <w:top w:val="single" w:sz="8" w:color="auto"/>
            </w:tcBorders>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June 30,</w:t>
            </w:r>
          </w:p>
        </w:tc>
        <w:tc>
          <w:tcPr>
            <w:tcW w:w="6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3"/>
              </w:rPr>
              <w:t>June 30,</w:t>
            </w:r>
          </w:p>
        </w:tc>
        <w:tc>
          <w:tcPr>
            <w:tcW w:w="20" w:type="dxa"/>
            <w:vAlign w:val="bottom"/>
          </w:tcPr>
          <w:p>
            <w:pPr>
              <w:spacing w:after="0"/>
              <w:rPr>
                <w:sz w:val="17"/>
                <w:szCs w:val="17"/>
                <w:color w:val="auto"/>
              </w:rPr>
            </w:pPr>
          </w:p>
        </w:tc>
      </w:tr>
      <w:tr>
        <w:trPr>
          <w:trHeight w:val="241"/>
        </w:trPr>
        <w:tc>
          <w:tcPr>
            <w:tcW w:w="194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Portion)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Testing)</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  (5,216)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  13,191</w:t>
            </w: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Interest revenue</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  21,178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11,124</w:t>
            </w:r>
          </w:p>
        </w:tc>
        <w:tc>
          <w:tcPr>
            <w:tcW w:w="3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9"/>
              </w:rPr>
              <w:t>Other fee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w:t>
            </w:r>
          </w:p>
        </w:tc>
      </w:tr>
      <w:tr>
        <w:trPr>
          <w:trHeight w:val="21"/>
        </w:trPr>
        <w:tc>
          <w:tcPr>
            <w:tcW w:w="1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56" w:lineRule="exact"/>
        <w:rPr>
          <w:sz w:val="20"/>
          <w:szCs w:val="20"/>
          <w:color w:val="auto"/>
        </w:rPr>
      </w:pPr>
    </w:p>
    <w:p>
      <w:pPr>
        <w:jc w:val="both"/>
        <w:ind w:firstLine="491"/>
        <w:spacing w:after="0" w:line="264"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w:t>
      </w:r>
    </w:p>
    <w:p>
      <w:pPr>
        <w:spacing w:after="0" w:line="208" w:lineRule="exact"/>
        <w:rPr>
          <w:sz w:val="20"/>
          <w:szCs w:val="20"/>
          <w:color w:val="auto"/>
        </w:rPr>
      </w:pPr>
    </w:p>
    <w:p>
      <w:pPr>
        <w:jc w:val="both"/>
        <w:ind w:firstLine="466"/>
        <w:spacing w:after="0" w:line="254"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it could be declared in default on its derivative obligations. United has an agreement with one counterparty that contains a provision where if United fails to maintain a minimum shareholders’ equity of $300 million, it could be declared in default on its derivative obligations. An agreement with another counterparty contains a provision where if United fails to maintain a minimum tier 1 leverage ratio of 5.0%, a minimum tier 1 risk-based capital ratio of 6.0%, and a minimum total risk-based capital ratio of 10%, it could be declared in default on its derivative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Recent Accounting Pronouncements</w:t>
      </w:r>
    </w:p>
    <w:p>
      <w:pPr>
        <w:spacing w:after="0" w:line="256" w:lineRule="exact"/>
        <w:rPr>
          <w:sz w:val="20"/>
          <w:szCs w:val="20"/>
          <w:color w:val="auto"/>
        </w:rPr>
      </w:pPr>
    </w:p>
    <w:p>
      <w:pPr>
        <w:jc w:val="both"/>
        <w:ind w:firstLine="479"/>
        <w:spacing w:after="0" w:line="270" w:lineRule="auto"/>
        <w:rPr>
          <w:sz w:val="20"/>
          <w:szCs w:val="20"/>
          <w:color w:val="auto"/>
        </w:rPr>
      </w:pPr>
      <w:r>
        <w:rPr>
          <w:rFonts w:ascii="Arial" w:cs="Arial" w:eastAsia="Arial" w:hAnsi="Arial"/>
          <w:sz w:val="17"/>
          <w:szCs w:val="17"/>
          <w:color w:val="auto"/>
        </w:rPr>
        <w:t xml:space="preserve">In May 2009, the FASB issued Statement of Financial Accounting Standards No. 165,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(“SFAS 165”). SFAS 165 establishes general standards of accounting for and disclosure of events that occur after the balance sheet date but before financial statements are issued or are available to be issued. In particular, this statement sets forth (1) the period after the balance sheet date during which management of a reporting entity should evaluate events or transactions that may occur for potential recognition or disclosure in the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This statement was effective for United in the second quarter of 2009 and will only affect United’s financial statements if an event occurs subsequent to the balance sheet date that would require adjustment to the financial statements or disclosure. United evaluated events and transactions through the date of this report, which is the date its consolidated financial statements dated June 30, 2009, were filed with the SEC.</w:t>
      </w:r>
    </w:p>
    <w:p>
      <w:pPr>
        <w:spacing w:after="0" w:line="209" w:lineRule="exact"/>
        <w:rPr>
          <w:sz w:val="20"/>
          <w:szCs w:val="20"/>
          <w:color w:val="auto"/>
        </w:rPr>
      </w:pPr>
    </w:p>
    <w:p>
      <w:pPr>
        <w:jc w:val="both"/>
        <w:ind w:firstLine="497"/>
        <w:spacing w:after="0" w:line="269" w:lineRule="auto"/>
        <w:rPr>
          <w:sz w:val="20"/>
          <w:szCs w:val="20"/>
          <w:color w:val="auto"/>
        </w:rPr>
      </w:pPr>
      <w:r>
        <w:rPr>
          <w:rFonts w:ascii="Arial" w:cs="Arial" w:eastAsia="Arial" w:hAnsi="Arial"/>
          <w:sz w:val="17"/>
          <w:szCs w:val="17"/>
          <w:color w:val="auto"/>
        </w:rPr>
        <w:t xml:space="preserve">In June 2009, the FASB issued Statement of Financial Accounting Standards No. 166, </w:t>
      </w:r>
      <w:r>
        <w:rPr>
          <w:rFonts w:ascii="Arial" w:cs="Arial" w:eastAsia="Arial" w:hAnsi="Arial"/>
          <w:sz w:val="17"/>
          <w:szCs w:val="17"/>
          <w:i w:val="1"/>
          <w:iCs w:val="1"/>
          <w:color w:val="auto"/>
        </w:rPr>
        <w:t>Accounting for Transfers of Financial Assets, an amendment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FASB Statement No. 140 </w:t>
      </w:r>
      <w:r>
        <w:rPr>
          <w:rFonts w:ascii="Arial" w:cs="Arial" w:eastAsia="Arial" w:hAnsi="Arial"/>
          <w:sz w:val="17"/>
          <w:szCs w:val="17"/>
          <w:color w:val="auto"/>
        </w:rPr>
        <w:t>(“SFAS 166”). SFAS 166 addresses (1) practices that have developed since the issuance of Statement of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No. 140 (“SFAS 140”), </w:t>
      </w:r>
      <w:r>
        <w:rPr>
          <w:rFonts w:ascii="Arial" w:cs="Arial" w:eastAsia="Arial" w:hAnsi="Arial"/>
          <w:sz w:val="17"/>
          <w:szCs w:val="17"/>
          <w:i w:val="1"/>
          <w:iCs w:val="1"/>
          <w:color w:val="auto"/>
        </w:rPr>
        <w:t>Accounting for Transfers and Servicing of Financial Assets and Extinguishment of Liabilities,</w:t>
      </w:r>
      <w:r>
        <w:rPr>
          <w:rFonts w:ascii="Arial" w:cs="Arial" w:eastAsia="Arial" w:hAnsi="Arial"/>
          <w:sz w:val="17"/>
          <w:szCs w:val="17"/>
          <w:color w:val="auto"/>
        </w:rPr>
        <w:t xml:space="preserve"> that are not consistent with the original intent and key requirements of SFAS 140 and (2) concerns of financial statement users that many of the financial assets (and related obligations) that have been derecognized should continue to be reported in the financial statements of transferors. SFAS 166 will become effective for United beginning January 1, 2010 and is effective for transfers occurring on or after that date. Additionally, on and after the effective date, the concept of a qualifying special-purpose entity is no longer relevant for accounting purposes. Therefore, formerly qualifying special-purpose entities (as defined under previous accounting standards) should be evaluated for consolidation by reporting entities on and after the effective date in accordance with the applicable consolidation guidance. If the evaluation on the effective date results in consolidation, the reporting entity should apply the transition guidance provided in the pronouncement that requires consolidation. Additionally, the disclosure provisions of SFAS 166 should be applied to transfers that occurred both before and after the effective date of this statement. United does not operate any qualifying special-purpose entities; therefore, the consolidation requirements will have no effect on United’s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545" w:gutter="0" w:footer="0" w:header="0"/>
        </w:sectPr>
      </w:pPr>
    </w:p>
    <w:bookmarkStart w:id="18" w:name="page19"/>
    <w:bookmarkEnd w:id="18"/>
    <w:p>
      <w:pPr>
        <w:jc w:val="both"/>
        <w:ind w:firstLine="538"/>
        <w:spacing w:after="0" w:line="287" w:lineRule="auto"/>
        <w:rPr>
          <w:sz w:val="20"/>
          <w:szCs w:val="20"/>
          <w:color w:val="auto"/>
        </w:rPr>
      </w:pPr>
      <w:r>
        <w:rPr>
          <w:rFonts w:ascii="Arial" w:cs="Arial" w:eastAsia="Arial" w:hAnsi="Arial"/>
          <w:sz w:val="16"/>
          <w:szCs w:val="16"/>
          <w:color w:val="auto"/>
        </w:rPr>
        <w:t xml:space="preserve">In June 2009, the FASB issued Statement of Financial Accounting Standards No. 167, </w:t>
      </w:r>
      <w:r>
        <w:rPr>
          <w:rFonts w:ascii="Arial" w:cs="Arial" w:eastAsia="Arial" w:hAnsi="Arial"/>
          <w:sz w:val="16"/>
          <w:szCs w:val="16"/>
          <w:i w:val="1"/>
          <w:iCs w:val="1"/>
          <w:color w:val="auto"/>
        </w:rPr>
        <w:t>Amendments to FASB Interpretation No. 46(R)</w:t>
      </w:r>
      <w:r>
        <w:rPr>
          <w:rFonts w:ascii="Arial" w:cs="Arial" w:eastAsia="Arial" w:hAnsi="Arial"/>
          <w:sz w:val="16"/>
          <w:szCs w:val="16"/>
          <w:color w:val="auto"/>
        </w:rPr>
        <w:t xml:space="preserve"> (“SFAS 167”). SFAS 167 addresses (1) the effects on certain provisions of FASB Interpretation No. 46 (revised December 2003),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as a result of the elimination of the qualifying special-purpose entity concept in SFAS 166, and (2) constituent concerns about the application of certain key provisions of Interpretation 46(R), including those in which the accounting and disclosures under the Interpretation do not always provide timely and useful information about an enterprise’s involvement in a variable interest entity. SFAS 167 requires an enterprise to perform an analysis to determine whether the enterprise’s variable interest or interests give it a controlling financial interest in a variable interest entity. This analysis identifies the primary beneficiary of a variable interest entity as the enterprise that has both of the following characteristics: (a) the power to direct the activities of a variable interest entity that most significantly impact the entity’s economic performance, and (b) the obligation to absorb losses of the entity that could potentially be significant to the variable interest entity or the right to receive benefits from the entity that could potentially be significant to the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This statement will be effective for United beginning January 1, 2010. United is in the process of determining the impact, if any, on its consolidated financial statements.</w:t>
      </w:r>
    </w:p>
    <w:p>
      <w:pPr>
        <w:spacing w:after="0" w:line="196" w:lineRule="exact"/>
        <w:rPr>
          <w:sz w:val="20"/>
          <w:szCs w:val="20"/>
          <w:color w:val="auto"/>
        </w:rPr>
      </w:pPr>
    </w:p>
    <w:p>
      <w:pPr>
        <w:jc w:val="both"/>
        <w:ind w:firstLine="673"/>
        <w:spacing w:after="0" w:line="274" w:lineRule="auto"/>
        <w:rPr>
          <w:sz w:val="20"/>
          <w:szCs w:val="20"/>
          <w:color w:val="auto"/>
        </w:rPr>
      </w:pPr>
      <w:r>
        <w:rPr>
          <w:rFonts w:ascii="Arial" w:cs="Arial" w:eastAsia="Arial" w:hAnsi="Arial"/>
          <w:sz w:val="16"/>
          <w:szCs w:val="16"/>
          <w:color w:val="auto"/>
        </w:rPr>
        <w:t xml:space="preserve">In June 2009, the FASB issued Statement of Financial Accounting Standards No. 168, </w:t>
      </w:r>
      <w:r>
        <w:rPr>
          <w:rFonts w:ascii="Arial" w:cs="Arial" w:eastAsia="Arial" w:hAnsi="Arial"/>
          <w:sz w:val="16"/>
          <w:szCs w:val="16"/>
          <w:i w:val="1"/>
          <w:iCs w:val="1"/>
          <w:color w:val="auto"/>
        </w:rPr>
        <w:t>The FASB Accounting Standards Codification</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and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Hierarchy of Generally Accepted Accounting Principles, a replacement of FASB Statement No. 162 </w:t>
      </w:r>
      <w:r>
        <w:rPr>
          <w:rFonts w:ascii="Arial" w:cs="Arial" w:eastAsia="Arial" w:hAnsi="Arial"/>
          <w:sz w:val="16"/>
          <w:szCs w:val="16"/>
          <w:color w:val="auto"/>
        </w:rPr>
        <w:t>(“SFAS 168”).</w:t>
      </w:r>
      <w:r>
        <w:rPr>
          <w:rFonts w:ascii="Arial" w:cs="Arial" w:eastAsia="Arial" w:hAnsi="Arial"/>
          <w:sz w:val="16"/>
          <w:szCs w:val="16"/>
          <w:i w:val="1"/>
          <w:iCs w:val="1"/>
          <w:color w:val="auto"/>
        </w:rPr>
        <w:t xml:space="preserve"> The FASB Accounting Standards Codification</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(“Codification”) will become the source of authoritative U.S. GAAP recognized by the FASB to be applied by nongovernmental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Rules and interpretive releases of the Securities and Exchange Commission (“SEC”) under authority of federal securities laws are also sources of authoritative GAAP for SEC registrants. On the effective date of this Statement, the Codification will supersede all then-existing non-SEC accounting and reporting standards. All other non-grandfathered non-SEC accounting literature not included in the Codification will become non-authoritative. This Statement will be effective for United in the third quarter of 2009. Following this Statement, the FASB will not issue new standards in the form of Statements, FASB Staff Positions, or Emerging Issues Task Force Abstracts. Instead, it will issue Accounting Standards Updates. The FASB will not consider Accounting Standards Updates as authoritative in their own right. Accounting Standards Updates will serve only to update the Codification, provide background information about the guidance, and provide the bases for conclusions on the change(s) in Codification. FASB Statement No. 162 (“SFAS 162”), </w:t>
      </w:r>
      <w:r>
        <w:rPr>
          <w:rFonts w:ascii="Arial" w:cs="Arial" w:eastAsia="Arial" w:hAnsi="Arial"/>
          <w:sz w:val="16"/>
          <w:szCs w:val="16"/>
          <w:i w:val="1"/>
          <w:iCs w:val="1"/>
          <w:color w:val="auto"/>
        </w:rPr>
        <w:t>The Hierarchy of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Accepted Accounting Principles</w:t>
      </w:r>
      <w:r>
        <w:rPr>
          <w:rFonts w:ascii="Arial" w:cs="Arial" w:eastAsia="Arial" w:hAnsi="Arial"/>
          <w:sz w:val="16"/>
          <w:szCs w:val="16"/>
          <w:color w:val="auto"/>
        </w:rPr>
        <w:t>, which became effective on November 13, 2008, identified the sources of accounting principles and the framework for</w:t>
      </w:r>
      <w:r>
        <w:rPr>
          <w:rFonts w:ascii="Arial" w:cs="Arial" w:eastAsia="Arial" w:hAnsi="Arial"/>
          <w:sz w:val="16"/>
          <w:szCs w:val="16"/>
          <w:i w:val="1"/>
          <w:iCs w:val="1"/>
          <w:color w:val="auto"/>
        </w:rPr>
        <w:t xml:space="preserve"> </w:t>
      </w:r>
      <w:r>
        <w:rPr>
          <w:rFonts w:ascii="Arial" w:cs="Arial" w:eastAsia="Arial" w:hAnsi="Arial"/>
          <w:sz w:val="16"/>
          <w:szCs w:val="16"/>
          <w:color w:val="auto"/>
        </w:rPr>
        <w:t>selecting the principles used in preparing the financial statements of nongovernmental entities that are presented in conformity with GAAP. SFAS 162 arranged these sources of GAAP in a hierarchy for users to apply accordingly. Once the Codification is in effect, all of its content will carry the same level of authority, effectively superseding SFAS 162. The implementation of SFAS 168 is not expected to have an impact on United’s financial statements; however, references to existing accounting literature in the footnotes to the financial statements will be changed to reference sections of the Codification.</w:t>
      </w:r>
    </w:p>
    <w:p>
      <w:pPr>
        <w:spacing w:after="0" w:line="203" w:lineRule="exact"/>
        <w:rPr>
          <w:sz w:val="20"/>
          <w:szCs w:val="20"/>
          <w:color w:val="auto"/>
        </w:rPr>
      </w:pPr>
    </w:p>
    <w:p>
      <w:pPr>
        <w:jc w:val="both"/>
        <w:ind w:firstLine="524"/>
        <w:spacing w:after="0" w:line="270" w:lineRule="auto"/>
        <w:rPr>
          <w:sz w:val="20"/>
          <w:szCs w:val="20"/>
          <w:color w:val="auto"/>
        </w:rPr>
      </w:pPr>
      <w:r>
        <w:rPr>
          <w:rFonts w:ascii="Arial" w:cs="Arial" w:eastAsia="Arial" w:hAnsi="Arial"/>
          <w:sz w:val="17"/>
          <w:szCs w:val="17"/>
          <w:color w:val="auto"/>
        </w:rPr>
        <w:t xml:space="preserve">In April 2009, the FASB issued FASB Staff Position No. FAS 157-4, </w:t>
      </w:r>
      <w:r>
        <w:rPr>
          <w:rFonts w:ascii="Arial" w:cs="Arial" w:eastAsia="Arial" w:hAnsi="Arial"/>
          <w:sz w:val="17"/>
          <w:szCs w:val="17"/>
          <w:i w:val="1"/>
          <w:iCs w:val="1"/>
          <w:color w:val="auto"/>
        </w:rPr>
        <w:t>Determining Fair Value When the Volume and Level of Activity for the Asset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Liability Have Significantly Decreased and Identifying Transactions That Are Not Orderly </w:t>
      </w:r>
      <w:r>
        <w:rPr>
          <w:rFonts w:ascii="Arial" w:cs="Arial" w:eastAsia="Arial" w:hAnsi="Arial"/>
          <w:sz w:val="17"/>
          <w:szCs w:val="17"/>
          <w:color w:val="auto"/>
        </w:rPr>
        <w:t>(“FSP FAS 157-4”). FSP FAS 157-4 provides additional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estimating fair value in accordance with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when the volume and level of activity for the asset or liability have significantly decreased. This FSP also includes guidance on identifying circumstances that indicate a transaction is not orderly. This FSP emphasizes that even if there has been a significant decrease in the volume and level of activity for the asset or liability and regardless of the valuation technique(s) used, the objective of a fair value measurement remains the same. Fair value is the price that would be received to sell an asset or paid to transfer a liability in an orderly transaction (that is, not a forced liquidation or distressed sale) between market participants at the measurement date under current market conditions. This accounting standard became effective for United in the second quarter of 2009. The adoption did not have a significant impact on results of operations or financial position.</w:t>
      </w:r>
    </w:p>
    <w:p>
      <w:pPr>
        <w:spacing w:after="0" w:line="209"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 xml:space="preserve">In April 2009, the FASB issued FASB Staff Position No. FAS 107-1 and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(“FSP FAS 107-1 and APB 28-1”). FSP FAS 107-1 and APB 28-1 amends FASB Statement No. 107,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xml:space="preserve">, to require disclosures about fair value of financial instruments for interim reporting periods of publicly traded companies as well as in annual financial statements. This FSP also amends APB No. 28,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to require those disclosures in summarized financial information at interim reporting periods. This accounting standard became effective for United in the second quarter of 2009. The additional disclosures required by this statement are included in Note 8 to the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ind w:firstLine="699"/>
        <w:spacing w:after="0" w:line="253" w:lineRule="auto"/>
        <w:rPr>
          <w:sz w:val="20"/>
          <w:szCs w:val="20"/>
          <w:color w:val="auto"/>
        </w:rPr>
      </w:pPr>
      <w:r>
        <w:rPr>
          <w:rFonts w:ascii="Arial" w:cs="Arial" w:eastAsia="Arial" w:hAnsi="Arial"/>
          <w:sz w:val="18"/>
          <w:szCs w:val="18"/>
          <w:color w:val="auto"/>
        </w:rPr>
        <w:t xml:space="preserve">In April 2009, the FASB issued FASB Staff Position No. FAS 115-2 and FAS 124-2, </w:t>
      </w:r>
      <w:r>
        <w:rPr>
          <w:rFonts w:ascii="Arial" w:cs="Arial" w:eastAsia="Arial" w:hAnsi="Arial"/>
          <w:sz w:val="18"/>
          <w:szCs w:val="18"/>
          <w:i w:val="1"/>
          <w:iCs w:val="1"/>
          <w:color w:val="auto"/>
        </w:rPr>
        <w:t xml:space="preserve">Recognition and Presentation of Other-Than-Temporary-Impairments </w:t>
      </w:r>
      <w:r>
        <w:rPr>
          <w:rFonts w:ascii="Arial" w:cs="Arial" w:eastAsia="Arial" w:hAnsi="Arial"/>
          <w:sz w:val="18"/>
          <w:szCs w:val="18"/>
          <w:color w:val="auto"/>
        </w:rPr>
        <w:t>(“FSP FAS 115-2 and FAS 124-2”). The objective of an other-than-temporary impairment analysis under existing GAAP is to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 of an investment in a debt or equity security for which changes in fair value are not regularly recognized in earnings (such as securities classified as held-to-maturity or available-for-sale) should recognize a loss in earnings when the investment is impaired. An investment is impaired if the fair value of the investment is less than its amortized cost basis. This FSP amends the other-than-temporary impairment guidance in GAAP for debt securities to make the guidance more operational and to improve the presentation and disclosure of other-than-temporary impairments on debt and equity securities in the financial statements. This FSP does not amend existing recognition and measurement guidance related to other-than-temporary impairments of equity securities. This accounting standard became effective for United in the second quarter of 2009. It did not have a significant impact on results of operations or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Reclassifications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2008 amounts have been reclassified to conform to the 2009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Goodwill</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summary of the changes in goodwill for the six months ended June 30, 2009 and 2008 is presented below, </w:t>
      </w:r>
      <w:r>
        <w:rPr>
          <w:rFonts w:ascii="Arial" w:cs="Arial" w:eastAsia="Arial" w:hAnsi="Arial"/>
          <w:sz w:val="18"/>
          <w:szCs w:val="18"/>
          <w:i w:val="1"/>
          <w:iCs w:val="1"/>
          <w:color w:val="auto"/>
        </w:rPr>
        <w:t>(in thousands).</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Six Months Ended</w:t>
            </w:r>
          </w:p>
        </w:tc>
      </w:tr>
      <w:tr>
        <w:trPr>
          <w:trHeight w:val="241"/>
        </w:trPr>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5"/>
          </w:tcPr>
          <w:p>
            <w:pPr>
              <w:ind w:left="480"/>
              <w:spacing w:after="0"/>
              <w:rPr>
                <w:sz w:val="20"/>
                <w:szCs w:val="20"/>
                <w:color w:val="auto"/>
              </w:rPr>
            </w:pPr>
            <w:r>
              <w:rPr>
                <w:rFonts w:ascii="Arial" w:cs="Arial" w:eastAsia="Arial" w:hAnsi="Arial"/>
                <w:sz w:val="18"/>
                <w:szCs w:val="18"/>
                <w:b w:val="1"/>
                <w:bCs w:val="1"/>
                <w:color w:val="auto"/>
              </w:rPr>
              <w:t>June 30,</w:t>
            </w:r>
          </w:p>
        </w:tc>
      </w:tr>
      <w:tr>
        <w:trPr>
          <w:trHeight w:val="223"/>
        </w:trPr>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Beginning balance</w:t>
            </w:r>
          </w:p>
        </w:tc>
        <w:tc>
          <w:tcPr>
            <w:tcW w:w="2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5"/>
              </w:rPr>
              <w:t>$305,590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$306,086</w:t>
            </w:r>
          </w:p>
        </w:tc>
        <w:tc>
          <w:tcPr>
            <w:tcW w:w="60" w:type="dxa"/>
            <w:vAlign w:val="bottom"/>
          </w:tcPr>
          <w:p>
            <w:pPr>
              <w:spacing w:after="0"/>
              <w:rPr>
                <w:sz w:val="17"/>
                <w:szCs w:val="17"/>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Purchase adjustments</w:t>
            </w:r>
          </w:p>
        </w:tc>
        <w:tc>
          <w:tcPr>
            <w:tcW w:w="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(496)</w:t>
            </w: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Impairment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235,590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305,590</w:t>
            </w:r>
          </w:p>
        </w:tc>
        <w:tc>
          <w:tcPr>
            <w:tcW w:w="60" w:type="dxa"/>
            <w:vAlign w:val="bottom"/>
          </w:tcPr>
          <w:p>
            <w:pPr>
              <w:spacing w:after="0"/>
              <w:rPr>
                <w:sz w:val="18"/>
                <w:szCs w:val="18"/>
                <w:color w:val="auto"/>
              </w:rPr>
            </w:pPr>
          </w:p>
        </w:tc>
      </w:tr>
      <w:tr>
        <w:trPr>
          <w:trHeight w:val="21"/>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77"/>
        <w:spacing w:after="0" w:line="286" w:lineRule="auto"/>
        <w:rPr>
          <w:sz w:val="20"/>
          <w:szCs w:val="20"/>
          <w:color w:val="auto"/>
        </w:rPr>
      </w:pPr>
      <w:r>
        <w:rPr>
          <w:rFonts w:ascii="Arial" w:cs="Arial" w:eastAsia="Arial" w:hAnsi="Arial"/>
          <w:sz w:val="17"/>
          <w:szCs w:val="17"/>
          <w:color w:val="auto"/>
        </w:rPr>
        <w:t>During the first quarter of 2009, United updated its annual goodwill impairment assessment as a result of its stock price falling significantly below tangible book value. As a result of the updated assessment, goodwill was found to be impaired and was written down to its estimated fair value. The impairment charge of $70 million was recognized as an expense in the first quarter 2009 consolidated statement of income.</w:t>
      </w:r>
    </w:p>
    <w:p>
      <w:pPr>
        <w:spacing w:after="0" w:line="193"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color w:val="auto"/>
        </w:rPr>
        <w:t>United has only one operating segment and all of the goodwill is included in that segment; therefore goodwill was tested for impairment for United as a whole. The first step (Step 1) of the goodwill impairment assessment was to determine the fair value of United as a whole and compare the result to the book value of equity. If the fair value resulting from Step 1 exceeds the book value of equity, goodwill is deemed not to be impaired. If the fair value is less than book value, Step 2 of the goodwill impairment assessment must be completed. Step 2 consists of valuing all of the assets and liabilities, including separately identifiable intangible assets, in order to determine the fair value of goodwill. The fair value of goodwill is the difference between the value of United determined in Step 1 and the value of the net assets and liabilities determined in Step 2. If the fair value of goodwill exceeds the book value, goodwill is not impaired. If the fair value of goodwill is less than book value, goodwill is impaired by the amount by which book value exceeds fair value.</w:t>
      </w:r>
    </w:p>
    <w:p>
      <w:pPr>
        <w:spacing w:after="0" w:line="194" w:lineRule="exact"/>
        <w:rPr>
          <w:sz w:val="20"/>
          <w:szCs w:val="20"/>
          <w:color w:val="auto"/>
        </w:rPr>
      </w:pPr>
    </w:p>
    <w:p>
      <w:pPr>
        <w:jc w:val="both"/>
        <w:ind w:firstLine="451"/>
        <w:spacing w:after="0" w:line="257" w:lineRule="auto"/>
        <w:rPr>
          <w:sz w:val="20"/>
          <w:szCs w:val="20"/>
          <w:color w:val="auto"/>
        </w:rPr>
      </w:pPr>
      <w:r>
        <w:rPr>
          <w:rFonts w:ascii="Arial" w:cs="Arial" w:eastAsia="Arial" w:hAnsi="Arial"/>
          <w:sz w:val="18"/>
          <w:szCs w:val="18"/>
          <w:color w:val="auto"/>
        </w:rPr>
        <w:t>The techniques used to determine fair value of United in Step 1 included a discounted cash flow analysis based on United’s long-term earnings forecast, the guideline public companies method that considered the implied value of United by comparing United to a select peer group of public companies and their current market capitalizations, adjusted for differences between the companies, and the merger and acquisition method that considered the amount an acquiring company might be willing to pay to gain control of United based on multiples of tangible book value paid by acquirers in recent merger and acquisition transactions.</w:t>
      </w:r>
    </w:p>
    <w:p>
      <w:pPr>
        <w:spacing w:after="0" w:line="215"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In United’s annual goodwill assessment performed at year-end, the results of Step 1 were that the fair value of United exceeded the book value so goodwill was determined to not be impaired. The interim assessment performed in the first quarter of 2009 indicated that the fair value of United was less than book value, so United proceeded to Step 2. United’s Step 2 analysis indicated that the book value of goodwill exceeded the fair value by $70 million leading to the impairment charge. In arriving at the impairment charge there were a number of valuation assumptions made. The most significant valuation assumptions were related to valuing the loan portfolio. The key assumptions involved in valuing the non-performing portion of the loan portfolio included estimating future cash flows. The key assumptions involved in valuing the performing portion of the loan portfolio included determining a default rate and a rate of loss upon default. Changing these assumptions, or any other key assumptions, could have a material impact on the amount of goodwill impairment.</w:t>
      </w:r>
    </w:p>
    <w:p>
      <w:pPr>
        <w:spacing w:after="0" w:line="194" w:lineRule="exact"/>
        <w:rPr>
          <w:sz w:val="20"/>
          <w:szCs w:val="20"/>
          <w:color w:val="auto"/>
        </w:rPr>
      </w:pPr>
    </w:p>
    <w:p>
      <w:pPr>
        <w:jc w:val="both"/>
        <w:ind w:firstLine="696"/>
        <w:spacing w:after="0" w:line="277" w:lineRule="auto"/>
        <w:rPr>
          <w:sz w:val="20"/>
          <w:szCs w:val="20"/>
          <w:color w:val="auto"/>
        </w:rPr>
      </w:pPr>
      <w:r>
        <w:rPr>
          <w:rFonts w:ascii="Arial" w:cs="Arial" w:eastAsia="Arial" w:hAnsi="Arial"/>
          <w:sz w:val="18"/>
          <w:szCs w:val="18"/>
          <w:color w:val="auto"/>
        </w:rPr>
        <w:t>There have been no events or changes in operating conditions in the second quarter that would require an updated assessment of goodwill for impairment.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46" w:lineRule="exact"/>
        <w:rPr>
          <w:sz w:val="20"/>
          <w:szCs w:val="20"/>
          <w:color w:val="auto"/>
        </w:rPr>
      </w:pPr>
    </w:p>
    <w:p>
      <w:pPr>
        <w:jc w:val="both"/>
        <w:ind w:firstLine="549"/>
        <w:spacing w:after="0" w:line="293" w:lineRule="auto"/>
        <w:rPr>
          <w:sz w:val="20"/>
          <w:szCs w:val="20"/>
          <w:color w:val="auto"/>
        </w:rPr>
      </w:pPr>
      <w:r>
        <w:rPr>
          <w:rFonts w:ascii="Arial" w:cs="Arial" w:eastAsia="Arial" w:hAnsi="Arial"/>
          <w:sz w:val="16"/>
          <w:szCs w:val="16"/>
          <w:color w:val="auto"/>
        </w:rPr>
        <w:t>This Form 10-Q contains forward-looking statements regarding United Community Banks, Inc.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165" w:lineRule="exact"/>
        <w:rPr>
          <w:sz w:val="20"/>
          <w:szCs w:val="20"/>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ability to raise capital or maintain liquidity;</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dividends;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past operating results may not be indicative of future operating results;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the success of the local economies in which we operate;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risks with respect to future expansion and acquisitions or mergers;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 earnings would decrease;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may adversely affect our profitability;</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subject to losses due to fraudulent and negligent conduct of our loan customers, third party service providers or employees;</w:t>
      </w:r>
    </w:p>
    <w:p>
      <w:pPr>
        <w:spacing w:after="0" w:line="20" w:lineRule="exact"/>
        <w:rPr>
          <w:rFonts w:ascii="Arial" w:cs="Arial" w:eastAsia="Arial" w:hAnsi="Arial"/>
          <w:sz w:val="17"/>
          <w:szCs w:val="17"/>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 among financial services companies increase significantly;</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business strategy;</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strength of the United States economy in general;</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trade, monetary and fiscal policies and laws, including interest rate policies of the Board of Governors of the Federal Reserve System;</w:t>
      </w:r>
    </w:p>
    <w:p>
      <w:pPr>
        <w:spacing w:after="0" w:line="32" w:lineRule="exact"/>
        <w:rPr>
          <w:rFonts w:ascii="Arial" w:cs="Arial" w:eastAsia="Arial" w:hAnsi="Arial"/>
          <w:sz w:val="16"/>
          <w:szCs w:val="16"/>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or market conditions fluctuate;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stock market, the public debt market and other capital markets deteriorate;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services laws and regulations change;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changes and United fails to adapt to those changes;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spending and saving habits change;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regulatory or judicial proceedings occur;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United is unsuccessful at managing the risks involved in the foregoing.</w:t>
      </w:r>
    </w:p>
    <w:p>
      <w:pPr>
        <w:spacing w:after="0" w:line="238" w:lineRule="exact"/>
        <w:rPr>
          <w:sz w:val="20"/>
          <w:szCs w:val="20"/>
          <w:color w:val="auto"/>
        </w:rPr>
      </w:pPr>
    </w:p>
    <w:p>
      <w:pPr>
        <w:jc w:val="both"/>
        <w:ind w:firstLine="612"/>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56" w:lineRule="exact"/>
        <w:rPr>
          <w:sz w:val="20"/>
          <w:szCs w:val="20"/>
          <w:color w:val="auto"/>
        </w:rPr>
      </w:pPr>
    </w:p>
    <w:p>
      <w:pPr>
        <w:jc w:val="both"/>
        <w:ind w:firstLine="655"/>
        <w:spacing w:after="0" w:line="288" w:lineRule="auto"/>
        <w:rPr>
          <w:sz w:val="20"/>
          <w:szCs w:val="20"/>
          <w:color w:val="auto"/>
        </w:rPr>
      </w:pPr>
      <w:r>
        <w:rPr>
          <w:rFonts w:ascii="Arial" w:cs="Arial" w:eastAsia="Arial" w:hAnsi="Arial"/>
          <w:sz w:val="16"/>
          <w:szCs w:val="16"/>
          <w:color w:val="auto"/>
        </w:rPr>
        <w:t xml:space="preserve">On June 19, 2009, United Community Bank (“Bank”) acquired the banking operations of Southern Community Bank (“SCB”) from the Federal Deposit Insurance Corporation (“FDIC”). The Bank acquired $378.2 million of assets and assumed $366.8 million of liabilities. The Bank and the FDIC entered loss sharing agreements regarding future losses incurred on loans and foreclosed loan collateral existing at June 19, 2009. Under the terms of the loss sharing agreements, the FDIC will absorb 80 percent of losses and share in 80 percent of loss recoveries on the first $109 million of losses, and absorb 95 percent of losses and share in 95 percent of loss recoveries on losses exceeding $109 million. The term for loss sharing on residential real estate loans is ten years, while the term for loss sharing on all other loans is five years. The SCB acquisition was accounted for under the purchase method of accounting in accordance with the Financial Accounting Standards Board’s Statement of Financial Accounting Standards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United recorded a gain totaling $11.4 million resulting from the acquisition, which is a component of fee revenue on the consolidated statement of income. The amount of the gain is equal to the amount by which the fair value of assets purchased exceeded the fair value of liabilities assumed. See Note 2 of the Notes to unaudited Consolidated Financial Statements for additional information regarding the acquisition.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ind w:firstLine="570"/>
        <w:spacing w:after="0" w:line="264" w:lineRule="auto"/>
        <w:rPr>
          <w:sz w:val="20"/>
          <w:szCs w:val="20"/>
          <w:color w:val="auto"/>
        </w:rPr>
      </w:pPr>
      <w:r>
        <w:rPr>
          <w:rFonts w:ascii="Arial" w:cs="Arial" w:eastAsia="Arial" w:hAnsi="Arial"/>
          <w:sz w:val="18"/>
          <w:szCs w:val="18"/>
          <w:color w:val="auto"/>
        </w:rPr>
        <w:t>The results of operations of SCB are included in the consolidated statement of income from the acquisition date of June 19, 2009 through June 30, 2009. Because the acquisition of SCB occurred late in the quarter, with the exception of the acquisition gain of $11.4 million, the results of operations contributed by SCB had very little impact on consolidated financial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20" w:firstLine="447"/>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and its subsidiaries and should be read in conjunction with the consolidated financial statements and accompanying notes.</w:t>
      </w:r>
    </w:p>
    <w:p>
      <w:pPr>
        <w:spacing w:after="0" w:line="19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June 30, 2009, United had total consolidated assets of $8.4 billion, total loans of $5.5 billion, excluding the loans acquired from Southern Community Bank that are covered by loss sharing agreements, total deposits of $6.8 billion and stockholders’ equity of $855 million.</w:t>
      </w:r>
    </w:p>
    <w:p>
      <w:pPr>
        <w:spacing w:after="0" w:line="214" w:lineRule="exact"/>
        <w:rPr>
          <w:sz w:val="20"/>
          <w:szCs w:val="20"/>
          <w:color w:val="auto"/>
        </w:rPr>
      </w:pPr>
    </w:p>
    <w:p>
      <w:pPr>
        <w:jc w:val="both"/>
        <w:ind w:firstLine="697"/>
        <w:spacing w:after="0" w:line="259" w:lineRule="auto"/>
        <w:rPr>
          <w:sz w:val="20"/>
          <w:szCs w:val="20"/>
          <w:color w:val="auto"/>
        </w:rPr>
      </w:pPr>
      <w:r>
        <w:rPr>
          <w:rFonts w:ascii="Arial" w:cs="Arial" w:eastAsia="Arial" w:hAnsi="Arial"/>
          <w:sz w:val="18"/>
          <w:szCs w:val="18"/>
          <w:color w:val="auto"/>
        </w:rPr>
        <w:t>United’s activities are primarily conducted by its wholly owned Georgia banking subsidiary (the “Bank”) and Brintech, Inc., a consulting firm providing professional services to the financial services industry. The Bank operations are conducted under a community bank model that operates 27 “community banks” with local bank presidents and boards in north Georgia, the Atlanta metropolitan statistical area (“MSA”), the Gainesville MSA, coastal Georgia, western North Carolina, and east Tennessee.</w:t>
      </w:r>
    </w:p>
    <w:p>
      <w:pPr>
        <w:spacing w:after="0" w:line="214" w:lineRule="exact"/>
        <w:rPr>
          <w:sz w:val="20"/>
          <w:szCs w:val="20"/>
          <w:color w:val="auto"/>
        </w:rPr>
      </w:pPr>
    </w:p>
    <w:p>
      <w:pPr>
        <w:jc w:val="both"/>
        <w:ind w:firstLine="522"/>
        <w:spacing w:after="0" w:line="273" w:lineRule="auto"/>
        <w:rPr>
          <w:sz w:val="20"/>
          <w:szCs w:val="20"/>
          <w:color w:val="auto"/>
        </w:rPr>
      </w:pPr>
      <w:r>
        <w:rPr>
          <w:rFonts w:ascii="Arial" w:cs="Arial" w:eastAsia="Arial" w:hAnsi="Arial"/>
          <w:sz w:val="17"/>
          <w:szCs w:val="17"/>
          <w:color w:val="auto"/>
        </w:rPr>
        <w:t>United reported a net loss of $16.0 million for the second quarter of 2009, which included a non-recurring bargain purchase gain of $11.4 million for the acquisition of SCB. United’s net operating loss, which excludes the gain on acquisition, was $23.1 million for the second quarter of 2009. This compared with net income of $7.1 million for the second quarter of 2008. Diluted operating loss per common share was $.53 for the second quarter of 2009, compared with diluted earnings per common share of $.15 for the second quarter of 2008. The gain on acquisition represented $.15 of earnings per share for the second quarter of 2009, reducing the net loss per diluted share to $.38. The second quarter of 2009 operating loss reflects the continuing recessionary economic environment and credit losses primarily resulting from the weak residential construction and housing market.</w:t>
      </w:r>
    </w:p>
    <w:p>
      <w:pPr>
        <w:spacing w:after="0" w:line="205" w:lineRule="exact"/>
        <w:rPr>
          <w:sz w:val="20"/>
          <w:szCs w:val="20"/>
          <w:color w:val="auto"/>
        </w:rPr>
      </w:pPr>
    </w:p>
    <w:p>
      <w:pPr>
        <w:jc w:val="both"/>
        <w:ind w:firstLine="585"/>
        <w:spacing w:after="0" w:line="273" w:lineRule="auto"/>
        <w:rPr>
          <w:sz w:val="20"/>
          <w:szCs w:val="20"/>
          <w:color w:val="auto"/>
        </w:rPr>
      </w:pPr>
      <w:r>
        <w:rPr>
          <w:rFonts w:ascii="Arial" w:cs="Arial" w:eastAsia="Arial" w:hAnsi="Arial"/>
          <w:sz w:val="17"/>
          <w:szCs w:val="17"/>
          <w:color w:val="auto"/>
        </w:rPr>
        <w:t>For the six-month period ended June 30, 2009, United reported a net loss of $119.8 million, including the $11.4 million gain on acquisition, a $70 million charge for goodwill impairment and a $2.9 million charge for a reduction in workforce. United’s net operating loss for the first six months of 2009, which excludes the gain on acquisition, goodwill impairment and severance costs, was $55.0 million, compared to net operating income for the first six months of 2008 of $23.2 million. Diluted operating loss per common share was $1.24 for the six months ended June 30, 2009, compared with diluted operating income per common share of $.49 for the same period in 2008. The gain on acquisition, goodwill impairment and severance costs represented $.14 of earnings per share, $1.44 of loss and $.04 of loss, respectively, for the year, bringing the net loss per common share to $2.57.</w:t>
      </w:r>
    </w:p>
    <w:p>
      <w:pPr>
        <w:spacing w:after="0" w:line="205" w:lineRule="exact"/>
        <w:rPr>
          <w:sz w:val="20"/>
          <w:szCs w:val="20"/>
          <w:color w:val="auto"/>
        </w:rPr>
      </w:pPr>
    </w:p>
    <w:p>
      <w:pPr>
        <w:jc w:val="both"/>
        <w:ind w:firstLine="469"/>
        <w:spacing w:after="0" w:line="264" w:lineRule="auto"/>
        <w:rPr>
          <w:sz w:val="20"/>
          <w:szCs w:val="20"/>
          <w:color w:val="auto"/>
        </w:rPr>
      </w:pPr>
      <w:r>
        <w:rPr>
          <w:rFonts w:ascii="Arial" w:cs="Arial" w:eastAsia="Arial" w:hAnsi="Arial"/>
          <w:sz w:val="18"/>
          <w:szCs w:val="18"/>
          <w:color w:val="auto"/>
        </w:rPr>
        <w:t>Operating loss and operating loss per diluted share are non-GAAP performance measures. United’s management believes that operating performance is useful in analyzing the company’s financial performance trends since it excludes items that are non-recurring in nature. A reconciliation of these operating performance measures to GAAP performance measures is included in the table on page 22.</w:t>
      </w:r>
    </w:p>
    <w:p>
      <w:pPr>
        <w:spacing w:after="0" w:line="208"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Compared to a year ago, earnings for the quarter and year-to-date decreased primarily as a result of a higher provision for loan losses related to the deteriorating credit conditions and resulting increase in charge-offs within the loan portfolio. Margin compression due to an increase in non-performing assets, competitive deposit pricing and the ongoing effect of efforts to maintain liquidity also contributed to lower earnings. Although the margin was down for the quarter from a year ago, it was up 20 basis points from the first quarter of 2009, reflecting improvement in loan and deposit pricing. Housing sales remain at low levels, leaving a surplus of finished housing and lot inventory in our markets, most notably in the Atlanta MSA. This decline in housing sales negatively affects both the cash flows of our residential construction and land development customers, and the demand for foreclosed developed real estate held by United.</w:t>
      </w:r>
    </w:p>
    <w:p>
      <w:pPr>
        <w:spacing w:after="0" w:line="216" w:lineRule="exact"/>
        <w:rPr>
          <w:sz w:val="20"/>
          <w:szCs w:val="20"/>
          <w:color w:val="auto"/>
        </w:rPr>
      </w:pPr>
    </w:p>
    <w:p>
      <w:pPr>
        <w:jc w:val="both"/>
        <w:ind w:firstLine="522"/>
        <w:spacing w:after="0" w:line="264" w:lineRule="auto"/>
        <w:rPr>
          <w:sz w:val="20"/>
          <w:szCs w:val="20"/>
          <w:color w:val="auto"/>
        </w:rPr>
      </w:pPr>
      <w:r>
        <w:rPr>
          <w:rFonts w:ascii="Arial" w:cs="Arial" w:eastAsia="Arial" w:hAnsi="Arial"/>
          <w:sz w:val="18"/>
          <w:szCs w:val="18"/>
          <w:color w:val="auto"/>
        </w:rPr>
        <w:t>Nonperforming assets, of $392.6 million, which excludes assets of SCB that were covered by the loss sharing agreement with the FDIC, increased to 4.67% of total assets as of June 30, 2009, compared to 1.84% as of June 30, 2008 and 2.94% as of December 31, 2008. This increase was primarily the reflection of the continuing effects of declining home sales in United’s markets.</w:t>
      </w:r>
    </w:p>
    <w:p>
      <w:pPr>
        <w:spacing w:after="0" w:line="208" w:lineRule="exact"/>
        <w:rPr>
          <w:sz w:val="20"/>
          <w:szCs w:val="20"/>
          <w:color w:val="auto"/>
        </w:rPr>
      </w:pPr>
    </w:p>
    <w:p>
      <w:pPr>
        <w:jc w:val="both"/>
        <w:ind w:firstLine="522"/>
        <w:spacing w:after="0" w:line="273" w:lineRule="auto"/>
        <w:rPr>
          <w:sz w:val="20"/>
          <w:szCs w:val="20"/>
          <w:color w:val="auto"/>
        </w:rPr>
      </w:pPr>
      <w:r>
        <w:rPr>
          <w:rFonts w:ascii="Arial" w:cs="Arial" w:eastAsia="Arial" w:hAnsi="Arial"/>
          <w:sz w:val="17"/>
          <w:szCs w:val="17"/>
          <w:color w:val="auto"/>
        </w:rPr>
        <w:t>Fee revenue, excluding the gain from the acquisition of SCB, decreased $2.1 million, or 14%, and $3.4 million, or 12%, from the second quarter and first six months of 2008, respectively. With the exception of mortgage fees, all other fee revenue sources decreased from the respective periods in 2008. Mortgage fees were up $623,000, or 28%, and $1.3 million, or 31% for the quarter and year-to-date, respectively, reflecting higher refinancing activity resulting from the low interest rate environment. In terms of mortgage production, United closed 1,008 loans totaling $168 million in the second quarter of 2009, setting a new company record for the number of loans closed. For the first six months of 2009, 2,004 loans were closed, representing $342 million. The decrease in the other fee revenue categories primarily reflects the weak economy.</w:t>
      </w:r>
    </w:p>
    <w:p>
      <w:pPr>
        <w:spacing w:after="0" w:line="205" w:lineRule="exact"/>
        <w:rPr>
          <w:sz w:val="20"/>
          <w:szCs w:val="20"/>
          <w:color w:val="auto"/>
        </w:rPr>
      </w:pPr>
    </w:p>
    <w:p>
      <w:pPr>
        <w:jc w:val="both"/>
        <w:ind w:firstLine="502"/>
        <w:spacing w:after="0" w:line="255" w:lineRule="auto"/>
        <w:rPr>
          <w:sz w:val="20"/>
          <w:szCs w:val="20"/>
          <w:color w:val="auto"/>
        </w:rPr>
      </w:pPr>
      <w:r>
        <w:rPr>
          <w:rFonts w:ascii="Arial" w:cs="Arial" w:eastAsia="Arial" w:hAnsi="Arial"/>
          <w:sz w:val="18"/>
          <w:szCs w:val="18"/>
          <w:color w:val="auto"/>
        </w:rPr>
        <w:t>Operating expenses increased $5.6 million, or 11%, from the second quarter of 2008. Excluding the $70 million goodwill impairment charge and $2.9 million in severance costs in the first quarter of 2009, operating expenses for the first six months of 2009 increased 10.6 million, or 11%, from the same period of 2008. Both the quarter and year-to-date increases were primarily due to higher expenses associated with, and write-downs on, foreclosed real estate properties and higher FDIC insurance premiums. Effective January 1, 2009, the FDIC raised deposit insurance rates on all insured depository institutions by seven basis points on the balance of insured deposits. United’s second quarter expenses also includes a one-time special assessment of $3.7 million that will be paid in September.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622"/>
        <w:spacing w:after="0" w:line="273" w:lineRule="auto"/>
        <w:rPr>
          <w:sz w:val="20"/>
          <w:szCs w:val="20"/>
          <w:color w:val="auto"/>
        </w:rPr>
      </w:pPr>
      <w:r>
        <w:rPr>
          <w:rFonts w:ascii="Arial" w:cs="Arial" w:eastAsia="Arial" w:hAnsi="Arial"/>
          <w:sz w:val="17"/>
          <w:szCs w:val="17"/>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intangible assets and income taxes. In particular, United’s accounting policies related to allowance for loan losses, intangibles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570"/>
        <w:spacing w:after="0" w:line="286" w:lineRule="auto"/>
        <w:rPr>
          <w:sz w:val="20"/>
          <w:szCs w:val="20"/>
          <w:color w:val="auto"/>
        </w:rPr>
      </w:pPr>
      <w:r>
        <w:rPr>
          <w:rFonts w:ascii="Arial" w:cs="Arial" w:eastAsia="Arial" w:hAnsi="Arial"/>
          <w:sz w:val="17"/>
          <w:szCs w:val="17"/>
          <w:color w:val="auto"/>
        </w:rPr>
        <w:t>United reported a net loss of $16.0 million for the second quarter of 2009, which included a non-recurring gain on the acquisition of SCB of $11.4 million. This compared to net income of $7.1 million for the same period in 2008. The second quarter 2009 diluted loss per share was $.38, which included $.15 in earnings related to the gain on acquisition. This compared to diluted earnings per share of $.15 for the second quarter of 2008.</w:t>
      </w:r>
    </w:p>
    <w:p>
      <w:pPr>
        <w:spacing w:after="0" w:line="193" w:lineRule="exact"/>
        <w:rPr>
          <w:sz w:val="20"/>
          <w:szCs w:val="20"/>
          <w:color w:val="auto"/>
        </w:rPr>
      </w:pPr>
    </w:p>
    <w:p>
      <w:pPr>
        <w:jc w:val="both"/>
        <w:ind w:firstLine="541"/>
        <w:spacing w:after="0" w:line="273" w:lineRule="auto"/>
        <w:rPr>
          <w:sz w:val="20"/>
          <w:szCs w:val="20"/>
          <w:color w:val="auto"/>
        </w:rPr>
      </w:pPr>
      <w:r>
        <w:rPr>
          <w:rFonts w:ascii="Arial" w:cs="Arial" w:eastAsia="Arial" w:hAnsi="Arial"/>
          <w:sz w:val="17"/>
          <w:szCs w:val="17"/>
          <w:color w:val="auto"/>
        </w:rPr>
        <w:t>For the first six months of 2009, United reported a net loss of $119.8 million, which included the $11.4 million gain on acquisition, a non-recurring, non-cash goodwill impairment charge of $70 million and non-recurring severance costs of $2.9 million. Net income for the same period in 2008 was $23.2 million. Diluted loss per share for the six months ended June 30, 2009 was $2.57, of which $.15 in earnings per share was related to the gain on acquisition and $1.44 and $.04 in loss per share were related to the goodwill impairment charge and severance costs, respectively. This compared to diluted earnings per share of $.49 for the first six months of 2008. The net losses in the second quarter and first six months of 2009 reflect a higher provision for loan losses related to the continuing effect of the economic recession and the weak residential construction and housing markets.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520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1714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vMerge w:val="restart"/>
          </w:tcPr>
          <w:p>
            <w:pPr>
              <w:jc w:val="right"/>
              <w:ind w:right="53"/>
              <w:spacing w:after="0"/>
              <w:rPr>
                <w:sz w:val="20"/>
                <w:szCs w:val="20"/>
                <w:color w:val="auto"/>
              </w:rPr>
            </w:pPr>
            <w:r>
              <w:rPr>
                <w:rFonts w:ascii="Arial" w:cs="Arial" w:eastAsia="Arial" w:hAnsi="Arial"/>
                <w:sz w:val="13"/>
                <w:szCs w:val="13"/>
                <w:b w:val="1"/>
                <w:bCs w:val="1"/>
                <w:color w:val="auto"/>
              </w:rPr>
              <w:t>2009</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2008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Second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For the Six</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rPr>
              <w:t>Quarter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140"/>
              <w:spacing w:after="0" w:line="106" w:lineRule="exact"/>
              <w:rPr>
                <w:sz w:val="20"/>
                <w:szCs w:val="20"/>
                <w:color w:val="auto"/>
              </w:rPr>
            </w:pPr>
            <w:r>
              <w:rPr>
                <w:rFonts w:ascii="Arial" w:cs="Arial" w:eastAsia="Arial" w:hAnsi="Arial"/>
                <w:sz w:val="12"/>
                <w:szCs w:val="12"/>
                <w:b w:val="1"/>
                <w:bCs w:val="1"/>
                <w:color w:val="auto"/>
              </w:rPr>
              <w:t>YTD</w:t>
            </w:r>
          </w:p>
        </w:tc>
        <w:tc>
          <w:tcPr>
            <w:tcW w:w="0" w:type="dxa"/>
            <w:vAlign w:val="bottom"/>
          </w:tcPr>
          <w:p>
            <w:pPr>
              <w:spacing w:after="0"/>
              <w:rPr>
                <w:sz w:val="1"/>
                <w:szCs w:val="1"/>
                <w:color w:val="auto"/>
              </w:rPr>
            </w:pPr>
          </w:p>
        </w:tc>
      </w:tr>
      <w:tr>
        <w:trPr>
          <w:trHeight w:val="115"/>
        </w:trPr>
        <w:tc>
          <w:tcPr>
            <w:tcW w:w="2280" w:type="dxa"/>
            <w:vAlign w:val="bottom"/>
          </w:tcPr>
          <w:p>
            <w:pPr>
              <w:spacing w:after="0" w:line="88" w:lineRule="exact"/>
              <w:rPr>
                <w:sz w:val="20"/>
                <w:szCs w:val="20"/>
                <w:color w:val="auto"/>
              </w:rPr>
            </w:pPr>
            <w:r>
              <w:rPr>
                <w:rFonts w:ascii="Arial" w:cs="Arial" w:eastAsia="Arial" w:hAnsi="Arial"/>
                <w:sz w:val="9"/>
                <w:szCs w:val="9"/>
                <w:i w:val="1"/>
                <w:iCs w:val="1"/>
                <w:color w:val="auto"/>
              </w:rPr>
              <w:t>(in thousands, except per share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right"/>
              <w:ind w:right="460"/>
              <w:spacing w:after="0" w:line="88" w:lineRule="exact"/>
              <w:rPr>
                <w:sz w:val="20"/>
                <w:szCs w:val="20"/>
                <w:color w:val="auto"/>
              </w:rPr>
            </w:pPr>
            <w:r>
              <w:rPr>
                <w:rFonts w:ascii="Arial" w:cs="Arial" w:eastAsia="Arial" w:hAnsi="Arial"/>
                <w:sz w:val="9"/>
                <w:szCs w:val="9"/>
                <w:b w:val="1"/>
                <w:bCs w:val="1"/>
                <w:color w:val="auto"/>
              </w:rPr>
              <w:t>Second</w:t>
            </w:r>
          </w:p>
        </w:tc>
        <w:tc>
          <w:tcPr>
            <w:tcW w:w="100" w:type="dxa"/>
            <w:vAlign w:val="bottom"/>
          </w:tcPr>
          <w:p>
            <w:pPr>
              <w:spacing w:after="0"/>
              <w:rPr>
                <w:sz w:val="10"/>
                <w:szCs w:val="10"/>
                <w:color w:val="auto"/>
              </w:rPr>
            </w:pPr>
          </w:p>
        </w:tc>
        <w:tc>
          <w:tcPr>
            <w:tcW w:w="660" w:type="dxa"/>
            <w:vAlign w:val="bottom"/>
          </w:tcPr>
          <w:p>
            <w:pPr>
              <w:jc w:val="right"/>
              <w:ind w:right="197"/>
              <w:spacing w:after="0" w:line="88" w:lineRule="exact"/>
              <w:rPr>
                <w:sz w:val="20"/>
                <w:szCs w:val="20"/>
                <w:color w:val="auto"/>
              </w:rPr>
            </w:pPr>
            <w:r>
              <w:rPr>
                <w:rFonts w:ascii="Arial" w:cs="Arial" w:eastAsia="Arial" w:hAnsi="Arial"/>
                <w:sz w:val="9"/>
                <w:szCs w:val="9"/>
                <w:b w:val="1"/>
                <w:bCs w:val="1"/>
                <w:color w:val="auto"/>
              </w:rPr>
              <w:t>First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88" w:lineRule="exact"/>
              <w:rPr>
                <w:sz w:val="20"/>
                <w:szCs w:val="20"/>
                <w:color w:val="auto"/>
              </w:rPr>
            </w:pPr>
            <w:r>
              <w:rPr>
                <w:rFonts w:ascii="Arial" w:cs="Arial" w:eastAsia="Arial" w:hAnsi="Arial"/>
                <w:sz w:val="9"/>
                <w:szCs w:val="9"/>
                <w:b w:val="1"/>
                <w:bCs w:val="1"/>
                <w:color w:val="auto"/>
              </w:rPr>
              <w:t>Fourth</w:t>
            </w:r>
          </w:p>
        </w:tc>
        <w:tc>
          <w:tcPr>
            <w:tcW w:w="120" w:type="dxa"/>
            <w:vAlign w:val="bottom"/>
          </w:tcPr>
          <w:p>
            <w:pPr>
              <w:spacing w:after="0"/>
              <w:rPr>
                <w:sz w:val="10"/>
                <w:szCs w:val="10"/>
                <w:color w:val="auto"/>
              </w:rPr>
            </w:pPr>
          </w:p>
        </w:tc>
        <w:tc>
          <w:tcPr>
            <w:tcW w:w="900" w:type="dxa"/>
            <w:vAlign w:val="bottom"/>
            <w:gridSpan w:val="2"/>
          </w:tcPr>
          <w:p>
            <w:pPr>
              <w:jc w:val="center"/>
              <w:ind w:right="360"/>
              <w:spacing w:after="0" w:line="88" w:lineRule="exact"/>
              <w:rPr>
                <w:sz w:val="20"/>
                <w:szCs w:val="20"/>
                <w:color w:val="auto"/>
              </w:rPr>
            </w:pPr>
            <w:r>
              <w:rPr>
                <w:rFonts w:ascii="Arial" w:cs="Arial" w:eastAsia="Arial" w:hAnsi="Arial"/>
                <w:sz w:val="9"/>
                <w:szCs w:val="9"/>
                <w:b w:val="1"/>
                <w:bCs w:val="1"/>
                <w:color w:val="auto"/>
              </w:rPr>
              <w:t>Third</w:t>
            </w:r>
          </w:p>
        </w:tc>
        <w:tc>
          <w:tcPr>
            <w:tcW w:w="120" w:type="dxa"/>
            <w:vAlign w:val="bottom"/>
          </w:tcPr>
          <w:p>
            <w:pPr>
              <w:spacing w:after="0"/>
              <w:rPr>
                <w:sz w:val="10"/>
                <w:szCs w:val="10"/>
                <w:color w:val="auto"/>
              </w:rPr>
            </w:pPr>
          </w:p>
        </w:tc>
        <w:tc>
          <w:tcPr>
            <w:tcW w:w="680" w:type="dxa"/>
            <w:vAlign w:val="bottom"/>
          </w:tcPr>
          <w:p>
            <w:pPr>
              <w:jc w:val="right"/>
              <w:ind w:right="137"/>
              <w:spacing w:after="0" w:line="88" w:lineRule="exact"/>
              <w:rPr>
                <w:sz w:val="20"/>
                <w:szCs w:val="20"/>
                <w:color w:val="auto"/>
              </w:rPr>
            </w:pPr>
            <w:r>
              <w:rPr>
                <w:rFonts w:ascii="Arial" w:cs="Arial" w:eastAsia="Arial" w:hAnsi="Arial"/>
                <w:sz w:val="9"/>
                <w:szCs w:val="9"/>
                <w:b w:val="1"/>
                <w:bCs w:val="1"/>
                <w:color w:val="auto"/>
              </w:rPr>
              <w:t>Second</w:t>
            </w:r>
          </w:p>
        </w:tc>
        <w:tc>
          <w:tcPr>
            <w:tcW w:w="200" w:type="dxa"/>
            <w:vAlign w:val="bottom"/>
          </w:tcPr>
          <w:p>
            <w:pPr>
              <w:spacing w:after="0"/>
              <w:rPr>
                <w:sz w:val="10"/>
                <w:szCs w:val="10"/>
                <w:color w:val="auto"/>
              </w:rPr>
            </w:pPr>
          </w:p>
        </w:tc>
        <w:tc>
          <w:tcPr>
            <w:tcW w:w="800" w:type="dxa"/>
            <w:vAlign w:val="bottom"/>
          </w:tcPr>
          <w:p>
            <w:pPr>
              <w:jc w:val="center"/>
              <w:spacing w:after="0" w:line="88" w:lineRule="exact"/>
              <w:rPr>
                <w:sz w:val="20"/>
                <w:szCs w:val="20"/>
                <w:color w:val="auto"/>
              </w:rPr>
            </w:pPr>
            <w:r>
              <w:rPr>
                <w:rFonts w:ascii="Arial" w:cs="Arial" w:eastAsia="Arial" w:hAnsi="Arial"/>
                <w:sz w:val="9"/>
                <w:szCs w:val="9"/>
                <w:b w:val="1"/>
                <w:bCs w:val="1"/>
                <w:color w:val="auto"/>
              </w:rPr>
              <w:t>2009-2008</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gridSpan w:val="5"/>
          </w:tcPr>
          <w:p>
            <w:pPr>
              <w:jc w:val="right"/>
              <w:ind w:right="720"/>
              <w:spacing w:after="0" w:line="88" w:lineRule="exact"/>
              <w:rPr>
                <w:sz w:val="20"/>
                <w:szCs w:val="20"/>
                <w:color w:val="auto"/>
              </w:rPr>
            </w:pPr>
            <w:r>
              <w:rPr>
                <w:rFonts w:ascii="Arial" w:cs="Arial" w:eastAsia="Arial" w:hAnsi="Arial"/>
                <w:sz w:val="9"/>
                <w:szCs w:val="9"/>
                <w:b w:val="1"/>
                <w:bCs w:val="1"/>
                <w:color w:val="auto"/>
              </w:rPr>
              <w:t>Months Ended</w:t>
            </w:r>
          </w:p>
        </w:tc>
        <w:tc>
          <w:tcPr>
            <w:tcW w:w="800" w:type="dxa"/>
            <w:vAlign w:val="bottom"/>
          </w:tcPr>
          <w:p>
            <w:pPr>
              <w:jc w:val="center"/>
              <w:spacing w:after="0" w:line="88" w:lineRule="exact"/>
              <w:rPr>
                <w:sz w:val="20"/>
                <w:szCs w:val="20"/>
                <w:color w:val="auto"/>
              </w:rPr>
            </w:pPr>
            <w:r>
              <w:rPr>
                <w:rFonts w:ascii="Arial" w:cs="Arial" w:eastAsia="Arial" w:hAnsi="Arial"/>
                <w:sz w:val="9"/>
                <w:szCs w:val="9"/>
                <w:b w:val="1"/>
                <w:bCs w:val="1"/>
                <w:color w:val="auto"/>
              </w:rPr>
              <w:t>2009-2008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35" w:lineRule="exact"/>
              <w:rPr>
                <w:sz w:val="20"/>
                <w:szCs w:val="20"/>
                <w:color w:val="auto"/>
              </w:rPr>
            </w:pPr>
            <w:r>
              <w:rPr>
                <w:rFonts w:ascii="Arial" w:cs="Arial" w:eastAsia="Arial" w:hAnsi="Arial"/>
                <w:sz w:val="13"/>
                <w:szCs w:val="13"/>
                <w:i w:val="1"/>
                <w:iCs w:val="1"/>
                <w:color w:val="auto"/>
              </w:rPr>
              <w:t>data; taxable equivalent)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420"/>
              <w:spacing w:after="0" w:line="135" w:lineRule="exact"/>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Quarter</w:t>
            </w: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w w:val="97"/>
              </w:rPr>
              <w:t>Quarter</w:t>
            </w: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3"/>
              </w:rPr>
              <w:t>Quarter</w:t>
            </w: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rPr>
              <w:t>Quarter</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Change</w:t>
            </w: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auto"/>
              </w:rPr>
              <w:t>2009</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auto"/>
                <w:w w:val="96"/>
              </w:rPr>
              <w:t>2008</w:t>
            </w:r>
          </w:p>
        </w:tc>
        <w:tc>
          <w:tcPr>
            <w:tcW w:w="200" w:type="dxa"/>
            <w:vAlign w:val="bottom"/>
          </w:tcPr>
          <w:p>
            <w:pPr>
              <w:spacing w:after="0"/>
              <w:rPr>
                <w:sz w:val="12"/>
                <w:szCs w:val="12"/>
                <w:color w:val="auto"/>
              </w:rPr>
            </w:pP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27"/>
        </w:trPr>
        <w:tc>
          <w:tcPr>
            <w:tcW w:w="22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INCOME SUMMARY</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auto"/>
              </w:rPr>
              <w:t>Interest revenue</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102,737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103,562</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108,434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112,510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116,984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206,299</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246,025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20"/>
                <w:szCs w:val="20"/>
                <w:color w:val="auto"/>
              </w:rPr>
            </w:pPr>
            <w:r>
              <w:rPr>
                <w:rFonts w:ascii="Arial" w:cs="Arial" w:eastAsia="Arial" w:hAnsi="Arial"/>
                <w:sz w:val="13"/>
                <w:szCs w:val="13"/>
                <w:color w:val="auto"/>
              </w:rPr>
              <w:t>Interest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41,855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46,150</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56,561</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53,719</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55,231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88,005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117,985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280" w:type="dxa"/>
            <w:vAlign w:val="bottom"/>
          </w:tcPr>
          <w:p>
            <w:pPr>
              <w:ind w:left="180"/>
              <w:spacing w:after="0" w:line="146" w:lineRule="exact"/>
              <w:rPr>
                <w:sz w:val="20"/>
                <w:szCs w:val="20"/>
                <w:color w:val="auto"/>
              </w:rPr>
            </w:pPr>
            <w:r>
              <w:rPr>
                <w:rFonts w:ascii="Arial" w:cs="Arial" w:eastAsia="Arial" w:hAnsi="Arial"/>
                <w:sz w:val="13"/>
                <w:szCs w:val="13"/>
                <w:color w:val="auto"/>
              </w:rPr>
              <w:t>Net interest revenue</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60,882</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57,412</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51,873</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58,791</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61,753</w:t>
            </w:r>
          </w:p>
        </w:tc>
        <w:tc>
          <w:tcPr>
            <w:tcW w:w="200" w:type="dxa"/>
            <w:vAlign w:val="bottom"/>
          </w:tcPr>
          <w:p>
            <w:pPr>
              <w:spacing w:after="0"/>
              <w:rPr>
                <w:sz w:val="13"/>
                <w:szCs w:val="13"/>
                <w:color w:val="auto"/>
              </w:rPr>
            </w:pPr>
          </w:p>
        </w:tc>
        <w:tc>
          <w:tcPr>
            <w:tcW w:w="10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118,294</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128,040</w:t>
            </w:r>
          </w:p>
        </w:tc>
        <w:tc>
          <w:tcPr>
            <w:tcW w:w="200" w:type="dxa"/>
            <w:vAlign w:val="bottom"/>
          </w:tcPr>
          <w:p>
            <w:pPr>
              <w:spacing w:after="0"/>
              <w:rPr>
                <w:sz w:val="13"/>
                <w:szCs w:val="13"/>
                <w:color w:val="auto"/>
              </w:rPr>
            </w:pPr>
          </w:p>
        </w:tc>
        <w:tc>
          <w:tcPr>
            <w:tcW w:w="9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7"/>
        </w:trPr>
        <w:tc>
          <w:tcPr>
            <w:tcW w:w="2280" w:type="dxa"/>
            <w:vAlign w:val="bottom"/>
          </w:tcPr>
          <w:p>
            <w:pPr>
              <w:spacing w:after="0"/>
              <w:rPr>
                <w:sz w:val="20"/>
                <w:szCs w:val="20"/>
                <w:color w:val="auto"/>
              </w:rPr>
            </w:pPr>
            <w:r>
              <w:rPr>
                <w:rFonts w:ascii="Arial" w:cs="Arial" w:eastAsia="Arial" w:hAnsi="Arial"/>
                <w:sz w:val="13"/>
                <w:szCs w:val="13"/>
                <w:color w:val="auto"/>
              </w:rPr>
              <w:t>Provision for loan 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60,000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65,000</w:t>
            </w:r>
          </w:p>
        </w:tc>
        <w:tc>
          <w:tcPr>
            <w:tcW w:w="12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85,000</w:t>
            </w:r>
          </w:p>
        </w:tc>
        <w:tc>
          <w:tcPr>
            <w:tcW w:w="1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76,000</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15,500</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125,000</w:t>
            </w:r>
          </w:p>
        </w:tc>
        <w:tc>
          <w:tcPr>
            <w:tcW w:w="2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23,000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line="166" w:lineRule="exact"/>
              <w:rPr>
                <w:sz w:val="20"/>
                <w:szCs w:val="20"/>
                <w:color w:val="auto"/>
              </w:rPr>
            </w:pPr>
            <w:r>
              <w:rPr>
                <w:rFonts w:ascii="Arial" w:cs="Arial" w:eastAsia="Arial" w:hAnsi="Arial"/>
                <w:sz w:val="13"/>
                <w:szCs w:val="13"/>
                <w:color w:val="auto"/>
              </w:rPr>
              <w:t xml:space="preserve">Operating fee revenue </w:t>
            </w:r>
            <w:r>
              <w:rPr>
                <w:rFonts w:ascii="Arial" w:cs="Arial" w:eastAsia="Arial" w:hAnsi="Arial"/>
                <w:sz w:val="17"/>
                <w:szCs w:val="17"/>
                <w:color w:val="auto"/>
                <w:vertAlign w:val="superscript"/>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13,050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12,846</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10,718</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13,121</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15,105</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25,896</w:t>
            </w:r>
          </w:p>
        </w:tc>
        <w:tc>
          <w:tcPr>
            <w:tcW w:w="2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29,302</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2"/>
        </w:trPr>
        <w:tc>
          <w:tcPr>
            <w:tcW w:w="2280" w:type="dxa"/>
            <w:vAlign w:val="bottom"/>
          </w:tcPr>
          <w:p>
            <w:pPr>
              <w:ind w:left="180"/>
              <w:spacing w:after="0" w:line="132" w:lineRule="exact"/>
              <w:rPr>
                <w:sz w:val="20"/>
                <w:szCs w:val="20"/>
                <w:color w:val="auto"/>
              </w:rPr>
            </w:pPr>
            <w:r>
              <w:rPr>
                <w:rFonts w:ascii="Arial" w:cs="Arial" w:eastAsia="Arial" w:hAnsi="Arial"/>
                <w:sz w:val="13"/>
                <w:szCs w:val="13"/>
                <w:b w:val="1"/>
                <w:bCs w:val="1"/>
                <w:color w:val="auto"/>
              </w:rPr>
              <w:t>Total operating revenue</w:t>
            </w: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20"/>
              <w:spacing w:after="0" w:line="132" w:lineRule="exact"/>
              <w:rPr>
                <w:sz w:val="20"/>
                <w:szCs w:val="20"/>
                <w:color w:val="auto"/>
              </w:rPr>
            </w:pPr>
            <w:r>
              <w:rPr>
                <w:rFonts w:ascii="Arial" w:cs="Arial" w:eastAsia="Arial" w:hAnsi="Arial"/>
                <w:sz w:val="13"/>
                <w:szCs w:val="13"/>
                <w:color w:val="auto"/>
              </w:rPr>
              <w:t>13,932</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5,258</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(22,409)</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(4,088)</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61,358</w:t>
            </w: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2" w:lineRule="exact"/>
              <w:rPr>
                <w:sz w:val="20"/>
                <w:szCs w:val="20"/>
                <w:color w:val="auto"/>
              </w:rPr>
            </w:pPr>
            <w:r>
              <w:rPr>
                <w:rFonts w:ascii="Arial" w:cs="Arial" w:eastAsia="Arial" w:hAnsi="Arial"/>
                <w:sz w:val="13"/>
                <w:szCs w:val="13"/>
                <w:color w:val="auto"/>
              </w:rPr>
              <w:t>NM</w:t>
            </w: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19,190</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134,342</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2"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3"/>
        </w:trPr>
        <w:tc>
          <w:tcPr>
            <w:tcW w:w="2280" w:type="dxa"/>
            <w:vAlign w:val="bottom"/>
          </w:tcPr>
          <w:p>
            <w:pPr>
              <w:spacing w:after="0" w:line="166" w:lineRule="exact"/>
              <w:rPr>
                <w:sz w:val="20"/>
                <w:szCs w:val="20"/>
                <w:color w:val="auto"/>
              </w:rPr>
            </w:pPr>
            <w:r>
              <w:rPr>
                <w:rFonts w:ascii="Arial" w:cs="Arial" w:eastAsia="Arial" w:hAnsi="Arial"/>
                <w:sz w:val="13"/>
                <w:szCs w:val="13"/>
                <w:color w:val="auto"/>
              </w:rPr>
              <w:t xml:space="preserve">Operating expenses </w:t>
            </w:r>
            <w:r>
              <w:rPr>
                <w:rFonts w:ascii="Arial" w:cs="Arial" w:eastAsia="Arial" w:hAnsi="Arial"/>
                <w:sz w:val="17"/>
                <w:szCs w:val="17"/>
                <w:color w:val="auto"/>
                <w:vertAlign w:val="superscript"/>
              </w:rPr>
              <w:t>(2)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55,348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52,569</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52,439</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56,970</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49,761</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107,917</w:t>
            </w:r>
          </w:p>
        </w:tc>
        <w:tc>
          <w:tcPr>
            <w:tcW w:w="2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97,290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0"/>
        </w:trPr>
        <w:tc>
          <w:tcPr>
            <w:tcW w:w="2280" w:type="dxa"/>
            <w:vAlign w:val="bottom"/>
          </w:tcPr>
          <w:p>
            <w:pPr>
              <w:ind w:left="180"/>
              <w:spacing w:after="0" w:line="146" w:lineRule="exact"/>
              <w:rPr>
                <w:sz w:val="20"/>
                <w:szCs w:val="20"/>
                <w:color w:val="auto"/>
              </w:rPr>
            </w:pPr>
            <w:r>
              <w:rPr>
                <w:rFonts w:ascii="Arial" w:cs="Arial" w:eastAsia="Arial" w:hAnsi="Arial"/>
                <w:sz w:val="13"/>
                <w:szCs w:val="13"/>
                <w:color w:val="auto"/>
                <w:w w:val="97"/>
              </w:rPr>
              <w:t>Operating (loss) income before taxes</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(41,416)</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(47,311)</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(74,848)</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(61,058)</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11,597</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NM</w:t>
            </w: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(88,727)</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37,052</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20"/>
                <w:szCs w:val="20"/>
                <w:color w:val="auto"/>
              </w:rPr>
            </w:pPr>
            <w:r>
              <w:rPr>
                <w:rFonts w:ascii="Arial" w:cs="Arial" w:eastAsia="Arial" w:hAnsi="Arial"/>
                <w:sz w:val="13"/>
                <w:szCs w:val="13"/>
                <w:color w:val="auto"/>
              </w:rPr>
              <w:t>Income tax (benefit) 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(18,353)</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(15,335)</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(28,101)</w:t>
            </w:r>
          </w:p>
        </w:tc>
        <w:tc>
          <w:tcPr>
            <w:tcW w:w="12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(21,184)</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4,504</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(33,688)</w:t>
            </w:r>
          </w:p>
        </w:tc>
        <w:tc>
          <w:tcPr>
            <w:tcW w:w="2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13,881</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2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 xml:space="preserve">Net operating (loss) income </w:t>
            </w:r>
            <w:r>
              <w:rPr>
                <w:rFonts w:ascii="Arial" w:cs="Arial" w:eastAsia="Arial" w:hAnsi="Arial"/>
                <w:sz w:val="17"/>
                <w:szCs w:val="17"/>
                <w:b w:val="1"/>
                <w:bCs w:val="1"/>
                <w:color w:val="auto"/>
                <w:vertAlign w:val="superscript"/>
              </w:rPr>
              <w:t>(1)(2)</w:t>
            </w: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(23,063)</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(31,976)</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(46,747)</w:t>
            </w: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(39,874)</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7,093</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NM</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(55,039)</w:t>
            </w: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23,171</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4"/>
        </w:trPr>
        <w:tc>
          <w:tcPr>
            <w:tcW w:w="2280" w:type="dxa"/>
            <w:vAlign w:val="bottom"/>
          </w:tcPr>
          <w:p>
            <w:pPr>
              <w:spacing w:after="0"/>
              <w:rPr>
                <w:sz w:val="20"/>
                <w:szCs w:val="20"/>
                <w:color w:val="auto"/>
              </w:rPr>
            </w:pPr>
            <w:r>
              <w:rPr>
                <w:rFonts w:ascii="Arial" w:cs="Arial" w:eastAsia="Arial" w:hAnsi="Arial"/>
                <w:sz w:val="13"/>
                <w:szCs w:val="13"/>
                <w:color w:val="auto"/>
              </w:rPr>
              <w:t>Gain from acquisition, net of tax benefit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7,062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7,062</w:t>
            </w:r>
          </w:p>
        </w:tc>
        <w:tc>
          <w:tcPr>
            <w:tcW w:w="2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auto"/>
              </w:rPr>
              <w:t>Noncash goodwill impairment charge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(70,000)</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(70,000)</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20"/>
                <w:szCs w:val="20"/>
                <w:color w:val="auto"/>
              </w:rPr>
            </w:pPr>
            <w:r>
              <w:rPr>
                <w:rFonts w:ascii="Arial" w:cs="Arial" w:eastAsia="Arial" w:hAnsi="Arial"/>
                <w:sz w:val="13"/>
                <w:szCs w:val="13"/>
                <w:color w:val="auto"/>
              </w:rPr>
              <w:t>Severance costs, net of tax benefit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(1,797)</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(1,797)</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28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Net (loss) income</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(16,001)</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(103,773)</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(46,747)</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(39,874)</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7,093</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NM</w:t>
            </w: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(119,774)</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23,171</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20"/>
                <w:szCs w:val="20"/>
                <w:color w:val="auto"/>
              </w:rPr>
            </w:pPr>
            <w:r>
              <w:rPr>
                <w:rFonts w:ascii="Arial" w:cs="Arial" w:eastAsia="Arial" w:hAnsi="Arial"/>
                <w:sz w:val="13"/>
                <w:szCs w:val="13"/>
                <w:color w:val="auto"/>
                <w:w w:val="91"/>
              </w:rPr>
              <w:t>Preferred dividends and discount accretion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2,559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2,554</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712</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5,113</w:t>
            </w: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line="117" w:lineRule="exact"/>
              <w:rPr>
                <w:sz w:val="20"/>
                <w:szCs w:val="20"/>
                <w:color w:val="auto"/>
              </w:rPr>
            </w:pPr>
            <w:r>
              <w:rPr>
                <w:rFonts w:ascii="Arial" w:cs="Arial" w:eastAsia="Arial" w:hAnsi="Arial"/>
                <w:sz w:val="13"/>
                <w:szCs w:val="13"/>
                <w:b w:val="1"/>
                <w:bCs w:val="1"/>
                <w:color w:val="auto"/>
                <w:w w:val="93"/>
              </w:rPr>
              <w:t>Net (loss) income available to common</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180"/>
              <w:spacing w:after="0"/>
              <w:rPr>
                <w:sz w:val="20"/>
                <w:szCs w:val="20"/>
                <w:color w:val="auto"/>
              </w:rPr>
            </w:pPr>
            <w:r>
              <w:rPr>
                <w:rFonts w:ascii="Arial" w:cs="Arial" w:eastAsia="Arial" w:hAnsi="Arial"/>
                <w:sz w:val="13"/>
                <w:szCs w:val="13"/>
                <w:b w:val="1"/>
                <w:bCs w:val="1"/>
                <w:color w:val="auto"/>
              </w:rPr>
              <w:t>shareholders</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(18,560)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(106,327)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(47,459)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(39,878)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7,089</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NM</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(124,887)</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23,163</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1"/>
        </w:trPr>
        <w:tc>
          <w:tcPr>
            <w:tcW w:w="2280" w:type="dxa"/>
            <w:vAlign w:val="bottom"/>
            <w:vMerge w:val="restart"/>
          </w:tcPr>
          <w:p>
            <w:pPr>
              <w:spacing w:after="0"/>
              <w:rPr>
                <w:sz w:val="20"/>
                <w:szCs w:val="20"/>
                <w:color w:val="auto"/>
              </w:rPr>
            </w:pPr>
            <w:r>
              <w:rPr>
                <w:rFonts w:ascii="Arial" w:cs="Arial" w:eastAsia="Arial" w:hAnsi="Arial"/>
                <w:sz w:val="13"/>
                <w:szCs w:val="13"/>
                <w:b w:val="1"/>
                <w:bCs w:val="1"/>
                <w:color w:val="auto"/>
              </w:rPr>
              <w:t>PERFORMANCE MEASURES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rPr>
                <w:sz w:val="20"/>
                <w:szCs w:val="20"/>
                <w:color w:val="auto"/>
              </w:rPr>
            </w:pPr>
            <w:r>
              <w:rPr>
                <w:rFonts w:ascii="Arial" w:cs="Arial" w:eastAsia="Arial" w:hAnsi="Arial"/>
                <w:sz w:val="13"/>
                <w:szCs w:val="13"/>
                <w:color w:val="auto"/>
              </w:rPr>
              <w:t>Per common share: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340"/>
              <w:spacing w:after="0" w:line="151" w:lineRule="exact"/>
              <w:rPr>
                <w:sz w:val="20"/>
                <w:szCs w:val="20"/>
                <w:color w:val="auto"/>
              </w:rPr>
            </w:pPr>
            <w:r>
              <w:rPr>
                <w:rFonts w:ascii="Arial" w:cs="Arial" w:eastAsia="Arial" w:hAnsi="Arial"/>
                <w:sz w:val="13"/>
                <w:szCs w:val="13"/>
                <w:color w:val="auto"/>
                <w:w w:val="87"/>
              </w:rPr>
              <w:t xml:space="preserve">Diluted operating (loss) earnings </w:t>
            </w:r>
            <w:r>
              <w:rPr>
                <w:rFonts w:ascii="Arial" w:cs="Arial" w:eastAsia="Arial" w:hAnsi="Arial"/>
                <w:sz w:val="17"/>
                <w:szCs w:val="17"/>
                <w:color w:val="auto"/>
                <w:w w:val="87"/>
                <w:vertAlign w:val="superscript"/>
              </w:rPr>
              <w:t>(1)(2)</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NM</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(1.24)</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0"/>
        </w:trPr>
        <w:tc>
          <w:tcPr>
            <w:tcW w:w="2280" w:type="dxa"/>
            <w:vAlign w:val="bottom"/>
          </w:tcPr>
          <w:p>
            <w:pPr>
              <w:ind w:left="340"/>
              <w:spacing w:after="0"/>
              <w:rPr>
                <w:sz w:val="20"/>
                <w:szCs w:val="20"/>
                <w:color w:val="auto"/>
              </w:rPr>
            </w:pPr>
            <w:r>
              <w:rPr>
                <w:rFonts w:ascii="Arial" w:cs="Arial" w:eastAsia="Arial" w:hAnsi="Arial"/>
                <w:sz w:val="13"/>
                <w:szCs w:val="13"/>
                <w:color w:val="auto"/>
              </w:rPr>
              <w:t>Diluted (loss) earnings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NM</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(2.57)</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16"/>
        </w:trPr>
        <w:tc>
          <w:tcPr>
            <w:tcW w:w="2280" w:type="dxa"/>
            <w:vAlign w:val="bottom"/>
          </w:tcPr>
          <w:p>
            <w:pPr>
              <w:ind w:left="340"/>
              <w:spacing w:after="0"/>
              <w:rPr>
                <w:sz w:val="20"/>
                <w:szCs w:val="20"/>
                <w:color w:val="auto"/>
              </w:rPr>
            </w:pPr>
            <w:r>
              <w:rPr>
                <w:rFonts w:ascii="Arial" w:cs="Arial" w:eastAsia="Arial" w:hAnsi="Arial"/>
                <w:sz w:val="13"/>
                <w:szCs w:val="13"/>
                <w:color w:val="auto"/>
              </w:rPr>
              <w:t>Cash dividends declared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Pr>
          <w:p>
            <w:pPr>
              <w:ind w:left="340"/>
              <w:spacing w:after="0" w:line="191" w:lineRule="exact"/>
              <w:rPr>
                <w:sz w:val="20"/>
                <w:szCs w:val="20"/>
                <w:color w:val="auto"/>
              </w:rPr>
            </w:pPr>
            <w:r>
              <w:rPr>
                <w:rFonts w:ascii="Arial" w:cs="Arial" w:eastAsia="Arial" w:hAnsi="Arial"/>
                <w:sz w:val="13"/>
                <w:szCs w:val="13"/>
                <w:color w:val="auto"/>
              </w:rPr>
              <w:t xml:space="preserve">Stock dividends declared </w:t>
            </w:r>
            <w:r>
              <w:rPr>
                <w:rFonts w:ascii="Arial" w:cs="Arial" w:eastAsia="Arial" w:hAnsi="Arial"/>
                <w:sz w:val="17"/>
                <w:szCs w:val="17"/>
                <w:color w:val="auto"/>
                <w:vertAlign w:val="superscript"/>
              </w:rPr>
              <w:t>(6)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1 for 130</w:t>
            </w:r>
          </w:p>
        </w:tc>
        <w:tc>
          <w:tcPr>
            <w:tcW w:w="10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1 for 130</w:t>
            </w:r>
          </w:p>
        </w:tc>
        <w:tc>
          <w:tcPr>
            <w:tcW w:w="12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 for 130</w:t>
            </w:r>
          </w:p>
        </w:tc>
        <w:tc>
          <w:tcPr>
            <w:tcW w:w="1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 for 130</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2 for 130</w:t>
            </w:r>
          </w:p>
        </w:tc>
        <w:tc>
          <w:tcPr>
            <w:tcW w:w="2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340"/>
              <w:spacing w:after="0" w:line="135" w:lineRule="exact"/>
              <w:rPr>
                <w:sz w:val="20"/>
                <w:szCs w:val="20"/>
                <w:color w:val="auto"/>
              </w:rPr>
            </w:pPr>
            <w:r>
              <w:rPr>
                <w:rFonts w:ascii="Arial" w:cs="Arial" w:eastAsia="Arial" w:hAnsi="Arial"/>
                <w:sz w:val="13"/>
                <w:szCs w:val="13"/>
                <w:color w:val="auto"/>
              </w:rPr>
              <w:t>Book value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14.70</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16.95</w:t>
            </w:r>
          </w:p>
        </w:tc>
        <w:tc>
          <w:tcPr>
            <w:tcW w:w="1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17.12</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17.75</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13.87</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17.75</w:t>
            </w:r>
          </w:p>
        </w:tc>
        <w:tc>
          <w:tcPr>
            <w:tcW w:w="20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0"/>
        </w:trPr>
        <w:tc>
          <w:tcPr>
            <w:tcW w:w="2280" w:type="dxa"/>
            <w:vAlign w:val="bottom"/>
          </w:tcPr>
          <w:p>
            <w:pPr>
              <w:ind w:left="340"/>
              <w:spacing w:after="0"/>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10"/>
                <w:szCs w:val="10"/>
                <w:color w:val="auto"/>
              </w:rPr>
              <w:t>(4)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8.85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9.65</w:t>
            </w: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10.39</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10.48</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11.03</w:t>
            </w:r>
          </w:p>
        </w:tc>
        <w:tc>
          <w:tcPr>
            <w:tcW w:w="2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8.85</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11.03</w:t>
            </w:r>
          </w:p>
        </w:tc>
        <w:tc>
          <w:tcPr>
            <w:tcW w:w="2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Key performance ratios: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80" w:type="dxa"/>
            <w:vAlign w:val="bottom"/>
          </w:tcPr>
          <w:p>
            <w:pPr>
              <w:ind w:left="340"/>
              <w:spacing w:after="0"/>
              <w:rPr>
                <w:sz w:val="20"/>
                <w:szCs w:val="20"/>
                <w:color w:val="auto"/>
              </w:rPr>
            </w:pPr>
            <w:r>
              <w:rPr>
                <w:rFonts w:ascii="Arial" w:cs="Arial" w:eastAsia="Arial" w:hAnsi="Arial"/>
                <w:sz w:val="13"/>
                <w:szCs w:val="13"/>
                <w:color w:val="auto"/>
              </w:rPr>
              <w:t xml:space="preserve">Return on equity </w:t>
            </w:r>
            <w:r>
              <w:rPr>
                <w:rFonts w:ascii="Arial" w:cs="Arial" w:eastAsia="Arial" w:hAnsi="Arial"/>
                <w:sz w:val="17"/>
                <w:szCs w:val="17"/>
                <w:color w:val="auto"/>
                <w:vertAlign w:val="superscript"/>
              </w:rPr>
              <w:t>(3)(5)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(58.28)%</w:t>
            </w:r>
          </w:p>
        </w:tc>
        <w:tc>
          <w:tcPr>
            <w:tcW w:w="1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(23.83)%</w:t>
            </w:r>
          </w:p>
        </w:tc>
        <w:tc>
          <w:tcPr>
            <w:tcW w:w="1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(19.07)%</w:t>
            </w:r>
          </w:p>
        </w:tc>
        <w:tc>
          <w:tcPr>
            <w:tcW w:w="12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3.41%</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(36.20)%</w:t>
            </w:r>
          </w:p>
        </w:tc>
        <w:tc>
          <w:tcPr>
            <w:tcW w:w="2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5.61%</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40"/>
              <w:spacing w:after="0"/>
              <w:rPr>
                <w:sz w:val="20"/>
                <w:szCs w:val="20"/>
                <w:color w:val="auto"/>
              </w:rPr>
            </w:pPr>
            <w:r>
              <w:rPr>
                <w:rFonts w:ascii="Arial" w:cs="Arial" w:eastAsia="Arial" w:hAnsi="Arial"/>
                <w:sz w:val="13"/>
                <w:szCs w:val="13"/>
                <w:color w:val="auto"/>
              </w:rPr>
              <w:t xml:space="preserve">Return on assets </w:t>
            </w:r>
            <w:r>
              <w:rPr>
                <w:rFonts w:ascii="Arial" w:cs="Arial" w:eastAsia="Arial" w:hAnsi="Arial"/>
                <w:sz w:val="17"/>
                <w:szCs w:val="17"/>
                <w:color w:val="auto"/>
                <w:vertAlign w:val="superscript"/>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(5.06)</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(2.93)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40"/>
              <w:spacing w:after="0"/>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3.28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2.70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3.32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3.18</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3.43</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Pr>
          <w:p>
            <w:pPr>
              <w:ind w:left="340"/>
              <w:spacing w:after="0"/>
              <w:rPr>
                <w:sz w:val="20"/>
                <w:szCs w:val="20"/>
                <w:color w:val="auto"/>
              </w:rPr>
            </w:pPr>
            <w:r>
              <w:rPr>
                <w:rFonts w:ascii="Arial" w:cs="Arial" w:eastAsia="Arial" w:hAnsi="Arial"/>
                <w:sz w:val="13"/>
                <w:szCs w:val="13"/>
                <w:color w:val="auto"/>
              </w:rPr>
              <w:t xml:space="preserve">Operating efficiency ratio </w:t>
            </w:r>
            <w:r>
              <w:rPr>
                <w:rFonts w:ascii="Arial" w:cs="Arial" w:eastAsia="Arial" w:hAnsi="Arial"/>
                <w:sz w:val="17"/>
                <w:szCs w:val="17"/>
                <w:color w:val="auto"/>
                <w:vertAlign w:val="superscript"/>
              </w:rPr>
              <w:t>(1)(2)(4)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74.15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75.15</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81.34</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79.35</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65.05</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74.63</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61.97</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340"/>
              <w:spacing w:after="0"/>
              <w:rPr>
                <w:sz w:val="20"/>
                <w:szCs w:val="20"/>
                <w:color w:val="auto"/>
              </w:rPr>
            </w:pPr>
            <w:r>
              <w:rPr>
                <w:rFonts w:ascii="Arial" w:cs="Arial" w:eastAsia="Arial" w:hAnsi="Arial"/>
                <w:sz w:val="13"/>
                <w:szCs w:val="13"/>
                <w:color w:val="auto"/>
              </w:rPr>
              <w:t>Equity to assets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10.76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10.08</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10.28</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10.33</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11.20</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10.31</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80" w:type="dxa"/>
            <w:vAlign w:val="bottom"/>
          </w:tcPr>
          <w:p>
            <w:pPr>
              <w:ind w:left="340"/>
              <w:spacing w:after="0"/>
              <w:rPr>
                <w:sz w:val="20"/>
                <w:szCs w:val="20"/>
                <w:color w:val="auto"/>
              </w:rPr>
            </w:pPr>
            <w:r>
              <w:rPr>
                <w:rFonts w:ascii="Arial" w:cs="Arial" w:eastAsia="Arial" w:hAnsi="Arial"/>
                <w:sz w:val="13"/>
                <w:szCs w:val="13"/>
                <w:color w:val="auto"/>
              </w:rPr>
              <w:t xml:space="preserve">Tangible equity to assets </w:t>
            </w:r>
            <w:r>
              <w:rPr>
                <w:rFonts w:ascii="Arial" w:cs="Arial" w:eastAsia="Arial" w:hAnsi="Arial"/>
                <w:sz w:val="17"/>
                <w:szCs w:val="17"/>
                <w:color w:val="auto"/>
                <w:vertAlign w:val="superscript"/>
              </w:rPr>
              <w:t>(4)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8.00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8.30</w:t>
            </w:r>
          </w:p>
        </w:tc>
        <w:tc>
          <w:tcPr>
            <w:tcW w:w="12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6.59</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6.77</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8.15</w:t>
            </w:r>
          </w:p>
        </w:tc>
        <w:tc>
          <w:tcPr>
            <w:tcW w:w="2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6.75</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340"/>
              <w:spacing w:after="0" w:line="151" w:lineRule="exact"/>
              <w:rPr>
                <w:sz w:val="20"/>
                <w:szCs w:val="20"/>
                <w:color w:val="auto"/>
              </w:rPr>
            </w:pPr>
            <w:r>
              <w:rPr>
                <w:rFonts w:ascii="Arial" w:cs="Arial" w:eastAsia="Arial" w:hAnsi="Arial"/>
                <w:sz w:val="13"/>
                <w:szCs w:val="13"/>
                <w:color w:val="auto"/>
                <w:w w:val="89"/>
              </w:rPr>
              <w:t xml:space="preserve">Tangible common equity to assets </w:t>
            </w:r>
            <w:r>
              <w:rPr>
                <w:rFonts w:ascii="Arial" w:cs="Arial" w:eastAsia="Arial" w:hAnsi="Arial"/>
                <w:sz w:val="17"/>
                <w:szCs w:val="17"/>
                <w:color w:val="auto"/>
                <w:w w:val="89"/>
                <w:vertAlign w:val="superscript"/>
              </w:rPr>
              <w:t>(4)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5.81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6.13</w:t>
            </w: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6.77</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5.97</w:t>
            </w:r>
          </w:p>
        </w:tc>
        <w:tc>
          <w:tcPr>
            <w:tcW w:w="2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6.75</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340"/>
              <w:spacing w:after="0" w:line="146" w:lineRule="exact"/>
              <w:rPr>
                <w:sz w:val="20"/>
                <w:szCs w:val="20"/>
                <w:color w:val="auto"/>
              </w:rPr>
            </w:pPr>
            <w:r>
              <w:rPr>
                <w:rFonts w:ascii="Arial" w:cs="Arial" w:eastAsia="Arial" w:hAnsi="Arial"/>
                <w:sz w:val="13"/>
                <w:szCs w:val="13"/>
                <w:color w:val="auto"/>
              </w:rPr>
              <w:t>Tangible common equity to risk-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280" w:type="dxa"/>
            <w:vAlign w:val="bottom"/>
          </w:tcPr>
          <w:p>
            <w:pPr>
              <w:ind w:left="500"/>
              <w:spacing w:after="0"/>
              <w:rPr>
                <w:sz w:val="20"/>
                <w:szCs w:val="20"/>
                <w:color w:val="auto"/>
              </w:rPr>
            </w:pPr>
            <w:r>
              <w:rPr>
                <w:rFonts w:ascii="Arial" w:cs="Arial" w:eastAsia="Arial" w:hAnsi="Arial"/>
                <w:sz w:val="13"/>
                <w:szCs w:val="13"/>
                <w:color w:val="auto"/>
              </w:rPr>
              <w:t xml:space="preserve">weighted assets </w:t>
            </w:r>
            <w:r>
              <w:rPr>
                <w:rFonts w:ascii="Arial" w:cs="Arial" w:eastAsia="Arial" w:hAnsi="Arial"/>
                <w:sz w:val="17"/>
                <w:szCs w:val="17"/>
                <w:color w:val="auto"/>
                <w:vertAlign w:val="superscript"/>
              </w:rPr>
              <w:t>(4)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8.03</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8.34</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8.26</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8.51</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7.48</w:t>
            </w: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8.51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20"/>
                <w:szCs w:val="20"/>
                <w:color w:val="auto"/>
              </w:rPr>
            </w:pPr>
            <w:r>
              <w:rPr>
                <w:rFonts w:ascii="Arial" w:cs="Arial" w:eastAsia="Arial" w:hAnsi="Arial"/>
                <w:sz w:val="13"/>
                <w:szCs w:val="13"/>
                <w:b w:val="1"/>
                <w:bCs w:val="1"/>
                <w:color w:val="auto"/>
              </w:rPr>
              <w:t>ASSET QUALITY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Non-performing loans (NPLs)</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287,848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259,155</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190,723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139,266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123,786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287,848</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123,786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80" w:type="dxa"/>
            <w:vAlign w:val="bottom"/>
          </w:tcPr>
          <w:p>
            <w:pPr>
              <w:ind w:left="180"/>
              <w:spacing w:after="0"/>
              <w:rPr>
                <w:sz w:val="20"/>
                <w:szCs w:val="20"/>
                <w:color w:val="auto"/>
              </w:rPr>
            </w:pPr>
            <w:r>
              <w:rPr>
                <w:rFonts w:ascii="Arial" w:cs="Arial" w:eastAsia="Arial" w:hAnsi="Arial"/>
                <w:sz w:val="13"/>
                <w:szCs w:val="13"/>
                <w:color w:val="auto"/>
              </w:rPr>
              <w:t>Foreclosed properties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104,754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75,383</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59,768</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38,438</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28,378</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104,754</w:t>
            </w: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28,378</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280" w:type="dxa"/>
            <w:vAlign w:val="bottom"/>
          </w:tcPr>
          <w:p>
            <w:pPr>
              <w:ind w:left="340"/>
              <w:spacing w:after="0"/>
              <w:rPr>
                <w:sz w:val="20"/>
                <w:szCs w:val="20"/>
                <w:color w:val="auto"/>
              </w:rPr>
            </w:pPr>
            <w:r>
              <w:rPr>
                <w:rFonts w:ascii="Arial" w:cs="Arial" w:eastAsia="Arial" w:hAnsi="Arial"/>
                <w:sz w:val="13"/>
                <w:szCs w:val="13"/>
                <w:color w:val="auto"/>
                <w:w w:val="92"/>
              </w:rPr>
              <w:t>Total non-performing assets (NPAs)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392,602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334,538</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250,491</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177,704</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152,164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392,602</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152,164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Allowance for loan losses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145,678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143,990</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122,271</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111,299</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91,035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145,678</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91,035</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Net charge-offs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58,312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43,281</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74,028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55,736</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14,313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101,593</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21,388</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Allowance for loan losses to loans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2.56%</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2.64%</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280" w:type="dxa"/>
            <w:vAlign w:val="bottom"/>
          </w:tcPr>
          <w:p>
            <w:pPr>
              <w:ind w:left="180"/>
              <w:spacing w:after="0"/>
              <w:rPr>
                <w:sz w:val="20"/>
                <w:szCs w:val="20"/>
                <w:color w:val="auto"/>
              </w:rPr>
            </w:pPr>
            <w:r>
              <w:rPr>
                <w:rFonts w:ascii="Arial" w:cs="Arial" w:eastAsia="Arial" w:hAnsi="Arial"/>
                <w:sz w:val="13"/>
                <w:szCs w:val="13"/>
                <w:color w:val="auto"/>
              </w:rPr>
              <w:t xml:space="preserve">Net charge-offs to average loans </w:t>
            </w:r>
            <w:r>
              <w:rPr>
                <w:rFonts w:ascii="Arial" w:cs="Arial" w:eastAsia="Arial" w:hAnsi="Arial"/>
                <w:sz w:val="17"/>
                <w:szCs w:val="17"/>
                <w:color w:val="auto"/>
                <w:vertAlign w:val="superscript"/>
              </w:rPr>
              <w:t>(5)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4.18</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3.09</w:t>
            </w:r>
          </w:p>
        </w:tc>
        <w:tc>
          <w:tcPr>
            <w:tcW w:w="12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3.64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180"/>
              <w:spacing w:after="0"/>
              <w:rPr>
                <w:sz w:val="20"/>
                <w:szCs w:val="20"/>
                <w:color w:val="auto"/>
              </w:rPr>
            </w:pPr>
            <w:r>
              <w:rPr>
                <w:rFonts w:ascii="Arial" w:cs="Arial" w:eastAsia="Arial" w:hAnsi="Arial"/>
                <w:sz w:val="13"/>
                <w:szCs w:val="13"/>
                <w:color w:val="auto"/>
                <w:w w:val="89"/>
              </w:rPr>
              <w:t>NPAs to loans and foreclosed properties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5.86</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4.35</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2.55</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6.99</w:t>
            </w:r>
          </w:p>
        </w:tc>
        <w:tc>
          <w:tcPr>
            <w:tcW w:w="2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2.55</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NPAs to total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4.11</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1.84</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4.67</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1.84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280" w:type="dxa"/>
            <w:vAlign w:val="bottom"/>
          </w:tcPr>
          <w:p>
            <w:pPr>
              <w:spacing w:after="0"/>
              <w:rPr>
                <w:sz w:val="20"/>
                <w:szCs w:val="20"/>
                <w:color w:val="auto"/>
              </w:rPr>
            </w:pPr>
            <w:r>
              <w:rPr>
                <w:rFonts w:ascii="Arial" w:cs="Arial" w:eastAsia="Arial" w:hAnsi="Arial"/>
                <w:sz w:val="13"/>
                <w:szCs w:val="13"/>
                <w:b w:val="1"/>
                <w:bCs w:val="1"/>
                <w:color w:val="auto"/>
              </w:rPr>
              <w:t>AVERAGE BALANCES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Loans</w:t>
            </w: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5,597,259</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5,675,054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5,784,139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5,889,168</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5,933,143</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w:t>
            </w:r>
          </w:p>
        </w:tc>
        <w:tc>
          <w:tcPr>
            <w:tcW w:w="2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5,635,942</w:t>
            </w:r>
          </w:p>
        </w:tc>
        <w:tc>
          <w:tcPr>
            <w:tcW w:w="22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5,945,720</w:t>
            </w:r>
          </w:p>
        </w:tc>
        <w:tc>
          <w:tcPr>
            <w:tcW w:w="20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1,771,482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1,712,654</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1,508,808</w:t>
            </w:r>
          </w:p>
        </w:tc>
        <w:tc>
          <w:tcPr>
            <w:tcW w:w="1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1,454,740</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1,507,240</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1,742,231</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1,496,377</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Earning 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7,442,178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7,530,230</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7,662,536</w:t>
            </w:r>
          </w:p>
        </w:tc>
        <w:tc>
          <w:tcPr>
            <w:tcW w:w="1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7,384,287</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7,478,018</w:t>
            </w: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7,485,961</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7,484,749</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Total 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8,168,147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8,312,648</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8,449,097</w:t>
            </w:r>
          </w:p>
        </w:tc>
        <w:tc>
          <w:tcPr>
            <w:tcW w:w="1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8,146,880</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8,295,748</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8,239,997</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8,300,686</w:t>
            </w:r>
          </w:p>
        </w:tc>
        <w:tc>
          <w:tcPr>
            <w:tcW w:w="20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Deposits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6,544,537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6,780,531</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6,982,229</w:t>
            </w:r>
          </w:p>
        </w:tc>
        <w:tc>
          <w:tcPr>
            <w:tcW w:w="1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6,597,339</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6,461,361</w:t>
            </w: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6,661,881</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6,256,217</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0"/>
        </w:trPr>
        <w:tc>
          <w:tcPr>
            <w:tcW w:w="2280" w:type="dxa"/>
            <w:vAlign w:val="bottom"/>
          </w:tcPr>
          <w:p>
            <w:pPr>
              <w:ind w:left="180"/>
              <w:spacing w:after="0"/>
              <w:rPr>
                <w:sz w:val="20"/>
                <w:szCs w:val="20"/>
                <w:color w:val="auto"/>
              </w:rPr>
            </w:pPr>
            <w:r>
              <w:rPr>
                <w:rFonts w:ascii="Arial" w:cs="Arial" w:eastAsia="Arial" w:hAnsi="Arial"/>
                <w:sz w:val="13"/>
                <w:szCs w:val="13"/>
                <w:color w:val="auto"/>
              </w:rPr>
              <w:t>Shareholders’ equity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879,210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967,505</w:t>
            </w: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851,956</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837,487</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856,727</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923,114</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856,193</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Common shares - basic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48,794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48,324</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47,844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47,417</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47,158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48,560</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47,105</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Common shares - diluted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48,794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48,324</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47,844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47,417</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47,249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48,560</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47,260</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280" w:type="dxa"/>
            <w:vAlign w:val="bottom"/>
          </w:tcPr>
          <w:p>
            <w:pPr>
              <w:spacing w:after="0"/>
              <w:rPr>
                <w:sz w:val="20"/>
                <w:szCs w:val="20"/>
                <w:color w:val="auto"/>
              </w:rPr>
            </w:pPr>
            <w:r>
              <w:rPr>
                <w:rFonts w:ascii="Arial" w:cs="Arial" w:eastAsia="Arial" w:hAnsi="Arial"/>
                <w:sz w:val="13"/>
                <w:szCs w:val="13"/>
                <w:b w:val="1"/>
                <w:bCs w:val="1"/>
                <w:color w:val="auto"/>
              </w:rPr>
              <w:t>AT PERIOD END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Loans</w:t>
            </w: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5,513,087</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5,632,705</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5,704,861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5,829,937</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5,933,141</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w:t>
            </w:r>
          </w:p>
        </w:tc>
        <w:tc>
          <w:tcPr>
            <w:tcW w:w="2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5,513,087</w:t>
            </w:r>
          </w:p>
        </w:tc>
        <w:tc>
          <w:tcPr>
            <w:tcW w:w="22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5,933,141</w:t>
            </w:r>
          </w:p>
        </w:tc>
        <w:tc>
          <w:tcPr>
            <w:tcW w:w="20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1,816,787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1,719,033</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1,617,187</w:t>
            </w:r>
          </w:p>
        </w:tc>
        <w:tc>
          <w:tcPr>
            <w:tcW w:w="1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1,400,827</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1,430,588</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1,816,787</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1,430,588</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Total 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8,403,046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8,140,909</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8,520,765</w:t>
            </w:r>
          </w:p>
        </w:tc>
        <w:tc>
          <w:tcPr>
            <w:tcW w:w="1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8,072,543</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8,264,051</w:t>
            </w: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8,403,046</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8,264,051</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280" w:type="dxa"/>
            <w:vAlign w:val="bottom"/>
          </w:tcPr>
          <w:p>
            <w:pPr>
              <w:ind w:left="180"/>
              <w:spacing w:after="0" w:line="135" w:lineRule="exact"/>
              <w:rPr>
                <w:sz w:val="20"/>
                <w:szCs w:val="20"/>
                <w:color w:val="auto"/>
              </w:rPr>
            </w:pPr>
            <w:r>
              <w:rPr>
                <w:rFonts w:ascii="Arial" w:cs="Arial" w:eastAsia="Arial" w:hAnsi="Arial"/>
                <w:sz w:val="13"/>
                <w:szCs w:val="13"/>
                <w:color w:val="auto"/>
              </w:rPr>
              <w:t>Deposits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6,848,760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6,616,488</w:t>
            </w:r>
          </w:p>
        </w:tc>
        <w:tc>
          <w:tcPr>
            <w:tcW w:w="12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7,003,624</w:t>
            </w:r>
          </w:p>
        </w:tc>
        <w:tc>
          <w:tcPr>
            <w:tcW w:w="1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6,689,335</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6,696,456</w:t>
            </w: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6,848,760</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6,696,456</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2280" w:type="dxa"/>
            <w:vAlign w:val="bottom"/>
          </w:tcPr>
          <w:p>
            <w:pPr>
              <w:ind w:left="180"/>
              <w:spacing w:after="0"/>
              <w:rPr>
                <w:sz w:val="20"/>
                <w:szCs w:val="20"/>
                <w:color w:val="auto"/>
              </w:rPr>
            </w:pPr>
            <w:r>
              <w:rPr>
                <w:rFonts w:ascii="Arial" w:cs="Arial" w:eastAsia="Arial" w:hAnsi="Arial"/>
                <w:sz w:val="13"/>
                <w:szCs w:val="13"/>
                <w:color w:val="auto"/>
              </w:rPr>
              <w:t>Shareholders’ equity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855,272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888,853</w:t>
            </w: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989,382</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816,880</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837,890</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855,272</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837,890</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3"/>
                <w:szCs w:val="13"/>
                <w:color w:val="auto"/>
              </w:rPr>
              <w:t>Common shares outstanding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48,933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48,487</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48,009</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47,596</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47,096</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48,933</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47,096</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20" w:firstLine="8"/>
        <w:spacing w:after="0" w:line="291"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Excludes the gain from acquisition of $11.4 million, net of income tax expense of $4.3 million in the second quarter of 2009. (2) Excludes the non-recurring goodwill impairment charge of $70 million and severance costs of $2.9 million, net of income tax benefit of $1.1 million in the first quarter of 2009.</w:t>
      </w:r>
    </w:p>
    <w:p>
      <w:pPr>
        <w:ind w:right="300" w:firstLine="8"/>
        <w:spacing w:after="0" w:line="25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available to common shareholders, which excludes preferred stock dividends, divided by average realized common equity, which excludes accumulated other comprehensive income (loss). (4) Excludes effect of acquisition related intangibles and associated amortization. (5) Annualized. (6) Number of new shares issued for shares currently held. NM - Not meaningful.</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Excludes covered loans and covered NPAs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383" w:gutter="0" w:footer="0" w:header="0"/>
        </w:sectPr>
      </w:pPr>
    </w:p>
    <w:bookmarkStart w:id="24" w:name="page25"/>
    <w:bookmarkEnd w:id="24"/>
    <w:p>
      <w:pPr>
        <w:ind w:right="5660"/>
        <w:spacing w:after="0" w:line="282" w:lineRule="auto"/>
        <w:rPr>
          <w:sz w:val="20"/>
          <w:szCs w:val="20"/>
          <w:color w:val="auto"/>
        </w:rPr>
      </w:pPr>
      <w:r>
        <w:rPr>
          <w:rFonts w:ascii="Arial" w:cs="Arial" w:eastAsia="Arial" w:hAnsi="Arial"/>
          <w:sz w:val="18"/>
          <w:szCs w:val="18"/>
          <w:b w:val="1"/>
          <w:bCs w:val="1"/>
          <w:color w:val="auto"/>
        </w:rPr>
        <w:t>Table 1 Continued - Operating Earnings to GAAP Earnings Reconciliation Selected Financial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9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2009</w:t>
            </w:r>
          </w:p>
        </w:tc>
        <w:tc>
          <w:tcPr>
            <w:tcW w:w="6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For the Six</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(in thousands, except per share</w:t>
            </w:r>
          </w:p>
        </w:tc>
        <w:tc>
          <w:tcPr>
            <w:tcW w:w="200" w:type="dxa"/>
            <w:vAlign w:val="bottom"/>
          </w:tcPr>
          <w:p>
            <w:pPr>
              <w:spacing w:after="0"/>
              <w:rPr>
                <w:sz w:val="17"/>
                <w:szCs w:val="17"/>
                <w:color w:val="auto"/>
              </w:rPr>
            </w:pPr>
          </w:p>
        </w:tc>
        <w:tc>
          <w:tcPr>
            <w:tcW w:w="1060" w:type="dxa"/>
            <w:vAlign w:val="bottom"/>
            <w:gridSpan w:val="5"/>
          </w:tcPr>
          <w:p>
            <w:pPr>
              <w:jc w:val="right"/>
              <w:ind w:right="350"/>
              <w:spacing w:after="0" w:line="189" w:lineRule="exact"/>
              <w:rPr>
                <w:sz w:val="20"/>
                <w:szCs w:val="20"/>
                <w:color w:val="auto"/>
              </w:rPr>
            </w:pPr>
            <w:r>
              <w:rPr>
                <w:rFonts w:ascii="Arial" w:cs="Arial" w:eastAsia="Arial" w:hAnsi="Arial"/>
                <w:sz w:val="18"/>
                <w:szCs w:val="18"/>
                <w:b w:val="1"/>
                <w:bCs w:val="1"/>
                <w:color w:val="auto"/>
                <w:w w:val="92"/>
              </w:rPr>
              <w:t>Second</w:t>
            </w:r>
          </w:p>
        </w:tc>
        <w:tc>
          <w:tcPr>
            <w:tcW w:w="100" w:type="dxa"/>
            <w:vAlign w:val="bottom"/>
          </w:tcPr>
          <w:p>
            <w:pPr>
              <w:spacing w:after="0"/>
              <w:rPr>
                <w:sz w:val="17"/>
                <w:szCs w:val="17"/>
                <w:color w:val="auto"/>
              </w:rPr>
            </w:pPr>
          </w:p>
        </w:tc>
        <w:tc>
          <w:tcPr>
            <w:tcW w:w="66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350"/>
              <w:spacing w:after="0" w:line="189"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7"/>
                <w:szCs w:val="17"/>
                <w:color w:val="auto"/>
              </w:rPr>
            </w:pPr>
          </w:p>
        </w:tc>
        <w:tc>
          <w:tcPr>
            <w:tcW w:w="840" w:type="dxa"/>
            <w:vAlign w:val="bottom"/>
            <w:gridSpan w:val="2"/>
          </w:tcPr>
          <w:p>
            <w:pPr>
              <w:jc w:val="center"/>
              <w:ind w:right="250"/>
              <w:spacing w:after="0" w:line="189"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7"/>
                <w:szCs w:val="17"/>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2"/>
              </w:rPr>
              <w:t>Second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6"/>
          </w:tcPr>
          <w:p>
            <w:pPr>
              <w:jc w:val="right"/>
              <w:ind w:right="390"/>
              <w:spacing w:after="0" w:line="189" w:lineRule="exact"/>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data; taxable equivalent)</w:t>
            </w:r>
          </w:p>
        </w:tc>
        <w:tc>
          <w:tcPr>
            <w:tcW w:w="200" w:type="dxa"/>
            <w:vAlign w:val="bottom"/>
          </w:tcPr>
          <w:p>
            <w:pPr>
              <w:spacing w:after="0"/>
              <w:rPr>
                <w:sz w:val="19"/>
                <w:szCs w:val="19"/>
                <w:color w:val="auto"/>
              </w:rPr>
            </w:pPr>
          </w:p>
        </w:tc>
        <w:tc>
          <w:tcPr>
            <w:tcW w:w="106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w w:val="98"/>
              </w:rPr>
              <w:t>Quarter</w:t>
            </w:r>
          </w:p>
        </w:tc>
        <w:tc>
          <w:tcPr>
            <w:tcW w:w="10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19"/>
                <w:szCs w:val="19"/>
                <w:color w:val="auto"/>
              </w:rPr>
            </w:pPr>
          </w:p>
        </w:tc>
        <w:tc>
          <w:tcPr>
            <w:tcW w:w="10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8"/>
              </w:rPr>
              <w:t>Quarter</w:t>
            </w:r>
          </w:p>
        </w:tc>
        <w:tc>
          <w:tcPr>
            <w:tcW w:w="94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9"/>
                <w:szCs w:val="19"/>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Interest revenue reconciliation</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Interest revenue - taxable equivalent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9"/>
              </w:rPr>
              <w:t>102,737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103,562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w w:val="89"/>
              </w:rPr>
              <w:t>108,434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w w:val="89"/>
              </w:rPr>
              <w:t>112,510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w w:val="89"/>
              </w:rPr>
              <w:t>116,984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206,299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246,025</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Interest revenue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102,274</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103,074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107,881</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111,939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116,378</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205,348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244,888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Net interest revenue - taxable equivalent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60,882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57,412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51,873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58,791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61,753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118,294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128,040</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Net interest revenue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60,419</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51,320</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61,147</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117,343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126,903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Fee revenue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fee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13,050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12,846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10,718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13,121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15,105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25,896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29,302</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11,390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Fee revenue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24,440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15,105</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13,932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5,258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(22,409)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(4,088)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61,358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19,190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134,342</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11,390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revenue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24,859</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(22,962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60,752</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133,205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Expense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55,348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52,569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52,439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56,970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49,761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107,917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97,290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Operating expense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55,348</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125,467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52,439</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49,761</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180,815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income before taxes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(loss) income before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w w:val="95"/>
              </w:rPr>
              <w:t>(41,416)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(47,311)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(74,848)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(61,058)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(88,727)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37,052</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11,390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(Loss) income before taxes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4"/>
              </w:rPr>
              <w:t>(30,489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(120,697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(75,401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(61,629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10,991</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(151,186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tax (benefit) expense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income tax (benefit) expense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w w:val="95"/>
              </w:rPr>
              <w:t>(18,353)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(15,335)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(28,101)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(21,184)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4,504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(33,688)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Gain from acquisition, tax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4,328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Severance costs, tax benefit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Income tax (benefit) expense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4"/>
              </w:rPr>
              <w:t>(14,488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(28,654</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(21,755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(Loss) earnings per common share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(loss) earnings per common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rPr>
              <w:t>(0.53)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(0.84)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(Loss) earnings per common share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Book value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Tangible book value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8.85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9.65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10.39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10.48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11.03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8.85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Effect of goodwill and other intangibles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72</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Book value (GAAP)</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13.87</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Efficiency ratio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efficiency ratio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30"/>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Efficiency ratio (GAAP)</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64.33</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Tangible common equity to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3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Effect of preferred equity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ind w:left="160"/>
              <w:spacing w:after="0" w:line="201" w:lineRule="exact"/>
              <w:rPr>
                <w:sz w:val="20"/>
                <w:szCs w:val="20"/>
                <w:color w:val="auto"/>
              </w:rPr>
            </w:pPr>
            <w:r>
              <w:rPr>
                <w:rFonts w:ascii="Arial" w:cs="Arial" w:eastAsia="Arial" w:hAnsi="Arial"/>
                <w:sz w:val="18"/>
                <w:szCs w:val="18"/>
                <w:color w:val="auto"/>
              </w:rPr>
              <w:t>Tangible equity to assets</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8.00</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6.59</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6.65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6.77</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Effect of goodwill and other intangibles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56</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Equity to assets (GAAP)</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10.76</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41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7"/>
              </w:rPr>
              <w:t>Actual tangible common equity to risk-weighted assets</w:t>
            </w:r>
          </w:p>
        </w:tc>
        <w:tc>
          <w:tcPr>
            <w:tcW w:w="70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120" w:type="dxa"/>
            <w:vAlign w:val="bottom"/>
            <w:gridSpan w:val="3"/>
            <w:vMerge w:val="continue"/>
          </w:tcPr>
          <w:p>
            <w:pPr>
              <w:spacing w:after="0"/>
              <w:rPr>
                <w:sz w:val="16"/>
                <w:szCs w:val="16"/>
                <w:color w:val="auto"/>
              </w:rPr>
            </w:pPr>
          </w:p>
        </w:tc>
        <w:tc>
          <w:tcPr>
            <w:tcW w:w="1160" w:type="dxa"/>
            <w:vAlign w:val="bottom"/>
            <w:gridSpan w:val="6"/>
          </w:tcPr>
          <w:p>
            <w:pPr>
              <w:jc w:val="right"/>
              <w:spacing w:after="0" w:line="195" w:lineRule="exact"/>
              <w:rPr>
                <w:sz w:val="20"/>
                <w:szCs w:val="20"/>
                <w:color w:val="auto"/>
              </w:rPr>
            </w:pPr>
            <w:r>
              <w:rPr>
                <w:rFonts w:ascii="Arial" w:cs="Arial" w:eastAsia="Arial" w:hAnsi="Arial"/>
                <w:sz w:val="18"/>
                <w:szCs w:val="18"/>
                <w:b w:val="1"/>
                <w:bCs w:val="1"/>
                <w:color w:val="auto"/>
                <w:w w:val="97"/>
              </w:rPr>
              <w:t>reconciliation</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Tangible common equity to risk-weighted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3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Effect of other comprehensive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Effect of trust preferred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Effect of preferred equity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vMerge w:val="restart"/>
          </w:tcPr>
          <w:p>
            <w:pPr>
              <w:ind w:left="160"/>
              <w:spacing w:after="0"/>
              <w:rPr>
                <w:sz w:val="20"/>
                <w:szCs w:val="20"/>
                <w:color w:val="auto"/>
              </w:rPr>
            </w:pPr>
            <w:r>
              <w:rPr>
                <w:rFonts w:ascii="Arial" w:cs="Arial" w:eastAsia="Arial" w:hAnsi="Arial"/>
                <w:sz w:val="18"/>
                <w:szCs w:val="18"/>
                <w:color w:val="auto"/>
              </w:rPr>
              <w:t>Tier I capital ratio (Regulatory)</w:t>
            </w: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3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c>
          <w:tcPr>
            <w:tcW w:w="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10.88</w:t>
            </w: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11.21</w:t>
            </w: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8.66</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w:t>
            </w: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10.65</w:t>
            </w: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13" w:right="259" w:bottom="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56" w:lineRule="exact"/>
        <w:rPr>
          <w:sz w:val="20"/>
          <w:szCs w:val="20"/>
          <w:color w:val="auto"/>
        </w:rPr>
      </w:pPr>
    </w:p>
    <w:p>
      <w:pPr>
        <w:jc w:val="both"/>
        <w:ind w:firstLine="565"/>
        <w:spacing w:after="0" w:line="270"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Net interest revenue for the three months ended June 30, 2009 was $60.9 million, down $871,000, or 1%, from last year but up $3.5 million from the first quarter of 2009. Average loans decreased $336 million, or 6%, from the second quarter last year. The decrease in the loan portfolio was a result of the slowdown in the housing market, particularly in the Atlanta MSA where period-end loans decreased $329 million from June 30, 2008. The decrease was the result of loan charge-offs, decreased loan demand and management’s efforts to rebalance the loan portfolio by reducing the concentration of residential construction loans, particularly in the Atlanta MSA where the housing market has been under considerable stress. Period-end loans in north Georgia, North Carolina and the Gainesville, Georgia MSA decreased $87 million, $25 million and $9 million, respectively. In contrast, coastal Georgia increased $19 million and east Tennessee increased $11 million from the second quarter of 2008.</w:t>
      </w:r>
    </w:p>
    <w:p>
      <w:pPr>
        <w:spacing w:after="0" w:line="209" w:lineRule="exact"/>
        <w:rPr>
          <w:sz w:val="20"/>
          <w:szCs w:val="20"/>
          <w:color w:val="auto"/>
        </w:rPr>
      </w:pPr>
    </w:p>
    <w:p>
      <w:pPr>
        <w:jc w:val="both"/>
        <w:ind w:firstLine="614"/>
        <w:spacing w:after="0" w:line="273" w:lineRule="auto"/>
        <w:rPr>
          <w:sz w:val="20"/>
          <w:szCs w:val="20"/>
          <w:color w:val="auto"/>
        </w:rPr>
      </w:pPr>
      <w:r>
        <w:rPr>
          <w:rFonts w:ascii="Arial" w:cs="Arial" w:eastAsia="Arial" w:hAnsi="Arial"/>
          <w:sz w:val="17"/>
          <w:szCs w:val="17"/>
          <w:color w:val="auto"/>
        </w:rPr>
        <w:t>Average interest-earning assets for the second quarter 2009 decreased $35.8 million from the same period in 2008. An increase in the investment securities portfolio and other short-term investments of $300 million was offset by decreased loan balances of $336 million. Average interest-bearing liabilities decreased $135 million from the second quarter of 2008 with the Series B preferred stock of $180 million, issued in the fourth quarter as part of the U.S. Treasury’s Capital Purchase Program, funding the difference in the decrease of average interest-bearing liabilities and the decrease in average interest-earning assets. Dividends on the Series B preferred shares and the related discount accretion are not included in net income (loss) but are subtracted from net income (loss) in the determination of net income (loss) available to common shareholders.</w:t>
      </w:r>
    </w:p>
    <w:p>
      <w:pPr>
        <w:spacing w:after="0" w:line="205" w:lineRule="exact"/>
        <w:rPr>
          <w:sz w:val="20"/>
          <w:szCs w:val="20"/>
          <w:color w:val="auto"/>
        </w:rPr>
      </w:pPr>
    </w:p>
    <w:p>
      <w:pPr>
        <w:jc w:val="both"/>
        <w:ind w:firstLine="516"/>
        <w:spacing w:after="0" w:line="302"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defined as net interest revenue as a percent of average total interest-earning assets and takes into account the positive effect of investing non-interest-bearing deposits and capital.</w:t>
      </w:r>
    </w:p>
    <w:p>
      <w:pPr>
        <w:spacing w:after="0" w:line="181" w:lineRule="exact"/>
        <w:rPr>
          <w:sz w:val="20"/>
          <w:szCs w:val="20"/>
          <w:color w:val="auto"/>
        </w:rPr>
      </w:pPr>
    </w:p>
    <w:p>
      <w:pPr>
        <w:jc w:val="both"/>
        <w:ind w:firstLine="489"/>
        <w:spacing w:after="0" w:line="269" w:lineRule="auto"/>
        <w:rPr>
          <w:sz w:val="20"/>
          <w:szCs w:val="20"/>
          <w:color w:val="auto"/>
        </w:rPr>
      </w:pPr>
      <w:r>
        <w:rPr>
          <w:rFonts w:ascii="Arial" w:cs="Arial" w:eastAsia="Arial" w:hAnsi="Arial"/>
          <w:sz w:val="17"/>
          <w:szCs w:val="17"/>
          <w:color w:val="auto"/>
        </w:rPr>
        <w:t>For the three months ended June 30, 2009 and 2008, the net interest spread was 2.97 and 2.96%, respectively, while the net interest margin was 3.28% and 3.32%, respectively. Even though there was only four basis points of margin compression year over year, the interim quarters experienced severe compression in the second half of 2008 and expansion in 2009. The compression of the margin in late 2008 was primarily the result of a rise in non-performing assets and higher than normal deposit pricing resulting from competition for deposits due to liquidity pressures affecting the banking industry as a whole in the second half of 2008. The compression of the margin was also due to the lowering of the prime interest rate initiated by actions of the Federal Reserve beginning in September 2007 and the resulting decrease in the repricing of our interest earning assets faster than our interest-bearing liabilities. Also contributing to the lower net interest margin was a shift in earning-asset mix from loans to investment securities. These factors continued to compress the net interest margin through most of the fourth quarter of 2008 leading to a net interest margin of 2.70% in the fourth quarter. Deposit pricing competition began to ease late in the fourth quarter and United intensified its focus on loan pricing to ensure that it was being adequately compensated for the credit risk it was taking. The combined effect of the easing of deposit pricing competition and widening credit spreads in United’s loan portfolio led to the 58 basis point increase in the net interest margin from the fourth quarter of 2008 to the second quarter of 2009.</w:t>
      </w:r>
    </w:p>
    <w:p>
      <w:pPr>
        <w:spacing w:after="0" w:line="210"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8"/>
          <w:szCs w:val="18"/>
          <w:color w:val="auto"/>
        </w:rPr>
        <w:t>The average yield on interest-earning assets for the second quarter of 2009 was 5.53%, compared with 6.29% in the second quarter of 2008. Loan yields were down 73 basis points compared with the second quarter of 2008, due to the effect of the Federal Reserve’s policy of lowering interest rates to stimulate the economy on United’s primarily prime-based loan portfolio and the higher level of non-performing loans.</w:t>
      </w:r>
    </w:p>
    <w:p>
      <w:pPr>
        <w:spacing w:after="0" w:line="208"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The average cost of interest-bearing liabilities for the second quarter was 2.56% compared to 3.33% from the same period of 2008. Throughout most of 2008, United was unable to reduce deposit rates commensurate with the rate declines in its loan portfolio. This trend became more visible in the third and fourth quarters of 2008 when industry liquidity pressures led to increased competition for deposits and did not allow United to reduce deposit rates to correspond with the Federal Reserve’s actions to lower interest rates. Late in the fourth quarter of 2008, liquidity pressures began to ease, allowing United to lower its deposit rates and still maintain its strong liquidity position.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ind w:firstLine="610"/>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June 30, 2009 and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8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780" w:type="dxa"/>
            <w:vAlign w:val="bottom"/>
          </w:tcPr>
          <w:p>
            <w:pPr>
              <w:spacing w:after="0"/>
              <w:rPr>
                <w:sz w:val="17"/>
                <w:szCs w:val="17"/>
                <w:color w:val="auto"/>
              </w:rPr>
            </w:pPr>
          </w:p>
        </w:tc>
        <w:tc>
          <w:tcPr>
            <w:tcW w:w="102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7"/>
                <w:szCs w:val="17"/>
                <w:color w:val="auto"/>
              </w:rPr>
            </w:pPr>
          </w:p>
        </w:tc>
        <w:tc>
          <w:tcPr>
            <w:tcW w:w="116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Avg.</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Interest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Rate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Interest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02"/>
        </w:trPr>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$ 5,597,259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81,567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$ 5,933,143</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97,080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1,742,620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20,176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4.63</w:t>
            </w:r>
          </w:p>
        </w:tc>
        <w:tc>
          <w:tcPr>
            <w:tcW w:w="840" w:type="dxa"/>
            <w:vAlign w:val="bottom"/>
          </w:tcPr>
          <w:p>
            <w:pPr>
              <w:jc w:val="right"/>
              <w:spacing w:after="0"/>
              <w:rPr>
                <w:sz w:val="20"/>
                <w:szCs w:val="20"/>
                <w:color w:val="auto"/>
              </w:rPr>
            </w:pPr>
            <w:r>
              <w:rPr>
                <w:rFonts w:ascii="Arial" w:cs="Arial" w:eastAsia="Arial" w:hAnsi="Arial"/>
                <w:sz w:val="18"/>
                <w:szCs w:val="18"/>
                <w:color w:val="auto"/>
              </w:rPr>
              <w:t>1,471,958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18,879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47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840" w:type="dxa"/>
            <w:vAlign w:val="bottom"/>
          </w:tcPr>
          <w:p>
            <w:pPr>
              <w:jc w:val="right"/>
              <w:spacing w:after="0"/>
              <w:rPr>
                <w:sz w:val="20"/>
                <w:szCs w:val="20"/>
                <w:color w:val="auto"/>
              </w:rPr>
            </w:pPr>
            <w:r>
              <w:rPr>
                <w:rFonts w:ascii="Arial" w:cs="Arial" w:eastAsia="Arial" w:hAnsi="Arial"/>
                <w:sz w:val="18"/>
                <w:szCs w:val="18"/>
                <w:color w:val="auto"/>
              </w:rPr>
              <w:t>28,862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7.01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35,282</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655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Federal funds sold and other interest-earning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73,437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488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37,635</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370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 interest-earning assets</w:t>
            </w: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4780" w:type="dxa"/>
            <w:vAlign w:val="bottom"/>
            <w:vMerge w:val="continue"/>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7,442,178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102,737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5.53</w:t>
            </w:r>
          </w:p>
        </w:tc>
        <w:tc>
          <w:tcPr>
            <w:tcW w:w="840" w:type="dxa"/>
            <w:vAlign w:val="bottom"/>
          </w:tcPr>
          <w:p>
            <w:pPr>
              <w:jc w:val="right"/>
              <w:spacing w:after="0"/>
              <w:rPr>
                <w:sz w:val="20"/>
                <w:szCs w:val="20"/>
                <w:color w:val="auto"/>
              </w:rPr>
            </w:pPr>
            <w:r>
              <w:rPr>
                <w:rFonts w:ascii="Arial" w:cs="Arial" w:eastAsia="Arial" w:hAnsi="Arial"/>
                <w:sz w:val="18"/>
                <w:szCs w:val="18"/>
                <w:color w:val="auto"/>
              </w:rPr>
              <w:t>7,478,018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116,984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Non-interest-earning assets:</w:t>
            </w: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(147,691)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(93,776)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840" w:type="dxa"/>
            <w:vAlign w:val="bottom"/>
          </w:tcPr>
          <w:p>
            <w:pPr>
              <w:jc w:val="right"/>
              <w:spacing w:after="0"/>
              <w:rPr>
                <w:sz w:val="20"/>
                <w:szCs w:val="20"/>
                <w:color w:val="auto"/>
              </w:rPr>
            </w:pPr>
            <w:r>
              <w:rPr>
                <w:rFonts w:ascii="Arial" w:cs="Arial" w:eastAsia="Arial" w:hAnsi="Arial"/>
                <w:sz w:val="18"/>
                <w:szCs w:val="18"/>
                <w:color w:val="auto"/>
              </w:rPr>
              <w:t>101,830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144,589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840" w:type="dxa"/>
            <w:vAlign w:val="bottom"/>
          </w:tcPr>
          <w:p>
            <w:pPr>
              <w:jc w:val="right"/>
              <w:spacing w:after="0"/>
              <w:rPr>
                <w:sz w:val="20"/>
                <w:szCs w:val="20"/>
                <w:color w:val="auto"/>
              </w:rPr>
            </w:pPr>
            <w:r>
              <w:rPr>
                <w:rFonts w:ascii="Arial" w:cs="Arial" w:eastAsia="Arial" w:hAnsi="Arial"/>
                <w:sz w:val="18"/>
                <w:szCs w:val="18"/>
                <w:color w:val="auto"/>
              </w:rPr>
              <w:t>179,446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181,454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780" w:type="dxa"/>
            <w:vAlign w:val="bottom"/>
          </w:tcPr>
          <w:p>
            <w:pPr>
              <w:ind w:left="180"/>
              <w:spacing w:after="0" w:line="244"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592,384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585,463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$ 8,168,147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$ 8,295,748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NOW</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$ 1,258,134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2,843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.91</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$ 1,505,280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7,216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840" w:type="dxa"/>
            <w:vAlign w:val="bottom"/>
          </w:tcPr>
          <w:p>
            <w:pPr>
              <w:jc w:val="right"/>
              <w:spacing w:after="0"/>
              <w:rPr>
                <w:sz w:val="20"/>
                <w:szCs w:val="20"/>
                <w:color w:val="auto"/>
              </w:rPr>
            </w:pPr>
            <w:r>
              <w:rPr>
                <w:rFonts w:ascii="Arial" w:cs="Arial" w:eastAsia="Arial" w:hAnsi="Arial"/>
                <w:sz w:val="18"/>
                <w:szCs w:val="18"/>
                <w:color w:val="auto"/>
              </w:rPr>
              <w:t>521,989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2,269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422,419</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2,310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Savings</w:t>
            </w:r>
          </w:p>
        </w:tc>
        <w:tc>
          <w:tcPr>
            <w:tcW w:w="840" w:type="dxa"/>
            <w:vAlign w:val="bottom"/>
          </w:tcPr>
          <w:p>
            <w:pPr>
              <w:jc w:val="right"/>
              <w:spacing w:after="0"/>
              <w:rPr>
                <w:sz w:val="20"/>
                <w:szCs w:val="20"/>
                <w:color w:val="auto"/>
              </w:rPr>
            </w:pPr>
            <w:r>
              <w:rPr>
                <w:rFonts w:ascii="Arial" w:cs="Arial" w:eastAsia="Arial" w:hAnsi="Arial"/>
                <w:sz w:val="18"/>
                <w:szCs w:val="18"/>
                <w:color w:val="auto"/>
              </w:rPr>
              <w:t>178,435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186,826</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Time less than $100,000</w:t>
            </w:r>
          </w:p>
        </w:tc>
        <w:tc>
          <w:tcPr>
            <w:tcW w:w="840" w:type="dxa"/>
            <w:vAlign w:val="bottom"/>
          </w:tcPr>
          <w:p>
            <w:pPr>
              <w:jc w:val="right"/>
              <w:spacing w:after="0"/>
              <w:rPr>
                <w:sz w:val="20"/>
                <w:szCs w:val="20"/>
                <w:color w:val="auto"/>
              </w:rPr>
            </w:pPr>
            <w:r>
              <w:rPr>
                <w:rFonts w:ascii="Arial" w:cs="Arial" w:eastAsia="Arial" w:hAnsi="Arial"/>
                <w:sz w:val="18"/>
                <w:szCs w:val="18"/>
                <w:color w:val="auto"/>
              </w:rPr>
              <w:t>1,894,071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15,342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3.25</w:t>
            </w:r>
          </w:p>
        </w:tc>
        <w:tc>
          <w:tcPr>
            <w:tcW w:w="840" w:type="dxa"/>
            <w:vAlign w:val="bottom"/>
          </w:tcPr>
          <w:p>
            <w:pPr>
              <w:jc w:val="right"/>
              <w:spacing w:after="0"/>
              <w:rPr>
                <w:sz w:val="20"/>
                <w:szCs w:val="20"/>
                <w:color w:val="auto"/>
              </w:rPr>
            </w:pPr>
            <w:r>
              <w:rPr>
                <w:rFonts w:ascii="Arial" w:cs="Arial" w:eastAsia="Arial" w:hAnsi="Arial"/>
                <w:sz w:val="18"/>
                <w:szCs w:val="18"/>
                <w:color w:val="auto"/>
              </w:rPr>
              <w:t>1,643,740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17,285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Time greater than $100,000</w:t>
            </w:r>
          </w:p>
        </w:tc>
        <w:tc>
          <w:tcPr>
            <w:tcW w:w="840" w:type="dxa"/>
            <w:vAlign w:val="bottom"/>
          </w:tcPr>
          <w:p>
            <w:pPr>
              <w:jc w:val="right"/>
              <w:spacing w:after="0"/>
              <w:rPr>
                <w:sz w:val="20"/>
                <w:szCs w:val="20"/>
                <w:color w:val="auto"/>
              </w:rPr>
            </w:pPr>
            <w:r>
              <w:rPr>
                <w:rFonts w:ascii="Arial" w:cs="Arial" w:eastAsia="Arial" w:hAnsi="Arial"/>
                <w:sz w:val="18"/>
                <w:szCs w:val="18"/>
                <w:color w:val="auto"/>
              </w:rPr>
              <w:t>1,325,757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11,513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3.48</w:t>
            </w:r>
          </w:p>
        </w:tc>
        <w:tc>
          <w:tcPr>
            <w:tcW w:w="840" w:type="dxa"/>
            <w:vAlign w:val="bottom"/>
          </w:tcPr>
          <w:p>
            <w:pPr>
              <w:jc w:val="right"/>
              <w:spacing w:after="0"/>
              <w:rPr>
                <w:sz w:val="20"/>
                <w:szCs w:val="20"/>
                <w:color w:val="auto"/>
              </w:rPr>
            </w:pPr>
            <w:r>
              <w:rPr>
                <w:rFonts w:ascii="Arial" w:cs="Arial" w:eastAsia="Arial" w:hAnsi="Arial"/>
                <w:sz w:val="18"/>
                <w:szCs w:val="18"/>
                <w:color w:val="auto"/>
              </w:rPr>
              <w:t>1,484,032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16,135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4780" w:type="dxa"/>
            <w:vAlign w:val="bottom"/>
          </w:tcPr>
          <w:p>
            <w:pPr>
              <w:ind w:left="340"/>
              <w:spacing w:after="0"/>
              <w:rPr>
                <w:sz w:val="20"/>
                <w:szCs w:val="20"/>
                <w:color w:val="auto"/>
              </w:rPr>
            </w:pPr>
            <w:r>
              <w:rPr>
                <w:rFonts w:ascii="Arial" w:cs="Arial" w:eastAsia="Arial" w:hAnsi="Arial"/>
                <w:sz w:val="18"/>
                <w:szCs w:val="18"/>
                <w:color w:val="auto"/>
              </w:rPr>
              <w:t>Brokered</w:t>
            </w:r>
          </w:p>
        </w:tc>
        <w:tc>
          <w:tcPr>
            <w:tcW w:w="840" w:type="dxa"/>
            <w:vAlign w:val="bottom"/>
          </w:tcPr>
          <w:p>
            <w:pPr>
              <w:jc w:val="right"/>
              <w:spacing w:after="0"/>
              <w:rPr>
                <w:sz w:val="20"/>
                <w:szCs w:val="20"/>
                <w:color w:val="auto"/>
              </w:rPr>
            </w:pPr>
            <w:r>
              <w:rPr>
                <w:rFonts w:ascii="Arial" w:cs="Arial" w:eastAsia="Arial" w:hAnsi="Arial"/>
                <w:sz w:val="18"/>
                <w:szCs w:val="18"/>
                <w:color w:val="auto"/>
              </w:rPr>
              <w:t>686,070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5,209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534,835</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5,408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interest-bearing deposits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5,864,456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37,297</w:t>
            </w:r>
          </w:p>
        </w:tc>
        <w:tc>
          <w:tcPr>
            <w:tcW w:w="3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5,777,132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48,534</w:t>
            </w:r>
          </w:p>
        </w:tc>
        <w:tc>
          <w:tcPr>
            <w:tcW w:w="3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2"/>
        </w:trPr>
        <w:tc>
          <w:tcPr>
            <w:tcW w:w="4780" w:type="dxa"/>
            <w:vAlign w:val="bottom"/>
          </w:tcPr>
          <w:p>
            <w:pPr>
              <w:ind w:left="340"/>
              <w:spacing w:after="0" w:line="201" w:lineRule="exact"/>
              <w:rPr>
                <w:sz w:val="20"/>
                <w:szCs w:val="20"/>
                <w:color w:val="auto"/>
              </w:rPr>
            </w:pPr>
            <w:r>
              <w:rPr>
                <w:rFonts w:ascii="Arial" w:cs="Arial" w:eastAsia="Arial" w:hAnsi="Arial"/>
                <w:sz w:val="18"/>
                <w:szCs w:val="18"/>
                <w:color w:val="auto"/>
              </w:rPr>
              <w:t>Federal funds purchased and other borrowings</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220,376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595</w:t>
            </w:r>
          </w:p>
        </w:tc>
        <w:tc>
          <w:tcPr>
            <w:tcW w:w="320" w:type="dxa"/>
            <w:vAlign w:val="bottom"/>
          </w:tcPr>
          <w:p>
            <w:pPr>
              <w:spacing w:after="0"/>
              <w:rPr>
                <w:sz w:val="17"/>
                <w:szCs w:val="17"/>
                <w:color w:val="auto"/>
              </w:rPr>
            </w:pPr>
          </w:p>
        </w:tc>
        <w:tc>
          <w:tcPr>
            <w:tcW w:w="11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1.08</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383,378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1,820</w:t>
            </w:r>
          </w:p>
        </w:tc>
        <w:tc>
          <w:tcPr>
            <w:tcW w:w="320" w:type="dxa"/>
            <w:vAlign w:val="bottom"/>
          </w:tcPr>
          <w:p>
            <w:pPr>
              <w:spacing w:after="0"/>
              <w:rPr>
                <w:sz w:val="17"/>
                <w:szCs w:val="17"/>
                <w:color w:val="auto"/>
              </w:rPr>
            </w:pPr>
          </w:p>
        </w:tc>
        <w:tc>
          <w:tcPr>
            <w:tcW w:w="9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Federal Home Loan Bank advances</w:t>
            </w:r>
          </w:p>
        </w:tc>
        <w:tc>
          <w:tcPr>
            <w:tcW w:w="840" w:type="dxa"/>
            <w:vAlign w:val="bottom"/>
          </w:tcPr>
          <w:p>
            <w:pPr>
              <w:jc w:val="right"/>
              <w:spacing w:after="0"/>
              <w:rPr>
                <w:sz w:val="20"/>
                <w:szCs w:val="20"/>
                <w:color w:val="auto"/>
              </w:rPr>
            </w:pPr>
            <w:r>
              <w:rPr>
                <w:rFonts w:ascii="Arial" w:cs="Arial" w:eastAsia="Arial" w:hAnsi="Arial"/>
                <w:sz w:val="18"/>
                <w:szCs w:val="18"/>
                <w:color w:val="auto"/>
              </w:rPr>
              <w:t>309,962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1,203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412,268</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2,818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478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840" w:type="dxa"/>
            <w:vAlign w:val="bottom"/>
          </w:tcPr>
          <w:p>
            <w:pPr>
              <w:jc w:val="right"/>
              <w:spacing w:after="0"/>
              <w:rPr>
                <w:sz w:val="20"/>
                <w:szCs w:val="20"/>
                <w:color w:val="auto"/>
              </w:rPr>
            </w:pPr>
            <w:r>
              <w:rPr>
                <w:rFonts w:ascii="Arial" w:cs="Arial" w:eastAsia="Arial" w:hAnsi="Arial"/>
                <w:sz w:val="18"/>
                <w:szCs w:val="18"/>
                <w:color w:val="auto"/>
              </w:rPr>
              <w:t>151,019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2,760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7.33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107,996</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2,059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borrowed funds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3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903,642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w:t>
            </w:r>
          </w:p>
        </w:tc>
        <w:tc>
          <w:tcPr>
            <w:tcW w:w="3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439"/>
        </w:trPr>
        <w:tc>
          <w:tcPr>
            <w:tcW w:w="4780" w:type="dxa"/>
            <w:vAlign w:val="bottom"/>
          </w:tcPr>
          <w:p>
            <w:pPr>
              <w:ind w:left="500"/>
              <w:spacing w:after="0"/>
              <w:rPr>
                <w:sz w:val="20"/>
                <w:szCs w:val="20"/>
                <w:color w:val="auto"/>
              </w:rPr>
            </w:pPr>
            <w:r>
              <w:rPr>
                <w:rFonts w:ascii="Arial" w:cs="Arial" w:eastAsia="Arial" w:hAnsi="Arial"/>
                <w:sz w:val="18"/>
                <w:szCs w:val="18"/>
                <w:b w:val="1"/>
                <w:bCs w:val="1"/>
                <w:color w:val="auto"/>
              </w:rPr>
              <w:t>Total interest-bearing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6,545,813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41,855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2.56</w:t>
            </w:r>
          </w:p>
        </w:tc>
        <w:tc>
          <w:tcPr>
            <w:tcW w:w="840" w:type="dxa"/>
            <w:vAlign w:val="bottom"/>
          </w:tcPr>
          <w:p>
            <w:pPr>
              <w:jc w:val="right"/>
              <w:spacing w:after="0"/>
              <w:rPr>
                <w:sz w:val="20"/>
                <w:szCs w:val="20"/>
                <w:color w:val="auto"/>
              </w:rPr>
            </w:pPr>
            <w:r>
              <w:rPr>
                <w:rFonts w:ascii="Arial" w:cs="Arial" w:eastAsia="Arial" w:hAnsi="Arial"/>
                <w:sz w:val="18"/>
                <w:szCs w:val="18"/>
                <w:color w:val="auto"/>
              </w:rPr>
              <w:t>6,680,774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55,231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Non-interest-bearing liabilities: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Non-interest-bearing deposits</w:t>
            </w:r>
          </w:p>
        </w:tc>
        <w:tc>
          <w:tcPr>
            <w:tcW w:w="840" w:type="dxa"/>
            <w:vAlign w:val="bottom"/>
          </w:tcPr>
          <w:p>
            <w:pPr>
              <w:jc w:val="right"/>
              <w:spacing w:after="0"/>
              <w:rPr>
                <w:sz w:val="20"/>
                <w:szCs w:val="20"/>
                <w:color w:val="auto"/>
              </w:rPr>
            </w:pPr>
            <w:r>
              <w:rPr>
                <w:rFonts w:ascii="Arial" w:cs="Arial" w:eastAsia="Arial" w:hAnsi="Arial"/>
                <w:sz w:val="18"/>
                <w:szCs w:val="18"/>
                <w:color w:val="auto"/>
              </w:rPr>
              <w:t>680,081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684,229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63,043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74,018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500"/>
              <w:spacing w:after="0" w:line="201" w:lineRule="exact"/>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7,288,937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7,439,021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tcPr>
          <w:p>
            <w:pPr>
              <w:jc w:val="right"/>
              <w:spacing w:after="0"/>
              <w:rPr>
                <w:sz w:val="20"/>
                <w:szCs w:val="20"/>
                <w:color w:val="auto"/>
              </w:rPr>
            </w:pPr>
            <w:r>
              <w:rPr>
                <w:rFonts w:ascii="Arial" w:cs="Arial" w:eastAsia="Arial" w:hAnsi="Arial"/>
                <w:sz w:val="18"/>
                <w:szCs w:val="18"/>
                <w:color w:val="auto"/>
              </w:rPr>
              <w:t>879,210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856,727</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shareholders’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$ 8,168,147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$ 8,295,748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60,882</w:t>
            </w: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61,753</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color w:val="auto"/>
              </w:rPr>
              <w:t>Net interest-rate spread</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2.97%</w:t>
            </w: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60" w:hanging="492"/>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9" w:lineRule="exact"/>
        <w:rPr>
          <w:rFonts w:ascii="Arial" w:cs="Arial" w:eastAsia="Arial" w:hAnsi="Arial"/>
          <w:sz w:val="18"/>
          <w:szCs w:val="18"/>
          <w:color w:val="auto"/>
        </w:rPr>
      </w:pPr>
    </w:p>
    <w:p>
      <w:pPr>
        <w:ind w:left="500" w:right="28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$14.7 million in 2009 and $13.0 million in 2008 are included in other assets for purposes of this presentation.</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firstLine="610"/>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six months ended June 30, 2009 and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8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780" w:type="dxa"/>
            <w:vAlign w:val="bottom"/>
          </w:tcPr>
          <w:p>
            <w:pPr>
              <w:spacing w:after="0"/>
              <w:rPr>
                <w:sz w:val="17"/>
                <w:szCs w:val="17"/>
                <w:color w:val="auto"/>
              </w:rPr>
            </w:pPr>
          </w:p>
        </w:tc>
        <w:tc>
          <w:tcPr>
            <w:tcW w:w="102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7"/>
                <w:szCs w:val="17"/>
                <w:color w:val="auto"/>
              </w:rPr>
            </w:pPr>
          </w:p>
        </w:tc>
        <w:tc>
          <w:tcPr>
            <w:tcW w:w="116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Avg.</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Interest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Rate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Interest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02"/>
        </w:trPr>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$ 5,635,942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163,316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$ 5,945,720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206,332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1,712,778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40,609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4.74</w:t>
            </w:r>
          </w:p>
        </w:tc>
        <w:tc>
          <w:tcPr>
            <w:tcW w:w="840" w:type="dxa"/>
            <w:vAlign w:val="bottom"/>
          </w:tcPr>
          <w:p>
            <w:pPr>
              <w:jc w:val="right"/>
              <w:spacing w:after="0"/>
              <w:rPr>
                <w:sz w:val="20"/>
                <w:szCs w:val="20"/>
                <w:color w:val="auto"/>
              </w:rPr>
            </w:pPr>
            <w:r>
              <w:rPr>
                <w:rFonts w:ascii="Arial" w:cs="Arial" w:eastAsia="Arial" w:hAnsi="Arial"/>
                <w:sz w:val="18"/>
                <w:szCs w:val="18"/>
                <w:color w:val="auto"/>
              </w:rPr>
              <w:t>1,460,090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37,507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47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840" w:type="dxa"/>
            <w:vAlign w:val="bottom"/>
          </w:tcPr>
          <w:p>
            <w:pPr>
              <w:jc w:val="right"/>
              <w:spacing w:after="0"/>
              <w:rPr>
                <w:sz w:val="20"/>
                <w:szCs w:val="20"/>
                <w:color w:val="auto"/>
              </w:rPr>
            </w:pPr>
            <w:r>
              <w:rPr>
                <w:rFonts w:ascii="Arial" w:cs="Arial" w:eastAsia="Arial" w:hAnsi="Arial"/>
                <w:sz w:val="18"/>
                <w:szCs w:val="18"/>
                <w:color w:val="auto"/>
              </w:rPr>
              <w:t>29,453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6.98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36,287</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1,303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Federal funds sold and other interest-earning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107,788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1,346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42,652</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883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Total interest-earning assets</w:t>
            </w: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4780" w:type="dxa"/>
            <w:vAlign w:val="bottom"/>
            <w:vMerge w:val="continue"/>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7,485,961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206,299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5.55</w:t>
            </w:r>
          </w:p>
        </w:tc>
        <w:tc>
          <w:tcPr>
            <w:tcW w:w="840" w:type="dxa"/>
            <w:vAlign w:val="bottom"/>
          </w:tcPr>
          <w:p>
            <w:pPr>
              <w:jc w:val="right"/>
              <w:spacing w:after="0"/>
              <w:rPr>
                <w:sz w:val="20"/>
                <w:szCs w:val="20"/>
                <w:color w:val="auto"/>
              </w:rPr>
            </w:pPr>
            <w:r>
              <w:rPr>
                <w:rFonts w:ascii="Arial" w:cs="Arial" w:eastAsia="Arial" w:hAnsi="Arial"/>
                <w:sz w:val="18"/>
                <w:szCs w:val="18"/>
                <w:color w:val="auto"/>
              </w:rPr>
              <w:t>7,484,749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246,025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Non-interest-earning assets:</w:t>
            </w: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(92,901)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840" w:type="dxa"/>
            <w:vAlign w:val="bottom"/>
          </w:tcPr>
          <w:p>
            <w:pPr>
              <w:jc w:val="right"/>
              <w:spacing w:after="0"/>
              <w:rPr>
                <w:sz w:val="20"/>
                <w:szCs w:val="20"/>
                <w:color w:val="auto"/>
              </w:rPr>
            </w:pPr>
            <w:r>
              <w:rPr>
                <w:rFonts w:ascii="Arial" w:cs="Arial" w:eastAsia="Arial" w:hAnsi="Arial"/>
                <w:sz w:val="18"/>
                <w:szCs w:val="18"/>
                <w:color w:val="auto"/>
              </w:rPr>
              <w:t>103,113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149,648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840" w:type="dxa"/>
            <w:vAlign w:val="bottom"/>
          </w:tcPr>
          <w:p>
            <w:pPr>
              <w:jc w:val="right"/>
              <w:spacing w:after="0"/>
              <w:rPr>
                <w:sz w:val="20"/>
                <w:szCs w:val="20"/>
                <w:color w:val="auto"/>
              </w:rPr>
            </w:pPr>
            <w:r>
              <w:rPr>
                <w:rFonts w:ascii="Arial" w:cs="Arial" w:eastAsia="Arial" w:hAnsi="Arial"/>
                <w:sz w:val="18"/>
                <w:szCs w:val="18"/>
                <w:color w:val="auto"/>
              </w:rPr>
              <w:t>179,470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181,405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780" w:type="dxa"/>
            <w:vAlign w:val="bottom"/>
          </w:tcPr>
          <w:p>
            <w:pPr>
              <w:ind w:left="180"/>
              <w:spacing w:after="0" w:line="244"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609,750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577,785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$ 8,239,997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$ 8,300,686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NOW</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$ 1,307,865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6,180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.95</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$ 1,483,699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15,803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840" w:type="dxa"/>
            <w:vAlign w:val="bottom"/>
          </w:tcPr>
          <w:p>
            <w:pPr>
              <w:jc w:val="right"/>
              <w:spacing w:after="0"/>
              <w:rPr>
                <w:sz w:val="20"/>
                <w:szCs w:val="20"/>
                <w:color w:val="auto"/>
              </w:rPr>
            </w:pPr>
            <w:r>
              <w:rPr>
                <w:rFonts w:ascii="Arial" w:cs="Arial" w:eastAsia="Arial" w:hAnsi="Arial"/>
                <w:sz w:val="18"/>
                <w:szCs w:val="18"/>
                <w:color w:val="auto"/>
              </w:rPr>
              <w:t>499,780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4,506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430,734</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5,223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Savings</w:t>
            </w:r>
          </w:p>
        </w:tc>
        <w:tc>
          <w:tcPr>
            <w:tcW w:w="840" w:type="dxa"/>
            <w:vAlign w:val="bottom"/>
          </w:tcPr>
          <w:p>
            <w:pPr>
              <w:jc w:val="right"/>
              <w:spacing w:after="0"/>
              <w:rPr>
                <w:sz w:val="20"/>
                <w:szCs w:val="20"/>
                <w:color w:val="auto"/>
              </w:rPr>
            </w:pPr>
            <w:r>
              <w:rPr>
                <w:rFonts w:ascii="Arial" w:cs="Arial" w:eastAsia="Arial" w:hAnsi="Arial"/>
                <w:sz w:val="18"/>
                <w:szCs w:val="18"/>
                <w:color w:val="auto"/>
              </w:rPr>
              <w:t>175,587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185,819</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407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Time less than $100,000</w:t>
            </w:r>
          </w:p>
        </w:tc>
        <w:tc>
          <w:tcPr>
            <w:tcW w:w="840" w:type="dxa"/>
            <w:vAlign w:val="bottom"/>
          </w:tcPr>
          <w:p>
            <w:pPr>
              <w:jc w:val="right"/>
              <w:spacing w:after="0"/>
              <w:rPr>
                <w:sz w:val="20"/>
                <w:szCs w:val="20"/>
                <w:color w:val="auto"/>
              </w:rPr>
            </w:pPr>
            <w:r>
              <w:rPr>
                <w:rFonts w:ascii="Arial" w:cs="Arial" w:eastAsia="Arial" w:hAnsi="Arial"/>
                <w:sz w:val="18"/>
                <w:szCs w:val="18"/>
                <w:color w:val="auto"/>
              </w:rPr>
              <w:t>1,918,349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32,559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3.42</w:t>
            </w:r>
          </w:p>
        </w:tc>
        <w:tc>
          <w:tcPr>
            <w:tcW w:w="840" w:type="dxa"/>
            <w:vAlign w:val="bottom"/>
          </w:tcPr>
          <w:p>
            <w:pPr>
              <w:jc w:val="right"/>
              <w:spacing w:after="0"/>
              <w:rPr>
                <w:sz w:val="20"/>
                <w:szCs w:val="20"/>
                <w:color w:val="auto"/>
              </w:rPr>
            </w:pPr>
            <w:r>
              <w:rPr>
                <w:rFonts w:ascii="Arial" w:cs="Arial" w:eastAsia="Arial" w:hAnsi="Arial"/>
                <w:sz w:val="18"/>
                <w:szCs w:val="18"/>
                <w:color w:val="auto"/>
              </w:rPr>
              <w:t>1,598,526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35,508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Time greater than $100,000</w:t>
            </w:r>
          </w:p>
        </w:tc>
        <w:tc>
          <w:tcPr>
            <w:tcW w:w="840" w:type="dxa"/>
            <w:vAlign w:val="bottom"/>
          </w:tcPr>
          <w:p>
            <w:pPr>
              <w:jc w:val="right"/>
              <w:spacing w:after="0"/>
              <w:rPr>
                <w:sz w:val="20"/>
                <w:szCs w:val="20"/>
                <w:color w:val="auto"/>
              </w:rPr>
            </w:pPr>
            <w:r>
              <w:rPr>
                <w:rFonts w:ascii="Arial" w:cs="Arial" w:eastAsia="Arial" w:hAnsi="Arial"/>
                <w:sz w:val="18"/>
                <w:szCs w:val="18"/>
                <w:color w:val="auto"/>
              </w:rPr>
              <w:t>1,359,286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24,338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3.61</w:t>
            </w:r>
          </w:p>
        </w:tc>
        <w:tc>
          <w:tcPr>
            <w:tcW w:w="840" w:type="dxa"/>
            <w:vAlign w:val="bottom"/>
          </w:tcPr>
          <w:p>
            <w:pPr>
              <w:jc w:val="right"/>
              <w:spacing w:after="0"/>
              <w:rPr>
                <w:sz w:val="20"/>
                <w:szCs w:val="20"/>
                <w:color w:val="auto"/>
              </w:rPr>
            </w:pPr>
            <w:r>
              <w:rPr>
                <w:rFonts w:ascii="Arial" w:cs="Arial" w:eastAsia="Arial" w:hAnsi="Arial"/>
                <w:sz w:val="18"/>
                <w:szCs w:val="18"/>
                <w:color w:val="auto"/>
              </w:rPr>
              <w:t>1,424,670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32,505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7"/>
        </w:trPr>
        <w:tc>
          <w:tcPr>
            <w:tcW w:w="4780" w:type="dxa"/>
            <w:vAlign w:val="bottom"/>
          </w:tcPr>
          <w:p>
            <w:pPr>
              <w:ind w:left="340"/>
              <w:spacing w:after="0"/>
              <w:rPr>
                <w:sz w:val="20"/>
                <w:szCs w:val="20"/>
                <w:color w:val="auto"/>
              </w:rPr>
            </w:pPr>
            <w:r>
              <w:rPr>
                <w:rFonts w:ascii="Arial" w:cs="Arial" w:eastAsia="Arial" w:hAnsi="Arial"/>
                <w:sz w:val="18"/>
                <w:szCs w:val="18"/>
                <w:color w:val="auto"/>
              </w:rPr>
              <w:t>Brokered</w:t>
            </w:r>
          </w:p>
        </w:tc>
        <w:tc>
          <w:tcPr>
            <w:tcW w:w="840" w:type="dxa"/>
            <w:vAlign w:val="bottom"/>
          </w:tcPr>
          <w:p>
            <w:pPr>
              <w:jc w:val="right"/>
              <w:spacing w:after="0"/>
              <w:rPr>
                <w:sz w:val="20"/>
                <w:szCs w:val="20"/>
                <w:color w:val="auto"/>
              </w:rPr>
            </w:pPr>
            <w:r>
              <w:rPr>
                <w:rFonts w:ascii="Arial" w:cs="Arial" w:eastAsia="Arial" w:hAnsi="Arial"/>
                <w:sz w:val="18"/>
                <w:szCs w:val="18"/>
                <w:color w:val="auto"/>
              </w:rPr>
              <w:t>735,844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11,220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454,619</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9,699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interest-bearing deposits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5,996,711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79,051</w:t>
            </w:r>
          </w:p>
        </w:tc>
        <w:tc>
          <w:tcPr>
            <w:tcW w:w="3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5,578,067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99,145</w:t>
            </w:r>
          </w:p>
        </w:tc>
        <w:tc>
          <w:tcPr>
            <w:tcW w:w="3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2"/>
        </w:trPr>
        <w:tc>
          <w:tcPr>
            <w:tcW w:w="4780" w:type="dxa"/>
            <w:vAlign w:val="bottom"/>
          </w:tcPr>
          <w:p>
            <w:pPr>
              <w:ind w:left="340"/>
              <w:spacing w:after="0" w:line="201" w:lineRule="exact"/>
              <w:rPr>
                <w:sz w:val="20"/>
                <w:szCs w:val="20"/>
                <w:color w:val="auto"/>
              </w:rPr>
            </w:pPr>
            <w:r>
              <w:rPr>
                <w:rFonts w:ascii="Arial" w:cs="Arial" w:eastAsia="Arial" w:hAnsi="Arial"/>
                <w:sz w:val="18"/>
                <w:szCs w:val="18"/>
                <w:color w:val="auto"/>
              </w:rPr>
              <w:t>Federal funds purchased and other borrowings</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185,639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1,148</w:t>
            </w:r>
          </w:p>
        </w:tc>
        <w:tc>
          <w:tcPr>
            <w:tcW w:w="320" w:type="dxa"/>
            <w:vAlign w:val="bottom"/>
          </w:tcPr>
          <w:p>
            <w:pPr>
              <w:spacing w:after="0"/>
              <w:rPr>
                <w:sz w:val="17"/>
                <w:szCs w:val="17"/>
                <w:color w:val="auto"/>
              </w:rPr>
            </w:pPr>
          </w:p>
        </w:tc>
        <w:tc>
          <w:tcPr>
            <w:tcW w:w="11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1.25</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467,596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6,138</w:t>
            </w:r>
          </w:p>
        </w:tc>
        <w:tc>
          <w:tcPr>
            <w:tcW w:w="320" w:type="dxa"/>
            <w:vAlign w:val="bottom"/>
          </w:tcPr>
          <w:p>
            <w:pPr>
              <w:spacing w:after="0"/>
              <w:rPr>
                <w:sz w:val="17"/>
                <w:szCs w:val="17"/>
                <w:color w:val="auto"/>
              </w:rPr>
            </w:pPr>
          </w:p>
        </w:tc>
        <w:tc>
          <w:tcPr>
            <w:tcW w:w="9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Federal Home Loan Bank advances</w:t>
            </w:r>
          </w:p>
        </w:tc>
        <w:tc>
          <w:tcPr>
            <w:tcW w:w="840" w:type="dxa"/>
            <w:vAlign w:val="bottom"/>
          </w:tcPr>
          <w:p>
            <w:pPr>
              <w:jc w:val="right"/>
              <w:spacing w:after="0"/>
              <w:rPr>
                <w:sz w:val="20"/>
                <w:szCs w:val="20"/>
                <w:color w:val="auto"/>
              </w:rPr>
            </w:pPr>
            <w:r>
              <w:rPr>
                <w:rFonts w:ascii="Arial" w:cs="Arial" w:eastAsia="Arial" w:hAnsi="Arial"/>
                <w:sz w:val="18"/>
                <w:szCs w:val="18"/>
                <w:color w:val="auto"/>
              </w:rPr>
              <w:t>257,742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2,277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536,883</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8,563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7"/>
        </w:trPr>
        <w:tc>
          <w:tcPr>
            <w:tcW w:w="478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840" w:type="dxa"/>
            <w:vAlign w:val="bottom"/>
          </w:tcPr>
          <w:p>
            <w:pPr>
              <w:jc w:val="right"/>
              <w:spacing w:after="0"/>
              <w:rPr>
                <w:sz w:val="20"/>
                <w:szCs w:val="20"/>
                <w:color w:val="auto"/>
              </w:rPr>
            </w:pPr>
            <w:r>
              <w:rPr>
                <w:rFonts w:ascii="Arial" w:cs="Arial" w:eastAsia="Arial" w:hAnsi="Arial"/>
                <w:sz w:val="18"/>
                <w:szCs w:val="18"/>
                <w:color w:val="auto"/>
              </w:rPr>
              <w:t>151,009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5,529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7.38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107,995</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4,139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3"/>
        </w:trPr>
        <w:tc>
          <w:tcPr>
            <w:tcW w:w="4780" w:type="dxa"/>
            <w:vAlign w:val="bottom"/>
          </w:tcPr>
          <w:p>
            <w:pPr>
              <w:ind w:left="660"/>
              <w:spacing w:after="0"/>
              <w:rPr>
                <w:sz w:val="20"/>
                <w:szCs w:val="20"/>
                <w:color w:val="auto"/>
              </w:rPr>
            </w:pPr>
            <w:r>
              <w:rPr>
                <w:rFonts w:ascii="Arial" w:cs="Arial" w:eastAsia="Arial" w:hAnsi="Arial"/>
                <w:sz w:val="18"/>
                <w:szCs w:val="18"/>
                <w:color w:val="auto"/>
              </w:rPr>
              <w:t>Total borrowed funds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8,954</w:t>
            </w:r>
          </w:p>
        </w:tc>
        <w:tc>
          <w:tcPr>
            <w:tcW w:w="3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1,112,474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18,840</w:t>
            </w:r>
          </w:p>
        </w:tc>
        <w:tc>
          <w:tcPr>
            <w:tcW w:w="3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47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Total interest-bearing liabilities</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6,591,101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2.69</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6,690,541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88,005</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117,985</w:t>
            </w:r>
          </w:p>
        </w:tc>
        <w:tc>
          <w:tcPr>
            <w:tcW w:w="3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Non-interest-bearing liabilities: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Non-interest-bearing deposits</w:t>
            </w:r>
          </w:p>
        </w:tc>
        <w:tc>
          <w:tcPr>
            <w:tcW w:w="840" w:type="dxa"/>
            <w:vAlign w:val="bottom"/>
          </w:tcPr>
          <w:p>
            <w:pPr>
              <w:jc w:val="right"/>
              <w:spacing w:after="0"/>
              <w:rPr>
                <w:sz w:val="20"/>
                <w:szCs w:val="20"/>
                <w:color w:val="auto"/>
              </w:rPr>
            </w:pPr>
            <w:r>
              <w:rPr>
                <w:rFonts w:ascii="Arial" w:cs="Arial" w:eastAsia="Arial" w:hAnsi="Arial"/>
                <w:sz w:val="18"/>
                <w:szCs w:val="18"/>
                <w:color w:val="auto"/>
              </w:rPr>
              <w:t>665,170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678,150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60,612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75,802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340"/>
              <w:spacing w:after="0" w:line="201" w:lineRule="exact"/>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7,316,883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7,444,493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tcPr>
          <w:p>
            <w:pPr>
              <w:jc w:val="right"/>
              <w:spacing w:after="0"/>
              <w:rPr>
                <w:sz w:val="20"/>
                <w:szCs w:val="20"/>
                <w:color w:val="auto"/>
              </w:rPr>
            </w:pPr>
            <w:r>
              <w:rPr>
                <w:rFonts w:ascii="Arial" w:cs="Arial" w:eastAsia="Arial" w:hAnsi="Arial"/>
                <w:sz w:val="18"/>
                <w:szCs w:val="18"/>
                <w:color w:val="auto"/>
              </w:rPr>
              <w:t>923,114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856,193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shareholders’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$ 8,239,997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$ 8,300,686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118,294</w:t>
            </w: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128,040</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color w:val="auto"/>
              </w:rPr>
              <w:t>Net interest-rate spread</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2.86%</w:t>
            </w: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60" w:hanging="492"/>
        <w:spacing w:after="0" w:line="25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9" w:lineRule="exact"/>
        <w:rPr>
          <w:rFonts w:ascii="Arial" w:cs="Arial" w:eastAsia="Arial" w:hAnsi="Arial"/>
          <w:sz w:val="18"/>
          <w:szCs w:val="18"/>
          <w:color w:val="auto"/>
        </w:rPr>
      </w:pPr>
    </w:p>
    <w:p>
      <w:pPr>
        <w:ind w:left="500" w:right="280" w:hanging="492"/>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$12.7 million in 2009 and $14.5 million in 2008 are included in other assets for purposes of this presentation.</w:t>
      </w: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ind w:firstLine="464"/>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204" w:lineRule="exact"/>
        <w:rPr>
          <w:sz w:val="20"/>
          <w:szCs w:val="20"/>
          <w:color w:val="auto"/>
        </w:rPr>
      </w:pPr>
    </w:p>
    <w:p>
      <w:pPr>
        <w:ind w:right="5200"/>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11"/>
          </w:tcPr>
          <w:p>
            <w:pPr>
              <w:jc w:val="center"/>
              <w:ind w:right="240"/>
              <w:spacing w:after="0"/>
              <w:rPr>
                <w:sz w:val="20"/>
                <w:szCs w:val="20"/>
                <w:color w:val="auto"/>
              </w:rPr>
            </w:pPr>
            <w:r>
              <w:rPr>
                <w:rFonts w:ascii="Arial" w:cs="Arial" w:eastAsia="Arial" w:hAnsi="Arial"/>
                <w:sz w:val="18"/>
                <w:szCs w:val="18"/>
                <w:b w:val="1"/>
                <w:bCs w:val="1"/>
                <w:color w:val="auto"/>
                <w:w w:val="90"/>
              </w:rPr>
              <w:t>Three Months Ended June 30, 2009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auto"/>
                <w:w w:val="89"/>
              </w:rPr>
              <w:t>Six Months Ended June 30, 2009</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Compared to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Compared to 2008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86"/>
              </w:rPr>
              <w:t>Increase (decrease)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89"/>
              </w:rPr>
              <w:t>Volume</w:t>
            </w:r>
          </w:p>
        </w:tc>
        <w:tc>
          <w:tcPr>
            <w:tcW w:w="160" w:type="dxa"/>
            <w:vAlign w:val="bottom"/>
          </w:tcPr>
          <w:p>
            <w:pPr>
              <w:spacing w:after="0"/>
              <w:rPr>
                <w:sz w:val="19"/>
                <w:szCs w:val="19"/>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33"/>
              <w:spacing w:after="0"/>
              <w:rPr>
                <w:sz w:val="20"/>
                <w:szCs w:val="20"/>
                <w:color w:val="auto"/>
              </w:rPr>
            </w:pPr>
            <w:r>
              <w:rPr>
                <w:rFonts w:ascii="Arial" w:cs="Arial" w:eastAsia="Arial" w:hAnsi="Arial"/>
                <w:sz w:val="18"/>
                <w:szCs w:val="18"/>
                <w:b w:val="1"/>
                <w:bCs w:val="1"/>
                <w:color w:val="auto"/>
                <w:w w:val="89"/>
              </w:rPr>
              <w:t>Volume</w:t>
            </w:r>
          </w:p>
        </w:tc>
        <w:tc>
          <w:tcPr>
            <w:tcW w:w="160" w:type="dxa"/>
            <w:vAlign w:val="bottom"/>
          </w:tcPr>
          <w:p>
            <w:pPr>
              <w:spacing w:after="0"/>
              <w:rPr>
                <w:sz w:val="19"/>
                <w:szCs w:val="19"/>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Rate</w:t>
            </w:r>
          </w:p>
        </w:tc>
        <w:tc>
          <w:tcPr>
            <w:tcW w:w="16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19"/>
                <w:szCs w:val="19"/>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4"/>
          </w:tcPr>
          <w:p>
            <w:pPr>
              <w:jc w:val="right"/>
              <w:ind w:right="210"/>
              <w:spacing w:after="0"/>
              <w:rPr>
                <w:sz w:val="20"/>
                <w:szCs w:val="20"/>
                <w:color w:val="auto"/>
              </w:rPr>
            </w:pPr>
            <w:r>
              <w:rPr>
                <w:rFonts w:ascii="Arial" w:cs="Arial" w:eastAsia="Arial" w:hAnsi="Arial"/>
                <w:sz w:val="18"/>
                <w:szCs w:val="18"/>
                <w:color w:val="auto"/>
              </w:rPr>
              <w:t>(5,291)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(10,222)</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(15,513)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73"/>
              <w:spacing w:after="0"/>
              <w:rPr>
                <w:sz w:val="20"/>
                <w:szCs w:val="20"/>
                <w:color w:val="auto"/>
              </w:rPr>
            </w:pPr>
            <w:r>
              <w:rPr>
                <w:rFonts w:ascii="Arial" w:cs="Arial" w:eastAsia="Arial" w:hAnsi="Arial"/>
                <w:sz w:val="18"/>
                <w:szCs w:val="18"/>
                <w:color w:val="auto"/>
              </w:rPr>
              <w:t>(10,324)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(32,692)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(43,016)</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Taxable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33"/>
              <w:spacing w:after="0"/>
              <w:rPr>
                <w:sz w:val="20"/>
                <w:szCs w:val="20"/>
                <w:color w:val="auto"/>
              </w:rPr>
            </w:pPr>
            <w:r>
              <w:rPr>
                <w:rFonts w:ascii="Arial" w:cs="Arial" w:eastAsia="Arial" w:hAnsi="Arial"/>
                <w:sz w:val="18"/>
                <w:szCs w:val="18"/>
                <w:color w:val="auto"/>
              </w:rPr>
              <w:t>10,144</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(7,042)</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3,102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Tax-exempt securities</w:t>
            </w:r>
          </w:p>
        </w:tc>
        <w:tc>
          <w:tcPr>
            <w:tcW w:w="100" w:type="dxa"/>
            <w:vAlign w:val="bottom"/>
          </w:tcPr>
          <w:p>
            <w:pPr>
              <w:spacing w:after="0"/>
              <w:rPr>
                <w:sz w:val="18"/>
                <w:szCs w:val="18"/>
                <w:color w:val="auto"/>
              </w:rPr>
            </w:pPr>
          </w:p>
        </w:tc>
        <w:tc>
          <w:tcPr>
            <w:tcW w:w="1060" w:type="dxa"/>
            <w:vAlign w:val="bottom"/>
            <w:gridSpan w:val="4"/>
          </w:tcPr>
          <w:p>
            <w:pPr>
              <w:jc w:val="right"/>
              <w:ind w:right="21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3"/>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(275)</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Federal funds sold and other interest-earning assets</w:t>
            </w: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33"/>
              <w:spacing w:after="0"/>
              <w:rPr>
                <w:sz w:val="20"/>
                <w:szCs w:val="20"/>
                <w:color w:val="auto"/>
              </w:rPr>
            </w:pPr>
            <w:r>
              <w:rPr>
                <w:rFonts w:ascii="Arial" w:cs="Arial" w:eastAsia="Arial" w:hAnsi="Arial"/>
                <w:sz w:val="18"/>
                <w:szCs w:val="18"/>
                <w:color w:val="auto"/>
              </w:rPr>
              <w:t>1,480</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463</w:t>
            </w: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(1,887</w:t>
            </w:r>
          </w:p>
        </w:tc>
        <w:tc>
          <w:tcPr>
            <w:tcW w:w="340" w:type="dxa"/>
            <w:vAlign w:val="bottom"/>
            <w:gridSpan w:val="2"/>
          </w:tcPr>
          <w:p>
            <w:pPr>
              <w:jc w:val="right"/>
              <w:ind w:right="21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(40,787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(39,726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18"/>
        </w:trPr>
        <w:tc>
          <w:tcPr>
            <w:tcW w:w="48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1060" w:type="dxa"/>
            <w:vAlign w:val="bottom"/>
            <w:gridSpan w:val="4"/>
          </w:tcPr>
          <w:p>
            <w:pPr>
              <w:jc w:val="right"/>
              <w:ind w:right="210"/>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3"/>
              <w:spacing w:after="0"/>
              <w:rPr>
                <w:sz w:val="20"/>
                <w:szCs w:val="20"/>
                <w:color w:val="auto"/>
              </w:rPr>
            </w:pPr>
            <w:r>
              <w:rPr>
                <w:rFonts w:ascii="Arial" w:cs="Arial" w:eastAsia="Arial" w:hAnsi="Arial"/>
                <w:sz w:val="18"/>
                <w:szCs w:val="18"/>
                <w:color w:val="auto"/>
              </w:rPr>
              <w:t>(1,690)</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(7,933)</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(9,623)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485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33"/>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060" w:type="dxa"/>
            <w:vAlign w:val="bottom"/>
            <w:gridSpan w:val="4"/>
          </w:tcPr>
          <w:p>
            <w:pPr>
              <w:jc w:val="right"/>
              <w:ind w:right="2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3"/>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(4,334)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33"/>
              <w:spacing w:after="0"/>
              <w:rPr>
                <w:sz w:val="20"/>
                <w:szCs w:val="20"/>
                <w:color w:val="auto"/>
              </w:rPr>
            </w:pPr>
            <w:r>
              <w:rPr>
                <w:rFonts w:ascii="Arial" w:cs="Arial" w:eastAsia="Arial" w:hAnsi="Arial"/>
                <w:sz w:val="18"/>
                <w:szCs w:val="18"/>
                <w:color w:val="auto"/>
              </w:rPr>
              <w:t>6,335</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(9,284)</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(2,949)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00" w:type="dxa"/>
            <w:vAlign w:val="bottom"/>
          </w:tcPr>
          <w:p>
            <w:pPr>
              <w:spacing w:after="0"/>
              <w:rPr>
                <w:sz w:val="18"/>
                <w:szCs w:val="18"/>
                <w:color w:val="auto"/>
              </w:rPr>
            </w:pPr>
          </w:p>
        </w:tc>
        <w:tc>
          <w:tcPr>
            <w:tcW w:w="1060" w:type="dxa"/>
            <w:vAlign w:val="bottom"/>
            <w:gridSpan w:val="4"/>
          </w:tcPr>
          <w:p>
            <w:pPr>
              <w:jc w:val="right"/>
              <w:ind w:right="210"/>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3"/>
              <w:spacing w:after="0"/>
              <w:rPr>
                <w:sz w:val="20"/>
                <w:szCs w:val="20"/>
                <w:color w:val="auto"/>
              </w:rPr>
            </w:pPr>
            <w:r>
              <w:rPr>
                <w:rFonts w:ascii="Arial" w:cs="Arial" w:eastAsia="Arial" w:hAnsi="Arial"/>
                <w:sz w:val="18"/>
                <w:szCs w:val="18"/>
                <w:color w:val="auto"/>
              </w:rPr>
              <w:t>(1,435)</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(6,732)</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(8,167)</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Brokered deposits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33"/>
              <w:spacing w:after="0"/>
              <w:rPr>
                <w:sz w:val="20"/>
                <w:szCs w:val="20"/>
                <w:color w:val="auto"/>
              </w:rPr>
            </w:pPr>
            <w:r>
              <w:rPr>
                <w:rFonts w:ascii="Arial" w:cs="Arial" w:eastAsia="Arial" w:hAnsi="Arial"/>
                <w:sz w:val="18"/>
                <w:szCs w:val="18"/>
                <w:color w:val="auto"/>
              </w:rPr>
              <w:t>4,828</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(3,307)</w:t>
            </w: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1,521</w:t>
            </w:r>
          </w:p>
        </w:tc>
      </w:tr>
      <w:tr>
        <w:trPr>
          <w:trHeight w:val="223"/>
        </w:trPr>
        <w:tc>
          <w:tcPr>
            <w:tcW w:w="4820" w:type="dxa"/>
            <w:vAlign w:val="bottom"/>
          </w:tcPr>
          <w:p>
            <w:pPr>
              <w:ind w:left="18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(28,866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Federal funds purchased &amp; other borrowings</w:t>
            </w:r>
          </w:p>
        </w:tc>
        <w:tc>
          <w:tcPr>
            <w:tcW w:w="1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(608)</w:t>
            </w:r>
          </w:p>
        </w:tc>
        <w:tc>
          <w:tcPr>
            <w:tcW w:w="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(617)</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(1,225)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(2,658)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(2,332)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(4,990)</w:t>
            </w:r>
          </w:p>
        </w:tc>
        <w:tc>
          <w:tcPr>
            <w:tcW w:w="60" w:type="dxa"/>
            <w:vAlign w:val="bottom"/>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060" w:type="dxa"/>
            <w:vAlign w:val="bottom"/>
            <w:gridSpan w:val="4"/>
          </w:tcPr>
          <w:p>
            <w:pPr>
              <w:jc w:val="right"/>
              <w:ind w:right="210"/>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3"/>
              <w:spacing w:after="0"/>
              <w:rPr>
                <w:sz w:val="20"/>
                <w:szCs w:val="20"/>
                <w:color w:val="auto"/>
              </w:rPr>
            </w:pPr>
            <w:r>
              <w:rPr>
                <w:rFonts w:ascii="Arial" w:cs="Arial" w:eastAsia="Arial" w:hAnsi="Arial"/>
                <w:sz w:val="18"/>
                <w:szCs w:val="18"/>
                <w:color w:val="auto"/>
              </w:rPr>
              <w:t>(3,383)</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(2,903)</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(6,286)</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33"/>
              <w:spacing w:after="0"/>
              <w:rPr>
                <w:sz w:val="20"/>
                <w:szCs w:val="20"/>
                <w:color w:val="auto"/>
              </w:rPr>
            </w:pPr>
            <w:r>
              <w:rPr>
                <w:rFonts w:ascii="Arial" w:cs="Arial" w:eastAsia="Arial" w:hAnsi="Arial"/>
                <w:sz w:val="18"/>
                <w:szCs w:val="18"/>
                <w:color w:val="auto"/>
              </w:rPr>
              <w:t>1,582</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1,390</w:t>
            </w:r>
          </w:p>
        </w:tc>
      </w:tr>
      <w:tr>
        <w:trPr>
          <w:trHeight w:val="223"/>
        </w:trPr>
        <w:tc>
          <w:tcPr>
            <w:tcW w:w="4820" w:type="dxa"/>
            <w:vAlign w:val="bottom"/>
          </w:tcPr>
          <w:p>
            <w:pPr>
              <w:ind w:left="180"/>
              <w:spacing w:after="0"/>
              <w:rPr>
                <w:sz w:val="20"/>
                <w:szCs w:val="20"/>
                <w:color w:val="auto"/>
              </w:rPr>
            </w:pPr>
            <w:r>
              <w:rPr>
                <w:rFonts w:ascii="Arial" w:cs="Arial" w:eastAsia="Arial" w:hAnsi="Arial"/>
                <w:sz w:val="18"/>
                <w:szCs w:val="18"/>
                <w:color w:val="auto"/>
              </w:rPr>
              <w:t>Total borrowed funds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(408)</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(4,459</w:t>
            </w:r>
          </w:p>
        </w:tc>
        <w:tc>
          <w:tcPr>
            <w:tcW w:w="320" w:type="dxa"/>
            <w:vAlign w:val="bottom"/>
          </w:tcPr>
          <w:p>
            <w:pPr>
              <w:jc w:val="right"/>
              <w:ind w:right="173"/>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4,313</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(34,293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2"/>
        </w:trPr>
        <w:tc>
          <w:tcPr>
            <w:tcW w:w="4820" w:type="dxa"/>
            <w:vAlign w:val="bottom"/>
          </w:tcPr>
          <w:p>
            <w:pPr>
              <w:ind w:left="500"/>
              <w:spacing w:after="0"/>
              <w:rPr>
                <w:sz w:val="20"/>
                <w:szCs w:val="20"/>
                <w:color w:val="auto"/>
              </w:rPr>
            </w:pPr>
            <w:r>
              <w:rPr>
                <w:rFonts w:ascii="Arial" w:cs="Arial" w:eastAsia="Arial" w:hAnsi="Arial"/>
                <w:sz w:val="18"/>
                <w:szCs w:val="18"/>
                <w:b w:val="1"/>
                <w:bCs w:val="1"/>
                <w:color w:val="auto"/>
              </w:rPr>
              <w:t>Increase in net 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4"/>
          </w:tcPr>
          <w:p>
            <w:pPr>
              <w:jc w:val="right"/>
              <w:ind w:right="210"/>
              <w:spacing w:after="0"/>
              <w:rPr>
                <w:sz w:val="20"/>
                <w:szCs w:val="20"/>
                <w:color w:val="auto"/>
              </w:rPr>
            </w:pPr>
            <w:r>
              <w:rPr>
                <w:rFonts w:ascii="Arial" w:cs="Arial" w:eastAsia="Arial" w:hAnsi="Arial"/>
                <w:sz w:val="18"/>
                <w:szCs w:val="18"/>
                <w:color w:val="auto"/>
              </w:rPr>
              <w:t>(3,036)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2,165</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73"/>
              <w:spacing w:after="0"/>
              <w:rPr>
                <w:sz w:val="20"/>
                <w:szCs w:val="20"/>
                <w:color w:val="auto"/>
              </w:rPr>
            </w:pPr>
            <w:r>
              <w:rPr>
                <w:rFonts w:ascii="Arial" w:cs="Arial" w:eastAsia="Arial" w:hAnsi="Arial"/>
                <w:sz w:val="18"/>
                <w:szCs w:val="18"/>
                <w:color w:val="auto"/>
              </w:rPr>
              <w:t>(3,252)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(6,494)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(9,746)</w:t>
            </w:r>
          </w:p>
        </w:tc>
      </w:tr>
      <w:tr>
        <w:trPr>
          <w:trHeight w:val="21"/>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ind w:firstLine="485"/>
        <w:spacing w:after="0" w:line="289"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corresponding analysis of the allowance for loan losses at quarter-end. The provision for loan losses was $60.0 million and $125 million for the second quarter and the first six months of 2009, respectively, compared with $15.5 million and $23.0 million, respectively, for the same periods in 2008. Net loan charge-offs as an annualized percentage of average outstanding loans for the three months ended June 30, 2009 were 4.18%, compared to .97% for the second quarter of 2008. The amount of provision recorded in the second quarter was the amount required such that the total allowance for loan losses reflects, in the estimation of management, the appropriate balance and is adequate to cover inherent losses in the loan portfolio. The increases in the provision and the allowance for loan losses compared to a year ago were due to an increase in substandard loans, deterioration in the collateral values leading to an expectation of higher charge-offs upon default, further weakening of the residential construction and housing markets, and the recessionary economic environment. For the six months ended June 30, 2009, net loan charge-offs as an annualized percentage of average outstanding loans were 3.64%, compared to .72% for the same period in 2008.</w:t>
      </w:r>
    </w:p>
    <w:p>
      <w:pPr>
        <w:spacing w:after="0" w:line="194" w:lineRule="exact"/>
        <w:rPr>
          <w:sz w:val="20"/>
          <w:szCs w:val="20"/>
          <w:color w:val="auto"/>
        </w:rPr>
      </w:pPr>
    </w:p>
    <w:p>
      <w:pPr>
        <w:jc w:val="both"/>
        <w:ind w:firstLine="609"/>
        <w:spacing w:after="0" w:line="297" w:lineRule="auto"/>
        <w:rPr>
          <w:sz w:val="20"/>
          <w:szCs w:val="20"/>
          <w:color w:val="auto"/>
        </w:rPr>
      </w:pPr>
      <w:r>
        <w:rPr>
          <w:rFonts w:ascii="Arial" w:cs="Arial" w:eastAsia="Arial" w:hAnsi="Arial"/>
          <w:sz w:val="16"/>
          <w:szCs w:val="16"/>
          <w:color w:val="auto"/>
        </w:rPr>
        <w:t>As the residential construction and housing markets have struggled, most notably in the Atlanta MSA, it has been difficult for many builders and developers to obtain cash flow from selling lots and houses needed to service debt. This deterioration of the residential construction and housing market was the primary factor that resulted in higher credit losses and an increase in non-performing assets. Although a majority of the losses have been within the residential construction and development portion of the portfolio in the Atlanta MSA, credit quality deterioration has been observed in other markets and loan categories. Additional discussion on loan quality and the allowance for loan losses is included in the Asset Quality section of this report on page 31.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ind w:firstLine="490"/>
        <w:spacing w:after="0" w:line="279" w:lineRule="auto"/>
        <w:rPr>
          <w:sz w:val="20"/>
          <w:szCs w:val="20"/>
          <w:color w:val="auto"/>
        </w:rPr>
      </w:pPr>
      <w:r>
        <w:rPr>
          <w:rFonts w:ascii="Arial" w:cs="Arial" w:eastAsia="Arial" w:hAnsi="Arial"/>
          <w:sz w:val="17"/>
          <w:szCs w:val="17"/>
          <w:color w:val="auto"/>
        </w:rPr>
        <w:t>United continues to focus on increasing fee revenue through new products and services. Fee revenue for the three and six months ended June 30, 2009 was $24.4 million and $37.3 million, respectively. Fee revenue includes an $11.4 million gain on the acquisition of SCB in the second quarter of 2009. Excluding the gain on acquisition, operating fee revenue was $13.1 million and $25.9 million, respectively, for the second quarter and first six months of 2009, decreasing $2.1 million, or 14%, and $3.4 million, or 12%, respectively, from the same periods in 2008.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7"/>
          <w:szCs w:val="17"/>
          <w:color w:val="auto"/>
        </w:rPr>
        <w:t>The following table presents the components of fee revenue for the second quarters of 2009 and 2008, and the first six months of 2009 and 2008.</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0"/>
              </w:rPr>
              <w:t>Six Months Ended</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c>
          <w:tcPr>
            <w:tcW w:w="200" w:type="dxa"/>
            <w:vAlign w:val="bottom"/>
          </w:tcPr>
          <w:p>
            <w:pPr>
              <w:spacing w:after="0"/>
              <w:rPr>
                <w:sz w:val="19"/>
                <w:szCs w:val="19"/>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Service charges and fees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7,557</w:t>
            </w:r>
          </w:p>
        </w:tc>
        <w:tc>
          <w:tcPr>
            <w:tcW w:w="180" w:type="dxa"/>
            <w:vAlign w:val="bottom"/>
          </w:tcPr>
          <w:p>
            <w:pPr>
              <w:spacing w:after="0"/>
              <w:rPr>
                <w:sz w:val="24"/>
                <w:szCs w:val="24"/>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7,957</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14,591</w:t>
            </w:r>
          </w:p>
        </w:tc>
        <w:tc>
          <w:tcPr>
            <w:tcW w:w="180" w:type="dxa"/>
            <w:vAlign w:val="bottom"/>
          </w:tcPr>
          <w:p>
            <w:pPr>
              <w:spacing w:after="0"/>
              <w:rPr>
                <w:sz w:val="24"/>
                <w:szCs w:val="24"/>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15,770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4,165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Consulting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2,252</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4,059</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Brokerage fees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814</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1,907</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Securities (losses) gains,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r>
      <w:tr>
        <w:trPr>
          <w:trHeight w:val="229"/>
        </w:trPr>
        <w:tc>
          <w:tcPr>
            <w:tcW w:w="4220" w:type="dxa"/>
            <w:vAlign w:val="bottom"/>
          </w:tcPr>
          <w:p>
            <w:pPr>
              <w:ind w:left="160"/>
              <w:spacing w:after="0"/>
              <w:rPr>
                <w:sz w:val="20"/>
                <w:szCs w:val="20"/>
                <w:color w:val="auto"/>
              </w:rPr>
            </w:pPr>
            <w:r>
              <w:rPr>
                <w:rFonts w:ascii="Arial" w:cs="Arial" w:eastAsia="Arial" w:hAnsi="Arial"/>
                <w:sz w:val="18"/>
                <w:szCs w:val="18"/>
                <w:color w:val="auto"/>
              </w:rPr>
              <w:t>Operating fee revenue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15,105</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29,302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Gain from acquisition</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Total fee revenue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15,105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29,302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r>
      <w:tr>
        <w:trPr>
          <w:trHeight w:val="21"/>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54"/>
        <w:spacing w:after="0" w:line="342" w:lineRule="auto"/>
        <w:rPr>
          <w:sz w:val="20"/>
          <w:szCs w:val="20"/>
          <w:color w:val="auto"/>
        </w:rPr>
      </w:pPr>
      <w:r>
        <w:rPr>
          <w:rFonts w:ascii="Arial" w:cs="Arial" w:eastAsia="Arial" w:hAnsi="Arial"/>
          <w:sz w:val="16"/>
          <w:szCs w:val="16"/>
          <w:color w:val="auto"/>
        </w:rPr>
        <w:t>Service charges and fees of $7.6 million were down $400,000, or 5%, from the second quarter of 2008. For the first six months of 2009, service charges and fees of $14.6 million were down $1.2 million, or 7%, from the same period in 2008. This decrease was primarily due to a lower volume of overdraft fees.</w:t>
      </w:r>
    </w:p>
    <w:p>
      <w:pPr>
        <w:spacing w:after="0" w:line="151" w:lineRule="exact"/>
        <w:rPr>
          <w:sz w:val="20"/>
          <w:szCs w:val="20"/>
          <w:color w:val="auto"/>
        </w:rPr>
      </w:pPr>
    </w:p>
    <w:p>
      <w:pPr>
        <w:jc w:val="both"/>
        <w:ind w:firstLine="473"/>
        <w:spacing w:after="0" w:line="255" w:lineRule="auto"/>
        <w:rPr>
          <w:sz w:val="20"/>
          <w:szCs w:val="20"/>
          <w:color w:val="auto"/>
        </w:rPr>
      </w:pPr>
      <w:r>
        <w:rPr>
          <w:rFonts w:ascii="Arial" w:cs="Arial" w:eastAsia="Arial" w:hAnsi="Arial"/>
          <w:sz w:val="18"/>
          <w:szCs w:val="18"/>
          <w:color w:val="auto"/>
        </w:rPr>
        <w:t>Mortgage loans and related fees for the second quarter and first six months of 2009, were up $623,000, or 28%, and $1.3 million, or 31%, respectively, from the same periods in 2008. The increase is due to a significant increase in the level of refinancing activity as mortgage rates fell to historical lows. In the second quarter of 2009, United closed 1,008 loans totaling $168 million compared with 662 loans totaling $116 million in the second quarter of 2008. The second quarter year-to-date mortgage production of 2,004 loans totaling $342 million, compared very favorably with 1,214 loans totaling $213 million for the same period in 2008. The second quarter 2009 origination activity was at a record level for United. Substantially all originated residential mortgages were sold into the secondary market including the right to service these loans.</w:t>
      </w:r>
    </w:p>
    <w:p>
      <w:pPr>
        <w:spacing w:after="0" w:line="220" w:lineRule="exact"/>
        <w:rPr>
          <w:sz w:val="20"/>
          <w:szCs w:val="20"/>
          <w:color w:val="auto"/>
        </w:rPr>
      </w:pPr>
    </w:p>
    <w:p>
      <w:pPr>
        <w:jc w:val="both"/>
        <w:ind w:firstLine="466"/>
        <w:spacing w:after="0" w:line="293" w:lineRule="auto"/>
        <w:rPr>
          <w:sz w:val="20"/>
          <w:szCs w:val="20"/>
          <w:color w:val="auto"/>
        </w:rPr>
      </w:pPr>
      <w:r>
        <w:rPr>
          <w:rFonts w:ascii="Arial" w:cs="Arial" w:eastAsia="Arial" w:hAnsi="Arial"/>
          <w:sz w:val="16"/>
          <w:szCs w:val="16"/>
          <w:color w:val="auto"/>
        </w:rPr>
        <w:t>Consulting fees decreased $507,000, or 23%, compared to the second quarter of 2008. For the first six months of 2009, consulting fees were down $1.3 million, or 32%, compared with the first six months of 2008. This decrease is a direct result of the current economic stress affecting the financial services industry which has limited sales of new consulting projects. In addition, during the first quarter, and a portion of the second quarter, several consultants were engaged in United’s internal project to improve financial performance through revenue enhancement and cost savings initiatives. This project allowed United to maintain the consultants’ productivity while providing a valuable service to United; however, these services do not result in the recognition of consolidated consulting fee revenue for financial reporting purposes since the services were performed by a wholly-owned subsidiary.</w:t>
      </w:r>
    </w:p>
    <w:p>
      <w:pPr>
        <w:spacing w:after="0" w:line="192" w:lineRule="exact"/>
        <w:rPr>
          <w:sz w:val="20"/>
          <w:szCs w:val="20"/>
          <w:color w:val="auto"/>
        </w:rPr>
      </w:pPr>
    </w:p>
    <w:p>
      <w:pPr>
        <w:jc w:val="both"/>
        <w:ind w:firstLine="471"/>
        <w:spacing w:after="0" w:line="277" w:lineRule="auto"/>
        <w:rPr>
          <w:sz w:val="20"/>
          <w:szCs w:val="20"/>
          <w:color w:val="auto"/>
        </w:rPr>
      </w:pPr>
      <w:r>
        <w:rPr>
          <w:rFonts w:ascii="Arial" w:cs="Arial" w:eastAsia="Arial" w:hAnsi="Arial"/>
          <w:sz w:val="18"/>
          <w:szCs w:val="18"/>
          <w:color w:val="auto"/>
        </w:rPr>
        <w:t>Brokerage fees of $497,000 were down $317,000, or 39%, from the second quarter of 2008 due to the continuing weak market conditions. Year-to-date brokerage fees were down $721,000, or 38%, from the same period in 2008.</w:t>
      </w:r>
    </w:p>
    <w:p>
      <w:pPr>
        <w:spacing w:after="0" w:line="197" w:lineRule="exact"/>
        <w:rPr>
          <w:sz w:val="20"/>
          <w:szCs w:val="20"/>
          <w:color w:val="auto"/>
        </w:rPr>
      </w:pPr>
    </w:p>
    <w:p>
      <w:pPr>
        <w:jc w:val="both"/>
        <w:ind w:firstLine="506"/>
        <w:spacing w:after="0" w:line="264" w:lineRule="auto"/>
        <w:rPr>
          <w:sz w:val="20"/>
          <w:szCs w:val="20"/>
          <w:color w:val="auto"/>
        </w:rPr>
      </w:pPr>
      <w:r>
        <w:rPr>
          <w:rFonts w:ascii="Arial" w:cs="Arial" w:eastAsia="Arial" w:hAnsi="Arial"/>
          <w:sz w:val="18"/>
          <w:szCs w:val="18"/>
          <w:color w:val="auto"/>
        </w:rPr>
        <w:t>The securities losses of $711,000 and $408,000, respectively, for the second quarter and first six months of 2009 include a charge of $743,000 for the impairment of an equity investment in Silverton Bank, NA, a financial institution that failed during the second quarter. United wrote off its entire investment in Silverton.</w:t>
      </w:r>
    </w:p>
    <w:p>
      <w:pPr>
        <w:spacing w:after="0" w:line="208" w:lineRule="exact"/>
        <w:rPr>
          <w:sz w:val="20"/>
          <w:szCs w:val="20"/>
          <w:color w:val="auto"/>
        </w:rPr>
      </w:pPr>
    </w:p>
    <w:p>
      <w:pPr>
        <w:jc w:val="both"/>
        <w:ind w:firstLine="451"/>
        <w:spacing w:after="0" w:line="273" w:lineRule="auto"/>
        <w:rPr>
          <w:sz w:val="20"/>
          <w:szCs w:val="20"/>
          <w:color w:val="auto"/>
        </w:rPr>
      </w:pPr>
      <w:r>
        <w:rPr>
          <w:rFonts w:ascii="Arial" w:cs="Arial" w:eastAsia="Arial" w:hAnsi="Arial"/>
          <w:sz w:val="17"/>
          <w:szCs w:val="17"/>
          <w:color w:val="auto"/>
        </w:rPr>
        <w:t>The gain from acquisition recorded in the first quarter of 2009 resulted from the SCB acquisition which was accounted for as a bargain purchase. In this bargain purchase, the fair values of the net assets and liabilities received from the acquisition exceeded the purchase price of those assets and liabilities. With the SCB acquisition, United received assets, including a cash payment from the FDIC, with an estimated fair value of $378.2 million and liabilities with an estimated fair value of $366.8 million. The difference between the assets received and liabilities assumed of $11.4 million resulted in a gain from the acquisition. The fair values are preliminary and are subject to refinement for up to one year after the closing date as information relative to closing date fair values becomes available. Changes to the closing date fair values will result in future adjustments to gain from the acquisition.</w:t>
      </w:r>
    </w:p>
    <w:p>
      <w:pPr>
        <w:spacing w:after="0" w:line="205" w:lineRule="exact"/>
        <w:rPr>
          <w:sz w:val="20"/>
          <w:szCs w:val="20"/>
          <w:color w:val="auto"/>
        </w:rPr>
      </w:pPr>
    </w:p>
    <w:p>
      <w:pPr>
        <w:jc w:val="both"/>
        <w:ind w:firstLine="498"/>
        <w:spacing w:after="0" w:line="277" w:lineRule="auto"/>
        <w:rPr>
          <w:sz w:val="20"/>
          <w:szCs w:val="20"/>
          <w:color w:val="auto"/>
        </w:rPr>
      </w:pPr>
      <w:r>
        <w:rPr>
          <w:rFonts w:ascii="Arial" w:cs="Arial" w:eastAsia="Arial" w:hAnsi="Arial"/>
          <w:sz w:val="18"/>
          <w:szCs w:val="18"/>
          <w:color w:val="auto"/>
        </w:rPr>
        <w:t>Other fee revenue decreased $386,000, or 25%, and $759,000, or 25%, from the same periods in 2008. This decline is due to lower revenue generated by United’s Bank Owned Life Insurance (“BOLI”)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Operating expenses for the second quarter of 2009 were $55.3 million, up $5.6 million, or 11%, from second quarter 2008. For the six months ended June 30, 2009, total operating expenses were $180.8 million, which included a $70 million charge for goodwill impairment and $2.9 million in severance costs relating to a reduction in force. Excluding those non-recurring charges, operating expenses for the first six months of 2009 were $107.9 million, an increase of $10.6 million, or 11%, compared with $97.3 million for the same period in 2008.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color w:val="auto"/>
        </w:rPr>
        <w:t>The following table presents the components of operating expenses for the three and six months ended June 30, 2009 and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3"/>
              </w:rPr>
              <w:t>Three Months Ended</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740" w:type="dxa"/>
            <w:vAlign w:val="bottom"/>
          </w:tcPr>
          <w:p>
            <w:pPr>
              <w:spacing w:after="0"/>
              <w:rPr>
                <w:sz w:val="18"/>
                <w:szCs w:val="18"/>
                <w:color w:val="auto"/>
              </w:rPr>
            </w:pPr>
          </w:p>
        </w:tc>
      </w:tr>
      <w:tr>
        <w:trPr>
          <w:trHeight w:val="241"/>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2008</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Change</w:t>
            </w: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28,058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28,753</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56,897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57,507</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3,852</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7,374</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7,684</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Occupancy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3,704</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7,660</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7,420</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2,009</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3,360</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Postage, printing and supplies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1,448</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2,476</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3,040</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1,679</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5,099</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3,600</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42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Foreclosed property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2,852</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10,056</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3,763</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167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FDIC assessments and other regulatory charges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1,265</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9,492</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2,531</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275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745</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1,512</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Goodwill impairment</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70,000</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Severance costs</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2,898</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3,454</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5,085</w:t>
            </w: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6,873</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16"/>
        </w:trPr>
        <w:tc>
          <w:tcPr>
            <w:tcW w:w="3940" w:type="dxa"/>
            <w:vAlign w:val="bottom"/>
          </w:tcPr>
          <w:p>
            <w:pPr>
              <w:ind w:left="16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55,348</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49,761</w:t>
            </w:r>
          </w:p>
        </w:tc>
        <w:tc>
          <w:tcPr>
            <w:tcW w:w="360" w:type="dxa"/>
            <w:vAlign w:val="bottom"/>
          </w:tcPr>
          <w:p>
            <w:pPr>
              <w:spacing w:after="0"/>
              <w:rPr>
                <w:sz w:val="18"/>
                <w:szCs w:val="18"/>
                <w:color w:val="auto"/>
              </w:rPr>
            </w:pPr>
          </w:p>
        </w:tc>
        <w:tc>
          <w:tcPr>
            <w:tcW w:w="8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180,815</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97,290</w:t>
            </w:r>
          </w:p>
        </w:tc>
        <w:tc>
          <w:tcPr>
            <w:tcW w:w="360" w:type="dxa"/>
            <w:vAlign w:val="bottom"/>
          </w:tcPr>
          <w:p>
            <w:pPr>
              <w:spacing w:after="0"/>
              <w:rPr>
                <w:sz w:val="18"/>
                <w:szCs w:val="18"/>
                <w:color w:val="auto"/>
              </w:rPr>
            </w:pPr>
          </w:p>
        </w:tc>
        <w:tc>
          <w:tcPr>
            <w:tcW w:w="74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86</w:t>
            </w:r>
          </w:p>
        </w:tc>
      </w:tr>
      <w:tr>
        <w:trPr>
          <w:trHeight w:val="21"/>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22"/>
        <w:spacing w:after="0" w:line="255" w:lineRule="auto"/>
        <w:rPr>
          <w:sz w:val="20"/>
          <w:szCs w:val="20"/>
          <w:color w:val="auto"/>
        </w:rPr>
      </w:pPr>
      <w:r>
        <w:rPr>
          <w:rFonts w:ascii="Arial" w:cs="Arial" w:eastAsia="Arial" w:hAnsi="Arial"/>
          <w:sz w:val="18"/>
          <w:szCs w:val="18"/>
          <w:color w:val="auto"/>
        </w:rPr>
        <w:t>Salaries and employee benefits for the second quarter 2009 totaled $28.1 million, down $695,000, or 2%, from the same period of 2008. For the first six months of 2009, salaries and employee benefits of $56.9 million were down $610,000, or 1%, from the first six months of 2008. As a result of United’s reduction in workforce in the second quarter of 2009, employee salaries decreased $1.1 million from the second quarter of 2008. This decrease, however, was offset by higher mortgage commissions related to refinancing activity and higher incentives associated with United’s program to raise core deposits. Through the reduction in workforce, United reduced headcount from 1,994 employees at December 31, 2008 to 1,809 at June 30, 2009, excluding 60 employees added through the acquisition of SCB.</w:t>
      </w:r>
    </w:p>
    <w:p>
      <w:pPr>
        <w:spacing w:after="0" w:line="22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Professional fees for the second quarter of 2009 of $2.8 million were up $1.1 million, or 67%, from the same period in 2008. Year-to-date professional fees of $5.1 million were up $1.5 million, or 42%, over the same period in 2008. The increase is primarily related to legal fees incurred in the loan workout and foreclosure process.</w:t>
      </w:r>
    </w:p>
    <w:p>
      <w:pPr>
        <w:spacing w:after="0" w:line="208" w:lineRule="exact"/>
        <w:rPr>
          <w:sz w:val="20"/>
          <w:szCs w:val="20"/>
          <w:color w:val="auto"/>
        </w:rPr>
      </w:pPr>
    </w:p>
    <w:p>
      <w:pPr>
        <w:jc w:val="both"/>
        <w:ind w:firstLine="458"/>
        <w:spacing w:after="0" w:line="276" w:lineRule="auto"/>
        <w:rPr>
          <w:sz w:val="20"/>
          <w:szCs w:val="20"/>
          <w:color w:val="auto"/>
        </w:rPr>
      </w:pPr>
      <w:r>
        <w:rPr>
          <w:rFonts w:ascii="Arial" w:cs="Arial" w:eastAsia="Arial" w:hAnsi="Arial"/>
          <w:sz w:val="17"/>
          <w:szCs w:val="17"/>
          <w:color w:val="auto"/>
        </w:rPr>
        <w:t>Foreclosed property expense of $5.7 million for the second quarter of 2009 was up $2.9 million from the second quarter of 2008, reflecting the increase in the number of foreclosed properties. For the first six months of 2009, foreclosed property expense of $10.1 million was up $6.3 million over the first six months of 2008. This expense category includes legal fees, property taxes, marketing costs, utility services, maintenance and repair charges as well as realized losses and write downs associated with foreclosed properties. Realized losses and write-downs were $2.6 million and $4.4 million for the three- and six-months ended June 30, 2009, compared to $1.8 million and $2.1 million, respectively for 2008.</w:t>
      </w:r>
    </w:p>
    <w:p>
      <w:pPr>
        <w:spacing w:after="0" w:line="200" w:lineRule="exact"/>
        <w:rPr>
          <w:sz w:val="20"/>
          <w:szCs w:val="20"/>
          <w:color w:val="auto"/>
        </w:rPr>
      </w:pPr>
    </w:p>
    <w:p>
      <w:pPr>
        <w:jc w:val="both"/>
        <w:ind w:firstLine="532"/>
        <w:spacing w:after="0" w:line="264" w:lineRule="auto"/>
        <w:rPr>
          <w:sz w:val="20"/>
          <w:szCs w:val="20"/>
          <w:color w:val="auto"/>
        </w:rPr>
      </w:pPr>
      <w:r>
        <w:rPr>
          <w:rFonts w:ascii="Arial" w:cs="Arial" w:eastAsia="Arial" w:hAnsi="Arial"/>
          <w:sz w:val="18"/>
          <w:szCs w:val="18"/>
          <w:color w:val="auto"/>
        </w:rPr>
        <w:t>FDIC assessments and other regulatory charges of $6.8 million, and $9.5 million, for the second quarter and first six months of 2009, increased $5.5 million and $7.0 million, respectively, from the second quarter and first six months of 2008 reflecting both the increase in FDIC insurance premiums and a $3.7 million provision for the one time special assessment charged to all depository institutions.</w:t>
      </w:r>
    </w:p>
    <w:p>
      <w:pPr>
        <w:spacing w:after="0" w:line="208" w:lineRule="exact"/>
        <w:rPr>
          <w:sz w:val="20"/>
          <w:szCs w:val="20"/>
          <w:color w:val="auto"/>
        </w:rPr>
      </w:pPr>
    </w:p>
    <w:p>
      <w:pPr>
        <w:jc w:val="both"/>
        <w:ind w:firstLine="516"/>
        <w:spacing w:after="0" w:line="312" w:lineRule="auto"/>
        <w:rPr>
          <w:sz w:val="20"/>
          <w:szCs w:val="20"/>
          <w:color w:val="auto"/>
        </w:rPr>
      </w:pPr>
      <w:r>
        <w:rPr>
          <w:rFonts w:ascii="Arial" w:cs="Arial" w:eastAsia="Arial" w:hAnsi="Arial"/>
          <w:sz w:val="16"/>
          <w:szCs w:val="16"/>
          <w:color w:val="auto"/>
        </w:rPr>
        <w:t>Other expense of $1.2 million for the second quarter of 2009 decreased $2.2 million from the second quarter of 2008. Year-to-date, other expenses of $5.1 million decreased $1.8 million from the first six months of 2008. The decrease was the result of an accrual in fourth quarter 2008 for $2.4 million related to a disputed charge from the transfer of BOLI investments. The disputed charge was settled in United’s favor during the second quarter of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473"/>
        <w:spacing w:after="0" w:line="255" w:lineRule="auto"/>
        <w:rPr>
          <w:sz w:val="20"/>
          <w:szCs w:val="20"/>
          <w:color w:val="auto"/>
        </w:rPr>
      </w:pPr>
      <w:r>
        <w:rPr>
          <w:rFonts w:ascii="Arial" w:cs="Arial" w:eastAsia="Arial" w:hAnsi="Arial"/>
          <w:sz w:val="18"/>
          <w:szCs w:val="18"/>
          <w:color w:val="auto"/>
        </w:rPr>
        <w:t>Income tax benefit for the second quarter 2009 was $14.5 million as compared with income tax expense of $3.9 million for the second quarter of 2008, representing an effective tax rate of 47.5% and 35.5%, respectively. For the first six months of 2009, income tax benefit was $31.4 million as compared with income tax expense of $12.7 million for the same period in 2008, representing an effective tax rate of 20.8% and 35.5%, respectively. The effective tax rates were different from the statutory tax rates primarily due to interest revenue on certain investment securities and loans that are exempt from income taxes, tax exempt fee revenue, tax credits received on affordable housing investments, the goodwill impairment charge and the change in valuation allowance on deferred tax assets as discussed below.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ind w:firstLine="451"/>
        <w:spacing w:after="0" w:line="297" w:lineRule="auto"/>
        <w:rPr>
          <w:sz w:val="20"/>
          <w:szCs w:val="20"/>
          <w:color w:val="auto"/>
        </w:rPr>
      </w:pPr>
      <w:r>
        <w:rPr>
          <w:rFonts w:ascii="Arial" w:cs="Arial" w:eastAsia="Arial" w:hAnsi="Arial"/>
          <w:sz w:val="16"/>
          <w:szCs w:val="16"/>
          <w:color w:val="auto"/>
        </w:rPr>
        <w:t>The effective tax rate for the second quarter of 2009 reflects a decision by management to reinstate certain BOLI policies which United had surrendered in the third quarter of 2008. United notified the carrier of its intent to surrender the policies in the fourth quarter of 2008 due to a dispute with the carrier. The policies required a six month waiting period before the surrender became effective. Prior to the expiration of the six month waiting period, United and the carrier were able to reach an acceptable settlement of the dispute and the surrender transaction was terminated. The tax charge recorded in 2008 was reversed during the second quarter of 2009. The effective tax rate for the second quarter, absent the BOLI credit, would have been 38%.</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Additional information regarding income taxes can be found in Note 14 to the consolidated financial statements filed with United’s 2008 Form 10-K.</w:t>
      </w:r>
    </w:p>
    <w:p>
      <w:pPr>
        <w:spacing w:after="0" w:line="275" w:lineRule="exact"/>
        <w:rPr>
          <w:sz w:val="20"/>
          <w:szCs w:val="20"/>
          <w:color w:val="auto"/>
        </w:rPr>
      </w:pPr>
    </w:p>
    <w:p>
      <w:pPr>
        <w:jc w:val="both"/>
        <w:ind w:firstLine="489"/>
        <w:spacing w:after="0" w:line="255" w:lineRule="auto"/>
        <w:rPr>
          <w:sz w:val="20"/>
          <w:szCs w:val="20"/>
          <w:color w:val="auto"/>
        </w:rPr>
      </w:pPr>
      <w:r>
        <w:rPr>
          <w:rFonts w:ascii="Arial" w:cs="Arial" w:eastAsia="Arial" w:hAnsi="Arial"/>
          <w:sz w:val="18"/>
          <w:szCs w:val="18"/>
          <w:color w:val="auto"/>
        </w:rPr>
        <w:t>The effective tax rate for the first six months of 2009 also reflects the tax treatment of the $70 million goodwill impairment charge. Since the majority of United’s goodwill originated from acquisitions that were treated as tax-free exchanges, no goodwill was recognized for tax reporting purposes and therefore no tax deduction is allowed for the impairment charge. Likewise, no tax benefit is recognized in the financial statements relating to the $70 million charge. The year-to-date 2009 effective tax rate also reflects a valuation allowance established for deferred tax assets. Management determined that it is more likely than not that approximately $2.3 million, net of Federal benefit, in state low income housing tax credits will expire unused due to their very short three year carry forward period.</w:t>
      </w:r>
    </w:p>
    <w:p>
      <w:pPr>
        <w:spacing w:after="0" w:line="220" w:lineRule="exact"/>
        <w:rPr>
          <w:sz w:val="20"/>
          <w:szCs w:val="20"/>
          <w:color w:val="auto"/>
        </w:rPr>
      </w:pPr>
    </w:p>
    <w:p>
      <w:pPr>
        <w:jc w:val="both"/>
        <w:ind w:firstLine="448"/>
        <w:spacing w:after="0" w:line="288" w:lineRule="auto"/>
        <w:rPr>
          <w:sz w:val="20"/>
          <w:szCs w:val="20"/>
          <w:color w:val="auto"/>
        </w:rPr>
      </w:pPr>
      <w:r>
        <w:rPr>
          <w:rFonts w:ascii="Arial" w:cs="Arial" w:eastAsia="Arial" w:hAnsi="Arial"/>
          <w:sz w:val="16"/>
          <w:szCs w:val="16"/>
          <w:color w:val="auto"/>
        </w:rPr>
        <w:t xml:space="preserve">At June 30, 2009, United had net deferred tax assets of $21.5 million, including a valuation allowance of $2.3 million related to state tax credits that are expected to expire unused. Statement of Financial Accounting Standards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June 30, 2009, United’s management believes that it is more likely than not that, with the exception of those state tax credits that are expected to expire unused due to a relatively short carryforward period of only three years, it will be able to realize its deferred tax benefits through its ability to carry losses back to open tax years or carry losses forward to future profitable years. Despite recent losses and the challenging economic environment, United has a history of strong earnings, is well-capitalized, and has cautiously optimistic expectations regarding future taxable income. The deferred tax assets will be analyzed quarterly for changes affecting realizability, and there can be no guarantee that a valuation allowance will not be necessary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ind w:right="20" w:firstLine="531"/>
        <w:spacing w:after="0" w:line="277" w:lineRule="auto"/>
        <w:rPr>
          <w:sz w:val="20"/>
          <w:szCs w:val="20"/>
          <w:color w:val="auto"/>
        </w:rPr>
      </w:pPr>
      <w:r>
        <w:rPr>
          <w:rFonts w:ascii="Arial" w:cs="Arial" w:eastAsia="Arial" w:hAnsi="Arial"/>
          <w:sz w:val="18"/>
          <w:szCs w:val="18"/>
          <w:color w:val="auto"/>
        </w:rPr>
        <w:t>Total assets at June 30, 2009 and 2008 were $8.4 billion and $8.3 billion, respectively. Average total assets for the second quarter of 2009 were $8.2 billion, down from $8.3 billion in the second quarter of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firstLine="450"/>
        <w:spacing w:after="0" w:line="312" w:lineRule="auto"/>
        <w:rPr>
          <w:sz w:val="20"/>
          <w:szCs w:val="20"/>
          <w:color w:val="auto"/>
        </w:rPr>
      </w:pPr>
      <w:r>
        <w:rPr>
          <w:rFonts w:ascii="Arial" w:cs="Arial" w:eastAsia="Arial" w:hAnsi="Arial"/>
          <w:sz w:val="16"/>
          <w:szCs w:val="16"/>
          <w:color w:val="auto"/>
        </w:rPr>
        <w:t>United reviews its goodwill for impairment annually or more frequently if circumstances indicate that goodwill has been impaired. United completed its annual goodwill impairment assessment as of December 31, 2008. In completing the annual assessment, United engaged an international accounting firm to assist with the valuation. United’s year-end goodwill impairment assessment indicated that there was no goodwill impairment.</w:t>
      </w:r>
    </w:p>
    <w:p>
      <w:pPr>
        <w:spacing w:after="0" w:line="174" w:lineRule="exact"/>
        <w:rPr>
          <w:sz w:val="20"/>
          <w:szCs w:val="20"/>
          <w:color w:val="auto"/>
        </w:rPr>
      </w:pPr>
    </w:p>
    <w:p>
      <w:pPr>
        <w:jc w:val="both"/>
        <w:ind w:firstLine="535"/>
        <w:spacing w:after="0" w:line="273" w:lineRule="auto"/>
        <w:rPr>
          <w:sz w:val="20"/>
          <w:szCs w:val="20"/>
          <w:color w:val="auto"/>
        </w:rPr>
      </w:pPr>
      <w:r>
        <w:rPr>
          <w:rFonts w:ascii="Arial" w:cs="Arial" w:eastAsia="Arial" w:hAnsi="Arial"/>
          <w:sz w:val="17"/>
          <w:szCs w:val="17"/>
          <w:color w:val="auto"/>
        </w:rPr>
        <w:t>During the first quarter of 2009, United’s stock price fell from $13.58 at December 31, 2008 to a low of $2.28 in the first quarter and ended the first quarter of 2009 at $4.16 which management believes reflected uncertainty about the economic cycle. Additionally, the stock prices of the peer group used as part of the valuation analysis in the year-end goodwill impairment assessment experienced similar declines. The current economic environment has resulted in lower earnings with higher credit costs and those costs have been reflected in the income statement as well as valuation adjustments to the loan balances through increases to the level of the allowance for loan losses. With the stock price trading at a significant discount to book value and tangible book value and these other factors, management believed that goodwill should be re-assessed for impairment.</w:t>
      </w:r>
    </w:p>
    <w:p>
      <w:pPr>
        <w:spacing w:after="0" w:line="205" w:lineRule="exact"/>
        <w:rPr>
          <w:sz w:val="20"/>
          <w:szCs w:val="20"/>
          <w:color w:val="auto"/>
        </w:rPr>
      </w:pPr>
    </w:p>
    <w:p>
      <w:pPr>
        <w:jc w:val="both"/>
        <w:ind w:firstLine="603"/>
        <w:spacing w:after="0" w:line="254" w:lineRule="auto"/>
        <w:rPr>
          <w:sz w:val="20"/>
          <w:szCs w:val="20"/>
          <w:color w:val="auto"/>
        </w:rPr>
      </w:pPr>
      <w:r>
        <w:rPr>
          <w:rFonts w:ascii="Arial" w:cs="Arial" w:eastAsia="Arial" w:hAnsi="Arial"/>
          <w:sz w:val="18"/>
          <w:szCs w:val="18"/>
          <w:color w:val="auto"/>
        </w:rPr>
        <w:t>In performing the first quarter assessment, United engaged the same third party valuation firm used to assist with the annual goodwill impairment assessment. The interim assessment in the first quarter was performed using a consistent approach with the annual assessment in the fourth quarter. The first step (Step 1) of the goodwill impairment analysis was to determine if the fair value of United exceeded the book value of equity, which would imply that goodwill is not impaired. The Step 1 analysis included three commonly used valuation techniques including an earnings approach that considered discounted future expected cash earnings and two market approaches. The first market approach was the Guideline Public Company method that considered United’s implied value by comparing United to a select peer group of public companies and their current market valuation and the second market approach was the Merger and Acquisition method that considered the amount an acquiring company might be willing to pay to gain control of United based on recent merger and acquisition activity.</w:t>
      </w:r>
    </w:p>
    <w:p>
      <w:pPr>
        <w:spacing w:after="0" w:line="219"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7"/>
          <w:szCs w:val="17"/>
          <w:color w:val="auto"/>
        </w:rPr>
        <w:t>At December 31, 2008, United’s Step 1 analysis indicated that the fair value of United exceeded book value. All three valuation techniques used in Step 1 of the interim assessment showed a decline in value from the annual assessment performed at year-end due to deteriorating market conditions in the financial services industry and a decline in United’s internal earnings forecast related to further credit quality deterioration. The Step 1 analysis performed in the first quarter indicated that the estimated fair value of United had fallen below its book value.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both"/>
        <w:ind w:firstLine="475"/>
        <w:spacing w:after="0" w:line="257" w:lineRule="auto"/>
        <w:rPr>
          <w:sz w:val="20"/>
          <w:szCs w:val="20"/>
          <w:color w:val="auto"/>
        </w:rPr>
      </w:pPr>
      <w:r>
        <w:rPr>
          <w:rFonts w:ascii="Arial" w:cs="Arial" w:eastAsia="Arial" w:hAnsi="Arial"/>
          <w:sz w:val="18"/>
          <w:szCs w:val="18"/>
          <w:color w:val="auto"/>
        </w:rPr>
        <w:t>The declining valuation determined in Step 1 led to Step 2 of the goodwill impairment assessment which required United to determine the fair value of all assets and liabilities, including separately identifiable intangible assets, and determine the implied goodwill as the difference between the value of United determined in Step 1 and the value of the underlying assets and liabilities determined in Step 2. Because the implied value of goodwill resulting from the Step 2 analysis was $70 million less than the carrying amount of goodwill, United concluded that impairment was present and a $70 million charge to earnings was recorded in the first quarter.</w:t>
      </w:r>
    </w:p>
    <w:p>
      <w:pPr>
        <w:spacing w:after="0" w:line="215" w:lineRule="exact"/>
        <w:rPr>
          <w:sz w:val="20"/>
          <w:szCs w:val="20"/>
          <w:color w:val="auto"/>
        </w:rPr>
      </w:pPr>
    </w:p>
    <w:p>
      <w:pPr>
        <w:jc w:val="both"/>
        <w:ind w:firstLine="467"/>
        <w:spacing w:after="0" w:line="259" w:lineRule="auto"/>
        <w:rPr>
          <w:sz w:val="20"/>
          <w:szCs w:val="20"/>
          <w:color w:val="auto"/>
        </w:rPr>
      </w:pPr>
      <w:r>
        <w:rPr>
          <w:rFonts w:ascii="Arial" w:cs="Arial" w:eastAsia="Arial" w:hAnsi="Arial"/>
          <w:sz w:val="18"/>
          <w:szCs w:val="18"/>
          <w:color w:val="auto"/>
        </w:rPr>
        <w:t>There are a number of valuation assumptions required to determine the value of the assets and liabilities. The most significant assumptions relate to the value of the loan portfolio. Those assumptions included estimates of cash flows on non-performing loans and probability of default rates and loss on default rates for performing loans. Changes in those assumptions, or any other significant assumptions, could have a significant impact on the results of the goodwill impairment assessment and result in future impairment charges.</w:t>
      </w:r>
    </w:p>
    <w:p>
      <w:pPr>
        <w:spacing w:after="0" w:line="214"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In the second quarter of 2009, United’s stock performance improved and closing stock price at quarter-end was $5.99, compared to $4.16 at March 31, 2009. Further, there were no other events or changes in operating conditions that would require an update to the assessment of goodwill for impairment in the second quarter. Each quarter, management continues to monitor conditions and, unless required earlier, the annual goodwill assessment will be updated in the fourth quarter of 2009.</w:t>
      </w:r>
    </w:p>
    <w:p>
      <w:pPr>
        <w:spacing w:after="0" w:line="214" w:lineRule="exact"/>
        <w:rPr>
          <w:sz w:val="20"/>
          <w:szCs w:val="20"/>
          <w:color w:val="auto"/>
        </w:rPr>
      </w:pPr>
    </w:p>
    <w:p>
      <w:pPr>
        <w:jc w:val="both"/>
        <w:ind w:firstLine="475"/>
        <w:spacing w:after="0" w:line="308" w:lineRule="auto"/>
        <w:rPr>
          <w:sz w:val="20"/>
          <w:szCs w:val="20"/>
          <w:color w:val="auto"/>
        </w:rPr>
      </w:pPr>
      <w:r>
        <w:rPr>
          <w:rFonts w:ascii="Arial" w:cs="Arial" w:eastAsia="Arial" w:hAnsi="Arial"/>
          <w:sz w:val="17"/>
          <w:szCs w:val="17"/>
          <w:color w:val="auto"/>
        </w:rPr>
        <w:t>Because goodwill is an intangible asset that cannot be sold separately or otherwise disposed of, it is not recognized in determining capital adequacy for regulatory purposes. Therefore the goodwill impairment charge in the first quarter had no effect on United’s regulatory capital ratios.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7 - Loans Outstanding (excludes loans covered by loss share agreement)</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June 30,</w:t>
            </w:r>
          </w:p>
        </w:tc>
        <w:tc>
          <w:tcPr>
            <w:tcW w:w="150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4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0"/>
                <w:szCs w:val="20"/>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580"/>
              <w:spacing w:after="0" w:line="201" w:lineRule="exact"/>
              <w:rPr>
                <w:sz w:val="20"/>
                <w:szCs w:val="20"/>
                <w:color w:val="auto"/>
              </w:rPr>
            </w:pPr>
            <w:r>
              <w:rPr>
                <w:rFonts w:ascii="Arial" w:cs="Arial" w:eastAsia="Arial" w:hAnsi="Arial"/>
                <w:sz w:val="18"/>
                <w:szCs w:val="18"/>
                <w:b w:val="1"/>
                <w:bCs w:val="1"/>
                <w:color w:val="auto"/>
              </w:rPr>
              <w:t>By Loan Type</w:t>
            </w:r>
          </w:p>
        </w:tc>
        <w:tc>
          <w:tcPr>
            <w:tcW w:w="2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Commercial (secured by real estate)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1,796,560</w:t>
            </w:r>
          </w:p>
        </w:tc>
        <w:tc>
          <w:tcPr>
            <w:tcW w:w="28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1,626,966</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$1,584,258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Commercial construction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378,779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499,663</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521,794</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80"/>
              <w:spacing w:after="0"/>
              <w:rPr>
                <w:sz w:val="20"/>
                <w:szCs w:val="20"/>
                <w:color w:val="auto"/>
              </w:rPr>
            </w:pPr>
            <w:r>
              <w:rPr>
                <w:rFonts w:ascii="Arial" w:cs="Arial" w:eastAsia="Arial" w:hAnsi="Arial"/>
                <w:sz w:val="18"/>
                <w:szCs w:val="18"/>
                <w:color w:val="auto"/>
              </w:rPr>
              <w:t>Commercial (commercial and industrial)</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399,564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410,529</w:t>
            </w: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416,626</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900"/>
              <w:spacing w:after="0" w:line="201" w:lineRule="exact"/>
              <w:rPr>
                <w:sz w:val="20"/>
                <w:szCs w:val="20"/>
                <w:color w:val="auto"/>
              </w:rPr>
            </w:pPr>
            <w:r>
              <w:rPr>
                <w:rFonts w:ascii="Arial" w:cs="Arial" w:eastAsia="Arial" w:hAnsi="Arial"/>
                <w:sz w:val="18"/>
                <w:szCs w:val="18"/>
                <w:color w:val="auto"/>
              </w:rPr>
              <w:t>Total commercial</w:t>
            </w:r>
          </w:p>
        </w:tc>
        <w:tc>
          <w:tcPr>
            <w:tcW w:w="2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2,574,903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2,537,158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2,522,678</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Residential construction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1,315,353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1,478,679</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1,745,151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Residential mortgage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1,469,754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1,526,388</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1,494,562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80"/>
              <w:spacing w:after="0"/>
              <w:rPr>
                <w:sz w:val="20"/>
                <w:szCs w:val="20"/>
                <w:color w:val="auto"/>
              </w:rPr>
            </w:pPr>
            <w:r>
              <w:rPr>
                <w:rFonts w:ascii="Arial" w:cs="Arial" w:eastAsia="Arial" w:hAnsi="Arial"/>
                <w:sz w:val="18"/>
                <w:szCs w:val="18"/>
                <w:color w:val="auto"/>
              </w:rPr>
              <w:t>Installment</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153,077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162,636</w:t>
            </w: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170,750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900"/>
              <w:spacing w:after="0"/>
              <w:rPr>
                <w:sz w:val="20"/>
                <w:szCs w:val="20"/>
                <w:color w:val="auto"/>
              </w:rPr>
            </w:pPr>
            <w:r>
              <w:rPr>
                <w:rFonts w:ascii="Arial" w:cs="Arial" w:eastAsia="Arial" w:hAnsi="Arial"/>
                <w:sz w:val="18"/>
                <w:szCs w:val="18"/>
                <w:color w:val="auto"/>
              </w:rPr>
              <w:t>Total loans</w:t>
            </w:r>
          </w:p>
        </w:tc>
        <w:tc>
          <w:tcPr>
            <w:tcW w:w="2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5,513,087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5,933,141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60" w:type="dxa"/>
            <w:vAlign w:val="bottom"/>
            <w:vMerge w:val="restart"/>
          </w:tcPr>
          <w:p>
            <w:pPr>
              <w:ind w:left="580"/>
              <w:spacing w:after="0"/>
              <w:rPr>
                <w:sz w:val="20"/>
                <w:szCs w:val="20"/>
                <w:color w:val="auto"/>
              </w:rPr>
            </w:pPr>
            <w:r>
              <w:rPr>
                <w:rFonts w:ascii="Arial" w:cs="Arial" w:eastAsia="Arial" w:hAnsi="Arial"/>
                <w:sz w:val="18"/>
                <w:szCs w:val="18"/>
                <w:color w:val="auto"/>
              </w:rPr>
              <w:t>As a percentage of total loans:</w:t>
            </w: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66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740"/>
              <w:spacing w:after="0"/>
              <w:rPr>
                <w:sz w:val="20"/>
                <w:szCs w:val="20"/>
                <w:color w:val="auto"/>
              </w:rPr>
            </w:pPr>
            <w:r>
              <w:rPr>
                <w:rFonts w:ascii="Arial" w:cs="Arial" w:eastAsia="Arial" w:hAnsi="Arial"/>
                <w:sz w:val="18"/>
                <w:szCs w:val="18"/>
                <w:color w:val="auto"/>
              </w:rPr>
              <w:t>Commercial (secured by real estate)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60" w:type="dxa"/>
            <w:vAlign w:val="bottom"/>
          </w:tcPr>
          <w:p>
            <w:pPr>
              <w:ind w:left="740"/>
              <w:spacing w:after="0"/>
              <w:rPr>
                <w:sz w:val="20"/>
                <w:szCs w:val="20"/>
                <w:color w:val="auto"/>
              </w:rPr>
            </w:pPr>
            <w:r>
              <w:rPr>
                <w:rFonts w:ascii="Arial" w:cs="Arial" w:eastAsia="Arial" w:hAnsi="Arial"/>
                <w:sz w:val="18"/>
                <w:szCs w:val="18"/>
                <w:color w:val="auto"/>
              </w:rPr>
              <w:t>Commercial construction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740"/>
              <w:spacing w:after="0"/>
              <w:rPr>
                <w:sz w:val="20"/>
                <w:szCs w:val="20"/>
                <w:color w:val="auto"/>
              </w:rPr>
            </w:pPr>
            <w:r>
              <w:rPr>
                <w:rFonts w:ascii="Arial" w:cs="Arial" w:eastAsia="Arial" w:hAnsi="Arial"/>
                <w:sz w:val="18"/>
                <w:szCs w:val="18"/>
                <w:color w:val="auto"/>
              </w:rPr>
              <w:t>Commercial (commercial and industrial)</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900"/>
              <w:spacing w:after="0" w:line="201" w:lineRule="exact"/>
              <w:rPr>
                <w:sz w:val="20"/>
                <w:szCs w:val="20"/>
                <w:color w:val="auto"/>
              </w:rPr>
            </w:pPr>
            <w:r>
              <w:rPr>
                <w:rFonts w:ascii="Arial" w:cs="Arial" w:eastAsia="Arial" w:hAnsi="Arial"/>
                <w:sz w:val="18"/>
                <w:szCs w:val="18"/>
                <w:color w:val="auto"/>
              </w:rPr>
              <w:t>Total commercial</w:t>
            </w:r>
          </w:p>
        </w:tc>
        <w:tc>
          <w:tcPr>
            <w:tcW w:w="2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740"/>
              <w:spacing w:after="0"/>
              <w:rPr>
                <w:sz w:val="20"/>
                <w:szCs w:val="20"/>
                <w:color w:val="auto"/>
              </w:rPr>
            </w:pPr>
            <w:r>
              <w:rPr>
                <w:rFonts w:ascii="Arial" w:cs="Arial" w:eastAsia="Arial" w:hAnsi="Arial"/>
                <w:sz w:val="18"/>
                <w:szCs w:val="18"/>
                <w:color w:val="auto"/>
              </w:rPr>
              <w:t>Residential construction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740"/>
              <w:spacing w:after="0"/>
              <w:rPr>
                <w:sz w:val="20"/>
                <w:szCs w:val="20"/>
                <w:color w:val="auto"/>
              </w:rPr>
            </w:pPr>
            <w:r>
              <w:rPr>
                <w:rFonts w:ascii="Arial" w:cs="Arial" w:eastAsia="Arial" w:hAnsi="Arial"/>
                <w:sz w:val="18"/>
                <w:szCs w:val="18"/>
                <w:color w:val="auto"/>
              </w:rPr>
              <w:t>Residential mortgage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740"/>
              <w:spacing w:after="0"/>
              <w:rPr>
                <w:sz w:val="20"/>
                <w:szCs w:val="20"/>
                <w:color w:val="auto"/>
              </w:rPr>
            </w:pPr>
            <w:r>
              <w:rPr>
                <w:rFonts w:ascii="Arial" w:cs="Arial" w:eastAsia="Arial" w:hAnsi="Arial"/>
                <w:sz w:val="18"/>
                <w:szCs w:val="18"/>
                <w:color w:val="auto"/>
              </w:rPr>
              <w:t>Installment</w:t>
            </w:r>
          </w:p>
        </w:tc>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900"/>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46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By Geographic Location</w:t>
            </w: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66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Atlanta MSA</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1,604,501</w:t>
            </w:r>
          </w:p>
        </w:tc>
        <w:tc>
          <w:tcPr>
            <w:tcW w:w="28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1,705,561</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$ 1,933,811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Gainesville MSA</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413,065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420,169</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421,711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North Georgia</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1,977,991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2,040,082</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2,064,856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Western North Carolina</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794,251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809,863</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818,677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80"/>
              <w:spacing w:after="0"/>
              <w:rPr>
                <w:sz w:val="20"/>
                <w:szCs w:val="20"/>
                <w:color w:val="auto"/>
              </w:rPr>
            </w:pPr>
            <w:r>
              <w:rPr>
                <w:rFonts w:ascii="Arial" w:cs="Arial" w:eastAsia="Arial" w:hAnsi="Arial"/>
                <w:sz w:val="18"/>
                <w:szCs w:val="18"/>
                <w:color w:val="auto"/>
              </w:rPr>
              <w:t>Coastal Georgia</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455,143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463,642</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436,594</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80"/>
              <w:spacing w:after="0"/>
              <w:rPr>
                <w:sz w:val="20"/>
                <w:szCs w:val="20"/>
                <w:color w:val="auto"/>
              </w:rPr>
            </w:pPr>
            <w:r>
              <w:rPr>
                <w:rFonts w:ascii="Arial" w:cs="Arial" w:eastAsia="Arial" w:hAnsi="Arial"/>
                <w:sz w:val="18"/>
                <w:szCs w:val="18"/>
                <w:color w:val="auto"/>
              </w:rPr>
              <w:t>East Tennessee</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268,136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265,544</w:t>
            </w: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257,492</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740"/>
              <w:spacing w:after="0"/>
              <w:rPr>
                <w:sz w:val="20"/>
                <w:szCs w:val="20"/>
                <w:color w:val="auto"/>
              </w:rPr>
            </w:pPr>
            <w:r>
              <w:rPr>
                <w:rFonts w:ascii="Arial" w:cs="Arial" w:eastAsia="Arial" w:hAnsi="Arial"/>
                <w:sz w:val="18"/>
                <w:szCs w:val="18"/>
                <w:color w:val="auto"/>
              </w:rPr>
              <w:t>Total loans</w:t>
            </w:r>
          </w:p>
        </w:tc>
        <w:tc>
          <w:tcPr>
            <w:tcW w:w="2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5,513,087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5,933,141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380" w:type="dxa"/>
            <w:vAlign w:val="bottom"/>
            <w:vMerge w:val="restart"/>
          </w:tcPr>
          <w:p>
            <w:pPr>
              <w:jc w:val="right"/>
              <w:ind w:right="11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6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34" w:name="page35"/>
    <w:bookmarkEnd w:id="34"/>
    <w:p>
      <w:pPr>
        <w:jc w:val="both"/>
        <w:ind w:firstLine="589"/>
        <w:spacing w:after="0" w:line="272"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North Carolina, and Tennessee. At June 30, 2009, total loans, excluding loans acquired from Southern Community Bank that are covered by loss sharing agreements with the FDIC, were $5.5 billion, a decrease of $420 million, or 7%, from June 30, 2008. The rate of loan growth began to decline in the first quarter of 2007 and the balances have continued to decline through 2008 and into 2009. The decrease in the loan portfolio was primarily due to deterioration in the residential construction and housing markets. This deterioration resulted in part in an oversupply of lot inventory, houses and land within United’s markets, which further slowed construction activities and acquisition and development projects. To date, the decline in the housing market has been most severe in the Atlanta MSA although there has been some migration of deterioration into United’s other markets.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ind w:firstLine="548"/>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w:t>
      </w:r>
    </w:p>
    <w:p>
      <w:pPr>
        <w:spacing w:after="0" w:line="215" w:lineRule="exact"/>
        <w:rPr>
          <w:sz w:val="20"/>
          <w:szCs w:val="20"/>
          <w:color w:val="auto"/>
        </w:rPr>
      </w:pPr>
    </w:p>
    <w:p>
      <w:pPr>
        <w:jc w:val="both"/>
        <w:ind w:firstLine="581"/>
        <w:spacing w:after="0" w:line="264" w:lineRule="auto"/>
        <w:rPr>
          <w:sz w:val="20"/>
          <w:szCs w:val="20"/>
          <w:color w:val="auto"/>
        </w:rPr>
      </w:pPr>
      <w:r>
        <w:rPr>
          <w:rFonts w:ascii="Arial" w:cs="Arial" w:eastAsia="Arial" w:hAnsi="Arial"/>
          <w:sz w:val="18"/>
          <w:szCs w:val="18"/>
          <w:color w:val="auto"/>
        </w:rPr>
        <w:t>United classifies performing loans as substandard loans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(dollars in thousands)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w w:val="91"/>
              </w:rPr>
              <w:t>June 30,</w:t>
            </w:r>
          </w:p>
        </w:tc>
        <w:tc>
          <w:tcPr>
            <w:tcW w:w="1140" w:type="dxa"/>
            <w:vAlign w:val="bottom"/>
            <w:gridSpan w:val="3"/>
          </w:tcPr>
          <w:p>
            <w:pPr>
              <w:ind w:left="360"/>
              <w:spacing w:after="0"/>
              <w:rPr>
                <w:sz w:val="20"/>
                <w:szCs w:val="20"/>
                <w:color w:val="auto"/>
              </w:rPr>
            </w:pPr>
            <w:r>
              <w:rPr>
                <w:rFonts w:ascii="Arial" w:cs="Arial" w:eastAsia="Arial" w:hAnsi="Arial"/>
                <w:sz w:val="18"/>
                <w:szCs w:val="18"/>
                <w:b w:val="1"/>
                <w:bCs w:val="1"/>
                <w:color w:val="auto"/>
                <w:w w:val="91"/>
              </w:rPr>
              <w:t>March 31,</w:t>
            </w:r>
          </w:p>
        </w:tc>
        <w:tc>
          <w:tcPr>
            <w:tcW w:w="1600" w:type="dxa"/>
            <w:vAlign w:val="bottom"/>
            <w:gridSpan w:val="4"/>
          </w:tcPr>
          <w:p>
            <w:pPr>
              <w:ind w:left="36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4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2009</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2008</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Commercial (sec. by RE)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69,657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65,211</w:t>
            </w:r>
          </w:p>
        </w:tc>
        <w:tc>
          <w:tcPr>
            <w:tcW w:w="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43,228</w:t>
            </w:r>
          </w:p>
        </w:tc>
        <w:tc>
          <w:tcPr>
            <w:tcW w:w="180" w:type="dxa"/>
            <w:vAlign w:val="bottom"/>
          </w:tcPr>
          <w:p>
            <w:pPr>
              <w:spacing w:after="0"/>
              <w:rPr>
                <w:sz w:val="24"/>
                <w:szCs w:val="24"/>
                <w:color w:val="auto"/>
              </w:rPr>
            </w:pP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33,574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27,074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36,316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31,733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2,319</w:t>
            </w: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11,814</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22,497</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r>
      <w:tr>
        <w:trPr>
          <w:trHeight w:val="202"/>
        </w:trPr>
        <w:tc>
          <w:tcPr>
            <w:tcW w:w="4400" w:type="dxa"/>
            <w:vAlign w:val="bottom"/>
          </w:tcPr>
          <w:p>
            <w:pPr>
              <w:ind w:left="16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w w:val="89"/>
              </w:rPr>
              <w:t>117,787</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111,875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79,474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72,674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38,431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148,094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138,353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159,963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184,589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156,795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71,959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62,374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38,693</w:t>
            </w: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Consumer / installment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341,306</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315,824</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303,999</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235,976</w:t>
            </w:r>
          </w:p>
        </w:tc>
      </w:tr>
      <w:tr>
        <w:trPr>
          <w:trHeight w:val="21"/>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97"/>
        <w:spacing w:after="0" w:line="290" w:lineRule="auto"/>
        <w:rPr>
          <w:sz w:val="20"/>
          <w:szCs w:val="20"/>
          <w:color w:val="auto"/>
        </w:rPr>
      </w:pPr>
      <w:r>
        <w:rPr>
          <w:rFonts w:ascii="Arial" w:cs="Arial" w:eastAsia="Arial" w:hAnsi="Arial"/>
          <w:sz w:val="16"/>
          <w:szCs w:val="16"/>
          <w:color w:val="auto"/>
        </w:rPr>
        <w:t>At June 30, 2009, performing substandard loans totaled $341 million and increased $25 million from the prior quarter-end, $48 million from year-end 2008, and $105 million from a year ago. Residential construction loans, particularly in Atlanta, have represented the largest proportion of both performing substandard and nonperforming loans. Over the past three quarters, the rate of increase in substandard residential construction loans has slowed and the balances have leveled off. The increase in substandard residential mortgages is primarily related to rising unemployment rates. The increase in substandard commercial loans reflects the challenging economic environment and current recession. United classifies loans as non-accrual substandard loans (or “non-performing loans”) when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Payments received on a non-accrual loan are applied to reduce outstanding principal.</w:t>
      </w:r>
    </w:p>
    <w:p>
      <w:pPr>
        <w:spacing w:after="0" w:line="193" w:lineRule="exact"/>
        <w:rPr>
          <w:sz w:val="20"/>
          <w:szCs w:val="20"/>
          <w:color w:val="auto"/>
        </w:rPr>
      </w:pPr>
    </w:p>
    <w:p>
      <w:pPr>
        <w:jc w:val="both"/>
        <w:ind w:firstLine="563"/>
        <w:spacing w:after="0" w:line="276" w:lineRule="auto"/>
        <w:rPr>
          <w:sz w:val="20"/>
          <w:szCs w:val="20"/>
          <w:color w:val="auto"/>
        </w:rPr>
      </w:pPr>
      <w:r>
        <w:rPr>
          <w:rFonts w:ascii="Arial" w:cs="Arial" w:eastAsia="Arial" w:hAnsi="Arial"/>
          <w:sz w:val="17"/>
          <w:szCs w:val="17"/>
          <w:color w:val="auto"/>
        </w:rPr>
        <w:t>Reviews of substandard performing and non-performing loans, past due loans and larger credits, are conducted on a regular basis with management during the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United also uses external loan review in addition to United’s internal loan review and to ensure the independence of the loan review process.</w:t>
      </w:r>
    </w:p>
    <w:p>
      <w:pPr>
        <w:spacing w:after="0" w:line="200" w:lineRule="exact"/>
        <w:rPr>
          <w:sz w:val="20"/>
          <w:szCs w:val="20"/>
          <w:color w:val="auto"/>
        </w:rPr>
      </w:pPr>
    </w:p>
    <w:p>
      <w:pPr>
        <w:jc w:val="both"/>
        <w:ind w:firstLine="459"/>
        <w:spacing w:after="0" w:line="272" w:lineRule="auto"/>
        <w:rPr>
          <w:sz w:val="20"/>
          <w:szCs w:val="20"/>
          <w:color w:val="auto"/>
        </w:rPr>
      </w:pPr>
      <w:r>
        <w:rPr>
          <w:rFonts w:ascii="Arial" w:cs="Arial" w:eastAsia="Arial" w:hAnsi="Arial"/>
          <w:sz w:val="17"/>
          <w:szCs w:val="17"/>
          <w:color w:val="auto"/>
        </w:rPr>
        <w:t>The provision for loan losses charged to earnings was based upon management’s judgment of the amount necessary to maintain the allowance at a level appropriate to absorb losses inherent in the loan portfolio at quarter-end.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increases in the provision and the allowance for loan losses compared to a year ago were due to increasing trends in substandard loans, deterioration in the collateral values leading to an expectation of higher charge-offs upon default, further weakening of the residential construction and housing markets, and the recessionary economic environment.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6"/>
          <w:szCs w:val="16"/>
          <w:color w:val="auto"/>
        </w:rPr>
        <w:t>The following table presents a summary of the changes in the allowance for loan losses for the three and six months ended June 30, 2009 and 2008.</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Table 9 - Allowance for Loan Losses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w w:val="98"/>
              </w:rPr>
              <w:t>Three Months Ended</w:t>
            </w:r>
          </w:p>
        </w:tc>
        <w:tc>
          <w:tcPr>
            <w:tcW w:w="80" w:type="dxa"/>
            <w:vAlign w:val="bottom"/>
          </w:tcPr>
          <w:p>
            <w:pPr>
              <w:spacing w:after="0"/>
              <w:rPr>
                <w:sz w:val="18"/>
                <w:szCs w:val="18"/>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Balance beginning of period</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143,990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89,848</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122,271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89,423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15,500</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44,645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10,354</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82,612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15,162</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2,599</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37"/>
        </w:trPr>
        <w:tc>
          <w:tcPr>
            <w:tcW w:w="566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3"/>
        </w:trPr>
        <w:tc>
          <w:tcPr>
            <w:tcW w:w="5660" w:type="dxa"/>
            <w:vAlign w:val="bottom"/>
          </w:tcPr>
          <w:p>
            <w:pPr>
              <w:ind w:left="340"/>
              <w:spacing w:after="0"/>
              <w:rPr>
                <w:sz w:val="20"/>
                <w:szCs w:val="20"/>
                <w:color w:val="auto"/>
              </w:rPr>
            </w:pPr>
            <w:r>
              <w:rPr>
                <w:rFonts w:ascii="Arial" w:cs="Arial" w:eastAsia="Arial" w:hAnsi="Arial"/>
                <w:sz w:val="18"/>
                <w:szCs w:val="18"/>
                <w:color w:val="auto"/>
              </w:rPr>
              <w:t>Total loans charged-off</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60,938</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105,069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Recoveries:</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566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5660" w:type="dxa"/>
            <w:vAlign w:val="bottom"/>
          </w:tcPr>
          <w:p>
            <w:pPr>
              <w:ind w:left="340"/>
              <w:spacing w:after="0"/>
              <w:rPr>
                <w:sz w:val="20"/>
                <w:szCs w:val="20"/>
                <w:color w:val="auto"/>
              </w:rPr>
            </w:pPr>
            <w:r>
              <w:rPr>
                <w:rFonts w:ascii="Arial" w:cs="Arial" w:eastAsia="Arial" w:hAnsi="Arial"/>
                <w:sz w:val="18"/>
                <w:szCs w:val="18"/>
                <w:color w:val="auto"/>
              </w:rPr>
              <w:t>Total recoveries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2,626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40"/>
              <w:spacing w:after="0"/>
              <w:rPr>
                <w:sz w:val="20"/>
                <w:szCs w:val="20"/>
                <w:color w:val="auto"/>
              </w:rPr>
            </w:pPr>
            <w:r>
              <w:rPr>
                <w:rFonts w:ascii="Arial" w:cs="Arial" w:eastAsia="Arial" w:hAnsi="Arial"/>
                <w:sz w:val="18"/>
                <w:szCs w:val="18"/>
                <w:color w:val="auto"/>
              </w:rPr>
              <w:t>Net charge-offs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58,312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145,678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91,035</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145,678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91,035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60" w:type="dxa"/>
            <w:vAlign w:val="bottom"/>
            <w:vMerge w:val="restart"/>
          </w:tcPr>
          <w:p>
            <w:pPr>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At period-end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5,513,087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5,933,141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5,513,087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5,933,141</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5,597,259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5,933,143</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5,635,942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5,945,720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As a percentage of average loans: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Net charge-offs (annualized)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Provision for loan losses (annualized)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10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Excluding impaired loans with no allocated reserve, the coverage ratio was 82% at June 30, 2009.</w:t>
      </w:r>
    </w:p>
    <w:p>
      <w:pPr>
        <w:spacing w:after="0" w:line="252"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Management believes that the allowance for loan losses at June 30, 2009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ind w:firstLine="519"/>
        <w:spacing w:after="0" w:line="257" w:lineRule="auto"/>
        <w:rPr>
          <w:sz w:val="20"/>
          <w:szCs w:val="20"/>
          <w:color w:val="auto"/>
        </w:rPr>
      </w:pPr>
      <w:r>
        <w:rPr>
          <w:rFonts w:ascii="Arial" w:cs="Arial" w:eastAsia="Arial" w:hAnsi="Arial"/>
          <w:sz w:val="18"/>
          <w:szCs w:val="18"/>
          <w:color w:val="auto"/>
        </w:rPr>
        <w:t>The table below summarizes non-performing assets, excluding SCB’s assets covered by the loss-sharing agreement with the FDIC. At June 30, 2009, SCB had $49.2 million in non-performing assets. Of that number, $20.4 million was non-performing loans, $3.1 million represented loans past due 90 days or more and still accruing and $27.5 million was other real estate owned (“OREO” or “foreclosed properties”). These assets have been excluded from the review of non-performing assets, as the loss-sharing agreement with the FDIC and purchase price adjustments to reflect credit losses effectively eliminate the likelihood of recognizing any losses on the covered assets.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(dollars in thousands)</w:t>
      </w: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1"/>
              </w:rPr>
              <w:t>June 30,</w:t>
            </w:r>
          </w:p>
        </w:tc>
        <w:tc>
          <w:tcPr>
            <w:tcW w:w="166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June 30,</w:t>
            </w:r>
          </w:p>
        </w:tc>
      </w:tr>
      <w:tr>
        <w:trPr>
          <w:trHeight w:val="241"/>
        </w:trPr>
        <w:tc>
          <w:tcPr>
            <w:tcW w:w="678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rPr>
              <w:t>Non-accrual loans</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w w:val="87"/>
              </w:rPr>
              <w:t>$ 287,848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190,723</w:t>
            </w:r>
          </w:p>
        </w:tc>
        <w:tc>
          <w:tcPr>
            <w:tcW w:w="4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w w:val="87"/>
              </w:rPr>
              <w:t>$ 123,786</w:t>
            </w:r>
          </w:p>
        </w:tc>
        <w:tc>
          <w:tcPr>
            <w:tcW w:w="140" w:type="dxa"/>
            <w:vAlign w:val="bottom"/>
          </w:tcPr>
          <w:p>
            <w:pPr>
              <w:spacing w:after="0"/>
              <w:rPr>
                <w:sz w:val="17"/>
                <w:szCs w:val="17"/>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780" w:type="dxa"/>
            <w:vAlign w:val="bottom"/>
          </w:tcPr>
          <w:p>
            <w:pPr>
              <w:ind w:left="180"/>
              <w:spacing w:after="0" w:line="201" w:lineRule="exact"/>
              <w:rPr>
                <w:sz w:val="20"/>
                <w:szCs w:val="20"/>
                <w:color w:val="auto"/>
              </w:rPr>
            </w:pPr>
            <w:r>
              <w:rPr>
                <w:rFonts w:ascii="Arial" w:cs="Arial" w:eastAsia="Arial" w:hAnsi="Arial"/>
                <w:sz w:val="18"/>
                <w:szCs w:val="18"/>
                <w:color w:val="auto"/>
              </w:rPr>
              <w:t>Total non-performing loans</w:t>
            </w:r>
          </w:p>
        </w:tc>
        <w:tc>
          <w:tcPr>
            <w:tcW w:w="7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287,848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190,723</w:t>
            </w:r>
          </w:p>
        </w:tc>
        <w:tc>
          <w:tcPr>
            <w:tcW w:w="460" w:type="dxa"/>
            <w:vAlign w:val="bottom"/>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123,786</w:t>
            </w:r>
          </w:p>
        </w:tc>
        <w:tc>
          <w:tcPr>
            <w:tcW w:w="140" w:type="dxa"/>
            <w:vAlign w:val="bottom"/>
          </w:tcPr>
          <w:p>
            <w:pPr>
              <w:spacing w:after="0"/>
              <w:rPr>
                <w:sz w:val="17"/>
                <w:szCs w:val="17"/>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OREO</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104,754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59,768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28,378</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Total non-performing assets</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$ 392,602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250,491</w:t>
            </w:r>
          </w:p>
        </w:tc>
        <w:tc>
          <w:tcPr>
            <w:tcW w:w="4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$ 152,164</w:t>
            </w:r>
          </w:p>
        </w:tc>
        <w:tc>
          <w:tcPr>
            <w:tcW w:w="140" w:type="dxa"/>
            <w:vAlign w:val="bottom"/>
          </w:tcPr>
          <w:p>
            <w:pPr>
              <w:spacing w:after="0"/>
              <w:rPr>
                <w:sz w:val="18"/>
                <w:szCs w:val="18"/>
                <w:color w:val="auto"/>
              </w:rPr>
            </w:pPr>
          </w:p>
        </w:tc>
      </w:tr>
      <w:tr>
        <w:trPr>
          <w:trHeight w:val="21"/>
        </w:trPr>
        <w:tc>
          <w:tcPr>
            <w:tcW w:w="6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78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4.35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r>
    </w:tbl>
    <w:p>
      <w:pPr>
        <w:spacing w:after="0" w:line="229" w:lineRule="exact"/>
        <w:rPr>
          <w:sz w:val="20"/>
          <w:szCs w:val="20"/>
          <w:color w:val="auto"/>
        </w:rPr>
      </w:pPr>
    </w:p>
    <w:p>
      <w:pPr>
        <w:jc w:val="both"/>
        <w:ind w:firstLine="522"/>
        <w:spacing w:after="0" w:line="270" w:lineRule="auto"/>
        <w:rPr>
          <w:sz w:val="20"/>
          <w:szCs w:val="20"/>
          <w:color w:val="auto"/>
        </w:rPr>
      </w:pPr>
      <w:r>
        <w:rPr>
          <w:rFonts w:ascii="Arial" w:cs="Arial" w:eastAsia="Arial" w:hAnsi="Arial"/>
          <w:sz w:val="17"/>
          <w:szCs w:val="17"/>
          <w:color w:val="auto"/>
        </w:rPr>
        <w:t>Non-performing loans totaled $287.8 million, compared with $190.7 million at December 31, 2008 and $123.8 million at June 30, 2008. The ratio of non-performing loans to total loans increased substantially from June 30, 2008 and December 31, 2008 reflecting continued deterioration in United’s residential construction and development portfolio primarily in the Atlanta MSA and deterioration in other loan types and markets. Non-performing assets, which include non-performing loans and foreclosed real estate, totaled $392.6 million at June 30, 2009, compared with $250.5 million at December 31, 2008 and $152.2 million at June 30, 2008. United’s position throughout the recession has been to actively and aggressively work to dispose of problem assets quickly. In the latter half of 2008, with the rising number of foreclosed properties saturating the market and driving prices down, United made a strategic decision to hold certain foreclosed properties that have strong prospects for a recovery in value upon market stabilization. By holding those properties, United expects to realize more value upon disposition, thereby maximizing returns to shareholders. The strategy to hold selected properties will result in elevated levels of nonperforming assets over the next few quarters.</w:t>
      </w:r>
    </w:p>
    <w:p>
      <w:pPr>
        <w:spacing w:after="0" w:line="209" w:lineRule="exact"/>
        <w:rPr>
          <w:sz w:val="20"/>
          <w:szCs w:val="20"/>
          <w:color w:val="auto"/>
        </w:rPr>
      </w:pPr>
    </w:p>
    <w:p>
      <w:pPr>
        <w:jc w:val="both"/>
        <w:ind w:right="20" w:firstLine="673"/>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Non-Performing Assets (“NPAs”) by Category and Market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June 30, 2009</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left="628"/>
              <w:spacing w:after="0"/>
              <w:rPr>
                <w:sz w:val="20"/>
                <w:szCs w:val="20"/>
                <w:color w:val="auto"/>
              </w:rPr>
            </w:pPr>
            <w:r>
              <w:rPr>
                <w:rFonts w:ascii="Arial" w:cs="Arial" w:eastAsia="Arial" w:hAnsi="Arial"/>
                <w:sz w:val="14"/>
                <w:szCs w:val="14"/>
                <w:b w:val="1"/>
                <w:bCs w:val="1"/>
                <w:color w:val="auto"/>
                <w:w w:val="91"/>
              </w:rPr>
              <w:t>December 31, 2008</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June 30, 2008</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right"/>
              <w:ind w:right="28"/>
              <w:spacing w:after="0" w:line="126" w:lineRule="exact"/>
              <w:rPr>
                <w:sz w:val="20"/>
                <w:szCs w:val="20"/>
                <w:color w:val="auto"/>
              </w:rPr>
            </w:pPr>
            <w:r>
              <w:rPr>
                <w:rFonts w:ascii="Arial" w:cs="Arial" w:eastAsia="Arial" w:hAnsi="Arial"/>
                <w:sz w:val="14"/>
                <w:szCs w:val="14"/>
                <w:b w:val="1"/>
                <w:bCs w:val="1"/>
                <w:color w:val="auto"/>
                <w:w w:val="94"/>
              </w:rPr>
              <w:t>Non-performing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OREO</w:t>
            </w:r>
          </w:p>
        </w:tc>
        <w:tc>
          <w:tcPr>
            <w:tcW w:w="120" w:type="dxa"/>
            <w:vAlign w:val="bottom"/>
          </w:tcPr>
          <w:p>
            <w:pPr>
              <w:spacing w:after="0"/>
              <w:rPr>
                <w:sz w:val="10"/>
                <w:szCs w:val="10"/>
                <w:color w:val="auto"/>
              </w:rPr>
            </w:pPr>
          </w:p>
        </w:tc>
        <w:tc>
          <w:tcPr>
            <w:tcW w:w="580" w:type="dxa"/>
            <w:vAlign w:val="bottom"/>
          </w:tcPr>
          <w:p>
            <w:pPr>
              <w:ind w:left="60"/>
              <w:spacing w:after="0" w:line="126"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6"/>
              </w:rPr>
              <w:t>Non-performing</w:t>
            </w:r>
          </w:p>
        </w:tc>
        <w:tc>
          <w:tcPr>
            <w:tcW w:w="8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OREO</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right"/>
              <w:ind w:right="28"/>
              <w:spacing w:after="0" w:line="126" w:lineRule="exact"/>
              <w:rPr>
                <w:sz w:val="20"/>
                <w:szCs w:val="20"/>
                <w:color w:val="auto"/>
              </w:rPr>
            </w:pPr>
            <w:r>
              <w:rPr>
                <w:rFonts w:ascii="Arial" w:cs="Arial" w:eastAsia="Arial" w:hAnsi="Arial"/>
                <w:sz w:val="14"/>
                <w:szCs w:val="14"/>
                <w:b w:val="1"/>
                <w:bCs w:val="1"/>
                <w:color w:val="auto"/>
                <w:w w:val="94"/>
              </w:rPr>
              <w:t>Non-performing</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OREO</w:t>
            </w:r>
          </w:p>
        </w:tc>
        <w:tc>
          <w:tcPr>
            <w:tcW w:w="140" w:type="dxa"/>
            <w:vAlign w:val="bottom"/>
          </w:tcPr>
          <w:p>
            <w:pPr>
              <w:spacing w:after="0"/>
              <w:rPr>
                <w:sz w:val="10"/>
                <w:szCs w:val="10"/>
                <w:color w:val="auto"/>
              </w:rPr>
            </w:pPr>
          </w:p>
        </w:tc>
        <w:tc>
          <w:tcPr>
            <w:tcW w:w="620" w:type="dxa"/>
            <w:vAlign w:val="bottom"/>
          </w:tcPr>
          <w:p>
            <w:pPr>
              <w:ind w:left="80"/>
              <w:spacing w:after="0" w:line="126"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Loans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NPAs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NPAs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Loans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447"/>
        </w:trPr>
        <w:tc>
          <w:tcPr>
            <w:tcW w:w="1640" w:type="dxa"/>
            <w:vAlign w:val="bottom"/>
          </w:tcPr>
          <w:p>
            <w:pPr>
              <w:spacing w:after="0"/>
              <w:rPr>
                <w:sz w:val="20"/>
                <w:szCs w:val="20"/>
                <w:color w:val="auto"/>
              </w:rPr>
            </w:pPr>
            <w:r>
              <w:rPr>
                <w:rFonts w:ascii="Arial" w:cs="Arial" w:eastAsia="Arial" w:hAnsi="Arial"/>
                <w:sz w:val="14"/>
                <w:szCs w:val="14"/>
                <w:b w:val="1"/>
                <w:bCs w:val="1"/>
                <w:color w:val="auto"/>
              </w:rPr>
              <w:t>NPAs BY CATEGORY</w:t>
            </w: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Commercial (sec. by RE)</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37,755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5,395</w:t>
            </w:r>
          </w:p>
        </w:tc>
        <w:tc>
          <w:tcPr>
            <w:tcW w:w="24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43,150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15,188</w:t>
            </w:r>
          </w:p>
        </w:tc>
        <w:tc>
          <w:tcPr>
            <w:tcW w:w="24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2,427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17,615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4,610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593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5,203</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Commercial construction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21,564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3,846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4,886</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1,920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2,950</w:t>
            </w:r>
          </w:p>
        </w:tc>
        <w:tc>
          <w:tcPr>
            <w:tcW w:w="0" w:type="dxa"/>
            <w:vAlign w:val="bottom"/>
          </w:tcPr>
          <w:p>
            <w:pPr>
              <w:spacing w:after="0"/>
              <w:rPr>
                <w:sz w:val="1"/>
                <w:szCs w:val="1"/>
                <w:color w:val="auto"/>
              </w:rPr>
            </w:pPr>
          </w:p>
        </w:tc>
      </w:tr>
      <w:tr>
        <w:trPr>
          <w:trHeight w:val="231"/>
        </w:trPr>
        <w:tc>
          <w:tcPr>
            <w:tcW w:w="1640" w:type="dxa"/>
            <w:vAlign w:val="bottom"/>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64,850</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11,242</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76,092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18,621</w:t>
            </w:r>
          </w:p>
        </w:tc>
        <w:tc>
          <w:tcPr>
            <w:tcW w:w="2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23,381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10,587</w:t>
            </w:r>
          </w:p>
        </w:tc>
        <w:tc>
          <w:tcPr>
            <w:tcW w:w="2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81,648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258,048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144,836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48,572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193,408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90,283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22,075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44,256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56,120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25,574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32,010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21,792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25,643</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20"/>
                <w:szCs w:val="20"/>
                <w:color w:val="auto"/>
              </w:rPr>
            </w:pPr>
            <w:r>
              <w:rPr>
                <w:rFonts w:ascii="Arial" w:cs="Arial" w:eastAsia="Arial" w:hAnsi="Arial"/>
                <w:sz w:val="14"/>
                <w:szCs w:val="14"/>
                <w:color w:val="auto"/>
              </w:rPr>
              <w:t>Consumer / installment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2,342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1,692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Total NPAs</w:t>
            </w:r>
          </w:p>
        </w:tc>
        <w:tc>
          <w:tcPr>
            <w:tcW w:w="1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287,848</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104,754</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392,602</w:t>
            </w:r>
          </w:p>
        </w:tc>
        <w:tc>
          <w:tcPr>
            <w:tcW w:w="2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190,723</w:t>
            </w:r>
          </w:p>
        </w:tc>
        <w:tc>
          <w:tcPr>
            <w:tcW w:w="240" w:type="dxa"/>
            <w:vAlign w:val="bottom"/>
          </w:tcPr>
          <w:p>
            <w:pPr>
              <w:spacing w:after="0"/>
              <w:rPr>
                <w:sz w:val="14"/>
                <w:szCs w:val="14"/>
                <w:color w:val="auto"/>
              </w:rPr>
            </w:pPr>
          </w:p>
        </w:tc>
        <w:tc>
          <w:tcPr>
            <w:tcW w:w="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250,491</w:t>
            </w:r>
          </w:p>
        </w:tc>
        <w:tc>
          <w:tcPr>
            <w:tcW w:w="2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123,786</w:t>
            </w:r>
          </w:p>
        </w:tc>
        <w:tc>
          <w:tcPr>
            <w:tcW w:w="2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28,378</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152,164</w:t>
            </w:r>
          </w:p>
        </w:tc>
        <w:tc>
          <w:tcPr>
            <w:tcW w:w="0" w:type="dxa"/>
            <w:vAlign w:val="bottom"/>
          </w:tcPr>
          <w:p>
            <w:pPr>
              <w:spacing w:after="0"/>
              <w:rPr>
                <w:sz w:val="1"/>
                <w:szCs w:val="1"/>
                <w:color w:val="auto"/>
              </w:rPr>
            </w:pPr>
          </w:p>
        </w:tc>
      </w:tr>
      <w:tr>
        <w:trPr>
          <w:trHeight w:val="21"/>
        </w:trPr>
        <w:tc>
          <w:tcPr>
            <w:tcW w:w="16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7"/>
        </w:trPr>
        <w:tc>
          <w:tcPr>
            <w:tcW w:w="1640" w:type="dxa"/>
            <w:vAlign w:val="bottom"/>
          </w:tcPr>
          <w:p>
            <w:pPr>
              <w:spacing w:after="0"/>
              <w:rPr>
                <w:sz w:val="20"/>
                <w:szCs w:val="20"/>
                <w:color w:val="auto"/>
              </w:rPr>
            </w:pPr>
            <w:r>
              <w:rPr>
                <w:rFonts w:ascii="Arial" w:cs="Arial" w:eastAsia="Arial" w:hAnsi="Arial"/>
                <w:sz w:val="14"/>
                <w:szCs w:val="14"/>
                <w:b w:val="1"/>
                <w:bCs w:val="1"/>
                <w:color w:val="auto"/>
              </w:rPr>
              <w:t>NPAs BY MARKET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Atlanta MSA</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148,155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50,450</w:t>
            </w:r>
          </w:p>
        </w:tc>
        <w:tc>
          <w:tcPr>
            <w:tcW w:w="24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198,605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105,476</w:t>
            </w:r>
          </w:p>
        </w:tc>
        <w:tc>
          <w:tcPr>
            <w:tcW w:w="24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42,336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147,812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89,327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15,196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104,523</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Gainesville MSA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13,256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16,208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17,318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4,897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North Georgia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72,174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37,454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109,628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44,416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16,117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8,277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24,394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Western North Carolina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21,814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29,059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21,495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4"/>
                <w:szCs w:val="14"/>
                <w:color w:val="auto"/>
              </w:rPr>
              <w:t>Coastal Georgia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30,311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34,215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12,001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5,446</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20"/>
                <w:szCs w:val="20"/>
                <w:color w:val="auto"/>
              </w:rPr>
            </w:pPr>
            <w:r>
              <w:rPr>
                <w:rFonts w:ascii="Arial" w:cs="Arial" w:eastAsia="Arial" w:hAnsi="Arial"/>
                <w:sz w:val="14"/>
                <w:szCs w:val="14"/>
                <w:color w:val="auto"/>
              </w:rPr>
              <w:t>East Tennessee</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7,839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7,036</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7,449</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Total NPAs</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287,848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104,754</w:t>
            </w:r>
          </w:p>
        </w:tc>
        <w:tc>
          <w:tcPr>
            <w:tcW w:w="24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392,602</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190,723</w:t>
            </w:r>
          </w:p>
        </w:tc>
        <w:tc>
          <w:tcPr>
            <w:tcW w:w="24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59,768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250,491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123,786</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28,378</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152,164</w:t>
            </w:r>
          </w:p>
        </w:tc>
        <w:tc>
          <w:tcPr>
            <w:tcW w:w="0" w:type="dxa"/>
            <w:vAlign w:val="bottom"/>
          </w:tcPr>
          <w:p>
            <w:pPr>
              <w:spacing w:after="0"/>
              <w:rPr>
                <w:sz w:val="1"/>
                <w:szCs w:val="1"/>
                <w:color w:val="auto"/>
              </w:rPr>
            </w:pPr>
          </w:p>
        </w:tc>
      </w:tr>
      <w:tr>
        <w:trPr>
          <w:trHeight w:val="21"/>
        </w:trPr>
        <w:tc>
          <w:tcPr>
            <w:tcW w:w="16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jc w:val="both"/>
        <w:ind w:firstLine="450"/>
        <w:spacing w:after="0" w:line="273" w:lineRule="auto"/>
        <w:rPr>
          <w:sz w:val="20"/>
          <w:szCs w:val="20"/>
          <w:color w:val="auto"/>
        </w:rPr>
      </w:pPr>
      <w:r>
        <w:rPr>
          <w:rFonts w:ascii="Arial" w:cs="Arial" w:eastAsia="Arial" w:hAnsi="Arial"/>
          <w:sz w:val="17"/>
          <w:szCs w:val="17"/>
          <w:color w:val="auto"/>
        </w:rPr>
        <w:t>Non-performing assets in the residential construction category were $258.0 million at June 30, 2009, compared with $112.4 million at June 30, 2008, an increase of $145.6 million, or 130%. Other categories of non-performing assets have also experienced significant increases, with commercial loans of $76.1 million, up $63.1 million over the prior year, and residential mortgage loans of $56.1 million, up $30.5 million from June 30, 2008. As described previously, the majority of the increase in non-performing assets has been in the Atlanta MSA, where non-performing assets of $198.6 million are up $94.1 million, or 90%, over June 30, 2008. United’s north Georgia market has also seen a significant increase. Non-performing assets in the north Georgia market at June 30, 2009 were $109.6 million, compared with $24.4 million at the end of the second quarter of 2008.</w:t>
      </w:r>
    </w:p>
    <w:p>
      <w:pPr>
        <w:spacing w:after="0" w:line="205"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6"/>
          <w:szCs w:val="16"/>
          <w:color w:val="auto"/>
        </w:rPr>
        <w:t xml:space="preserve">At June 30, 2009 and 2008 there were $223.7 million and $79.6 million, respectively, of loans classified as impaired under the definition outlined in SFAS No. 114 </w:t>
      </w:r>
      <w:r>
        <w:rPr>
          <w:rFonts w:ascii="Arial" w:cs="Arial" w:eastAsia="Arial" w:hAnsi="Arial"/>
          <w:sz w:val="16"/>
          <w:szCs w:val="16"/>
          <w:i w:val="1"/>
          <w:iCs w:val="1"/>
          <w:color w:val="auto"/>
        </w:rPr>
        <w:t>Accounting by Creditors for Impairment of a Loan</w:t>
      </w:r>
      <w:r>
        <w:rPr>
          <w:rFonts w:ascii="Arial" w:cs="Arial" w:eastAsia="Arial" w:hAnsi="Arial"/>
          <w:sz w:val="16"/>
          <w:szCs w:val="16"/>
          <w:color w:val="auto"/>
        </w:rPr>
        <w:t>. Of these, $110.4 million and $4.0 million, respectively, did not have a specific reserve allocated. At June 30, 2009, $113.3 million had specific reserves allocated totaling $24.9 million. At June 30, 2008, $75.6 million had specific reserves allocated totaling $20.3 million. The average recorded investment in impaired loans for the quarters ended June 30, 2009 and 2008 was $247.6 million and $79.7 million, respectively. There was no interest revenue recognized on loans while they were impaired for the first six months of 2009 or 2008.</w:t>
      </w:r>
    </w:p>
    <w:p>
      <w:pPr>
        <w:spacing w:after="0" w:line="185" w:lineRule="exact"/>
        <w:rPr>
          <w:sz w:val="20"/>
          <w:szCs w:val="20"/>
          <w:color w:val="auto"/>
        </w:rPr>
      </w:pPr>
    </w:p>
    <w:p>
      <w:pPr>
        <w:jc w:val="both"/>
        <w:ind w:firstLine="479"/>
        <w:spacing w:after="0" w:line="277" w:lineRule="auto"/>
        <w:rPr>
          <w:sz w:val="20"/>
          <w:szCs w:val="20"/>
          <w:color w:val="auto"/>
        </w:rPr>
      </w:pPr>
      <w:r>
        <w:rPr>
          <w:rFonts w:ascii="Arial" w:cs="Arial" w:eastAsia="Arial" w:hAnsi="Arial"/>
          <w:sz w:val="18"/>
          <w:szCs w:val="18"/>
          <w:color w:val="auto"/>
        </w:rPr>
        <w:t>The table below summarizes activity related to OREO for the three and six months ended June 30, 2009. Assets covered by the loss sharing agreement with the FDIC, related to the acquisition of SCB, are excluded from this table.</w:t>
      </w:r>
    </w:p>
    <w:p>
      <w:pPr>
        <w:spacing w:after="0" w:line="16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Table 12 - OREO Rollforward</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(dollars in thousands)</w:t>
      </w:r>
    </w:p>
    <w:p>
      <w:pPr>
        <w:spacing w:after="0" w:line="234"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6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3"/>
              </w:rPr>
              <w:t>Three Months</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Six Months</w:t>
            </w:r>
          </w:p>
        </w:tc>
      </w:tr>
      <w:tr>
        <w:trPr>
          <w:trHeight w:val="216"/>
        </w:trPr>
        <w:tc>
          <w:tcPr>
            <w:tcW w:w="5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5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60" w:type="dxa"/>
            <w:vAlign w:val="bottom"/>
          </w:tcPr>
          <w:p>
            <w:pPr>
              <w:spacing w:after="0"/>
              <w:rPr>
                <w:sz w:val="20"/>
                <w:szCs w:val="20"/>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Beginning balance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75,383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59,768</w:t>
            </w:r>
          </w:p>
        </w:tc>
      </w:tr>
      <w:tr>
        <w:trPr>
          <w:trHeight w:val="418"/>
        </w:trPr>
        <w:tc>
          <w:tcPr>
            <w:tcW w:w="5260" w:type="dxa"/>
            <w:vAlign w:val="bottom"/>
          </w:tcPr>
          <w:p>
            <w:pPr>
              <w:spacing w:after="0"/>
              <w:rPr>
                <w:sz w:val="20"/>
                <w:szCs w:val="20"/>
                <w:color w:val="auto"/>
              </w:rPr>
            </w:pPr>
            <w:r>
              <w:rPr>
                <w:rFonts w:ascii="Arial" w:cs="Arial" w:eastAsia="Arial" w:hAnsi="Arial"/>
                <w:sz w:val="18"/>
                <w:szCs w:val="18"/>
                <w:color w:val="auto"/>
              </w:rPr>
              <w:t>Foreclosures transferred in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64,417</w:t>
            </w:r>
          </w:p>
        </w:tc>
        <w:tc>
          <w:tcPr>
            <w:tcW w:w="1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103,159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Capital costs added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2,776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Write Downs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(4,889)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Proceeds from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(33,752)</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(56,751)</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Gains (losses) from sales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104,754</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104,754</w:t>
            </w:r>
          </w:p>
        </w:tc>
        <w:tc>
          <w:tcPr>
            <w:tcW w:w="60" w:type="dxa"/>
            <w:vAlign w:val="bottom"/>
          </w:tcPr>
          <w:p>
            <w:pPr>
              <w:spacing w:after="0"/>
              <w:rPr>
                <w:sz w:val="18"/>
                <w:szCs w:val="18"/>
                <w:color w:val="auto"/>
              </w:rPr>
            </w:pPr>
          </w:p>
        </w:tc>
      </w:tr>
      <w:tr>
        <w:trPr>
          <w:trHeight w:val="21"/>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24"/>
        <w:spacing w:after="0" w:line="273" w:lineRule="auto"/>
        <w:rPr>
          <w:sz w:val="20"/>
          <w:szCs w:val="20"/>
          <w:color w:val="auto"/>
        </w:rPr>
      </w:pPr>
      <w:r>
        <w:rPr>
          <w:rFonts w:ascii="Arial" w:cs="Arial" w:eastAsia="Arial" w:hAnsi="Arial"/>
          <w:sz w:val="17"/>
          <w:szCs w:val="17"/>
          <w:color w:val="auto"/>
        </w:rPr>
        <w:t>OREO is initially recorded at fair value, less cost to sell. If the fair value, less cost to sell at the time of foreclosure, is less than the loan balance, the deficiency is charged against the allowance for loan losses. If the fair value, less cost to sell, of the OREO decreases during the holding period, a valuation allowance is established with a charge to foreclosed property costs. When the OREO is sold, a gain or loss is recognized on the sale for the difference between the sales proceeds and the carrying amount of the property. Financed sales of OREO are accounted for in accordance with SFAS 66. For the second quarter and first six months of 2009, United transferred foreclosures into OREO of $64.4 and $103.2 million, respectively. During the same periods, proceeds from sales of OREO were $33.6 million and $56.1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ind w:firstLine="625"/>
        <w:spacing w:after="0" w:line="276" w:lineRule="auto"/>
        <w:rPr>
          <w:sz w:val="20"/>
          <w:szCs w:val="20"/>
          <w:color w:val="auto"/>
        </w:rPr>
      </w:pPr>
      <w:r>
        <w:rPr>
          <w:rFonts w:ascii="Arial" w:cs="Arial" w:eastAsia="Arial" w:hAnsi="Arial"/>
          <w:sz w:val="17"/>
          <w:szCs w:val="17"/>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available for sale at quarter-end increased $386.2 million from a year ago. At June 30, 2009 and 2008, the securities portfolio represented approximately 22% and 17% of total assets, respectively.</w:t>
      </w:r>
    </w:p>
    <w:p>
      <w:pPr>
        <w:spacing w:after="0" w:line="200"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7"/>
          <w:szCs w:val="17"/>
          <w:color w:val="auto"/>
        </w:rPr>
        <w:t>The investment securities portfolio primarily consists of U.S. Government sponsored agency mortgage-backed securities, non-agency mortgage-backed securities, U.S. Government agency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time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ind w:firstLine="586"/>
        <w:spacing w:after="0" w:line="257" w:lineRule="auto"/>
        <w:rPr>
          <w:sz w:val="20"/>
          <w:szCs w:val="20"/>
          <w:color w:val="auto"/>
        </w:rPr>
      </w:pPr>
      <w:r>
        <w:rPr>
          <w:rFonts w:ascii="Arial" w:cs="Arial" w:eastAsia="Arial" w:hAnsi="Arial"/>
          <w:sz w:val="18"/>
          <w:szCs w:val="18"/>
          <w:color w:val="auto"/>
        </w:rPr>
        <w:t>Total deposits as of June 30, 2009 were $6.8 billion, an increase of $152.3 million, or 2%, from June 30, 2008. Total non-interest-bearing demand deposit accounts of $714.6 million increased $18.1 million, or 3%, and NOW, money market and savings accounts of $2.0 billion decreased $120.4 million, or 6%. The decrease was primarily in NOW account balances as customers sought higher yields for excess balances in other products. Since December 31, 2008, United has seen increases in balances of non-interest bearing-demand, money market and savings balances as a result of internal efforts to raise core deposits.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both"/>
        <w:ind w:firstLine="586"/>
        <w:spacing w:after="0" w:line="255" w:lineRule="auto"/>
        <w:rPr>
          <w:sz w:val="20"/>
          <w:szCs w:val="20"/>
          <w:color w:val="auto"/>
        </w:rPr>
      </w:pPr>
      <w:r>
        <w:rPr>
          <w:rFonts w:ascii="Arial" w:cs="Arial" w:eastAsia="Arial" w:hAnsi="Arial"/>
          <w:sz w:val="18"/>
          <w:szCs w:val="18"/>
          <w:color w:val="auto"/>
        </w:rPr>
        <w:t>Total time deposits, excluding brokered deposits, as of June 30, 2009 were $3.3 billion, flat from June 30, 2008. Time deposits less than $100,000 totaled $2.0 billion, an increase of $244 million, or 14%, from a year ago with SCB contributing approximately $108 million of the increase. Time deposits of $100,000 and greater, totaled $1.4 billion as of June 30, 2009, a decrease of $222 million, or 14%, from June 30, 2008. During the second quarter of 2008, United made a decision to actively pursue time deposits by offering a 15 month certificate of deposit at an attractive rate, in order to increase liquidity. The program was successful in adding over $400 million of customer deposits. United also itilizes “brokered” time deposits, issued in certificates of less than $100,000, as an alternate source of cost-effective funding. Brokered time deposits as of June 30, 2009 were $763 million, compared with $531 million at June 30, 2008.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$283 million and $286 million as of June 30, 2009 and 2008, respectively. United anticipates continued use of this short- and long-term source of funds. FHLB advances outstanding at June 30, 2009 had both fixed and floating interest rates from 0% to 4.69%. Additional information regarding FHLB advances, is provided in Note 10 to the consolidated financial statements included in United’s 2008 Form 10-K.</w:t>
      </w:r>
    </w:p>
    <w:p>
      <w:pPr>
        <w:spacing w:after="0" w:line="214" w:lineRule="exact"/>
        <w:rPr>
          <w:sz w:val="20"/>
          <w:szCs w:val="20"/>
          <w:color w:val="auto"/>
        </w:rPr>
      </w:pPr>
    </w:p>
    <w:p>
      <w:pPr>
        <w:jc w:val="both"/>
        <w:ind w:right="20" w:firstLine="676"/>
        <w:spacing w:after="0" w:line="264" w:lineRule="auto"/>
        <w:rPr>
          <w:sz w:val="20"/>
          <w:szCs w:val="20"/>
          <w:color w:val="auto"/>
        </w:rPr>
      </w:pPr>
      <w:r>
        <w:rPr>
          <w:rFonts w:ascii="Arial" w:cs="Arial" w:eastAsia="Arial" w:hAnsi="Arial"/>
          <w:sz w:val="18"/>
          <w:szCs w:val="18"/>
          <w:color w:val="auto"/>
        </w:rPr>
        <w:t>At June 30, 2009, United had $252.5 million in Federal funds purchased, repurchase agreements, and other short-term borrowings outstanding, compared to $288.7 million outstanding at June 30, 2008. United takes advantage of these additional sources of liquidity when rates are favorable compared to other forms of short-term borrowings, such as FHLB advances and brokered deposits.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ind w:firstLine="479"/>
        <w:spacing w:after="0" w:line="312" w:lineRule="auto"/>
        <w:rPr>
          <w:sz w:val="20"/>
          <w:szCs w:val="20"/>
          <w:color w:val="auto"/>
        </w:rPr>
      </w:pPr>
      <w:r>
        <w:rPr>
          <w:rFonts w:ascii="Arial" w:cs="Arial" w:eastAsia="Arial" w:hAnsi="Arial"/>
          <w:sz w:val="16"/>
          <w:szCs w:val="16"/>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174"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8"/>
          <w:szCs w:val="18"/>
          <w:color w:val="auto"/>
        </w:rPr>
        <w:t>One of the tools management uses to estimate the sensitivity of net interest revenue to changes in interest rates is an interest rate simulation model. Such estimates are based upon a number of assumptions for each scenario, including maintaining current balance sheet levels, deposit repricing characteristics and the rate of prepayments. The simulation model measures the potential change in net interest revenue over a twelve-month period under multiple interest rate scenarios. The base scenario assumes rates remain flat over the next twelve months and is the scenario to which all others are compared to in order to measure the change in net interest revenue. A second commonly analyzed scenario is a most likely scenario that projects the most likely change in rates over the next twelve months based on the slope of the yield curve. Other scenarios analyzed may include rate shocks, narrowing or widening spreads, and yield curve steepening or flattening.</w:t>
      </w:r>
    </w:p>
    <w:p>
      <w:pPr>
        <w:spacing w:after="0" w:line="216" w:lineRule="exact"/>
        <w:rPr>
          <w:sz w:val="20"/>
          <w:szCs w:val="20"/>
          <w:color w:val="auto"/>
        </w:rPr>
      </w:pPr>
    </w:p>
    <w:p>
      <w:pPr>
        <w:jc w:val="both"/>
        <w:ind w:firstLine="557"/>
        <w:spacing w:after="0" w:line="285" w:lineRule="auto"/>
        <w:rPr>
          <w:sz w:val="20"/>
          <w:szCs w:val="20"/>
          <w:color w:val="auto"/>
        </w:rPr>
      </w:pPr>
      <w:r>
        <w:rPr>
          <w:rFonts w:ascii="Arial" w:cs="Arial" w:eastAsia="Arial" w:hAnsi="Arial"/>
          <w:sz w:val="16"/>
          <w:szCs w:val="16"/>
          <w:color w:val="auto"/>
        </w:rPr>
        <w:t>United’s policy is based on the 12-month impact on net interest revenue of interest rate ramps that increase 200 basis points and decrease 200 basis points from the flat-rate scenario. In the ramp scenarios, rates change 25 basis points per month over the initial eight months. The policy limits the change in net interest revenue over the next 12 months to a 10% decrease in either scenario. Historically low rates on June 30, 2009 made use of the down 200 basis point scenario problematic. At June 30, 2009 United’s simulation model indicated that a 200 basis point increase in rates over the next twelve months would cause an approximate 1.2% decrease in net interest revenue and a 25 basis point decrease in rates over the next twelve months would cause an approximate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.6% increase in net interest revenue. The shift to a liability sensitive position is primarily due to the inclusion of floors in most new floating rate loans which causes the balance sheet to be liability sensitive for the first 200 basis point increase in rates. United began a program of terminating some of its receive-fixed swaps that were hedging prime-based cash flows in order to neutralize the impact on interest sensitivity of embedding floors in new loans. This program was still ongoing as of June 30, 2009. The simulation model results are based on data as of June 30, 2009, but also include the termination of $200 million in swaps that occurred on July 9, 2009.</w:t>
      </w:r>
    </w:p>
    <w:p>
      <w:pPr>
        <w:spacing w:after="0" w:line="218" w:lineRule="exact"/>
        <w:rPr>
          <w:sz w:val="20"/>
          <w:szCs w:val="20"/>
          <w:color w:val="auto"/>
        </w:rPr>
      </w:pPr>
    </w:p>
    <w:p>
      <w:pPr>
        <w:jc w:val="both"/>
        <w:ind w:firstLine="529"/>
        <w:spacing w:after="0" w:line="257"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June 30, 2009,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t>The following table presents the interest rate derivative contracts outstanding.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Table 13 - Derivative Financial Instruments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of June 30, 2009 (dollars in thousands)</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Rate</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Notional</w:t>
            </w: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Received /</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25"/>
                <w:szCs w:val="25"/>
                <w:b w:val="1"/>
                <w:bCs w:val="1"/>
                <w:color w:val="auto"/>
                <w:w w:val="88"/>
                <w:vertAlign w:val="superscript"/>
              </w:rPr>
              <w:t>(5)</w:t>
            </w: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r>
              <w:rPr>
                <w:rFonts w:ascii="Arial" w:cs="Arial" w:eastAsia="Arial" w:hAnsi="Arial"/>
                <w:sz w:val="18"/>
                <w:szCs w:val="18"/>
                <w:b w:val="1"/>
                <w:bCs w:val="1"/>
                <w:color w:val="auto"/>
              </w:rPr>
              <w:t>Type/Maturity</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Floor Rate</w:t>
            </w:r>
          </w:p>
        </w:tc>
        <w:tc>
          <w:tcPr>
            <w:tcW w:w="1560" w:type="dxa"/>
            <w:vAlign w:val="bottom"/>
            <w:gridSpan w:val="3"/>
          </w:tcPr>
          <w:p>
            <w:pPr>
              <w:ind w:left="180"/>
              <w:spacing w:after="0"/>
              <w:rPr>
                <w:sz w:val="20"/>
                <w:szCs w:val="20"/>
                <w:color w:val="auto"/>
              </w:rPr>
            </w:pPr>
            <w:r>
              <w:rPr>
                <w:rFonts w:ascii="Arial" w:cs="Arial" w:eastAsia="Arial" w:hAnsi="Arial"/>
                <w:sz w:val="18"/>
                <w:szCs w:val="18"/>
                <w:b w:val="1"/>
                <w:bCs w:val="1"/>
                <w:color w:val="auto"/>
              </w:rPr>
              <w:t>Rate Paid</w:t>
            </w: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Fair Value Hedges: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40" w:type="dxa"/>
            <w:vAlign w:val="bottom"/>
          </w:tcPr>
          <w:p>
            <w:pPr>
              <w:ind w:left="320"/>
              <w:spacing w:after="0"/>
              <w:rPr>
                <w:sz w:val="20"/>
                <w:szCs w:val="20"/>
                <w:color w:val="auto"/>
              </w:rPr>
            </w:pPr>
            <w:r>
              <w:rPr>
                <w:rFonts w:ascii="Arial" w:cs="Arial" w:eastAsia="Arial" w:hAnsi="Arial"/>
                <w:sz w:val="18"/>
                <w:szCs w:val="18"/>
                <w:b w:val="1"/>
                <w:bCs w:val="1"/>
                <w:color w:val="auto"/>
              </w:rPr>
              <w:t>LIBOR Swaps (Brokered CDs)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320"/>
              <w:spacing w:after="0" w:line="229" w:lineRule="exact"/>
              <w:rPr>
                <w:sz w:val="20"/>
                <w:szCs w:val="20"/>
                <w:color w:val="auto"/>
              </w:rPr>
            </w:pPr>
            <w:r>
              <w:rPr>
                <w:rFonts w:ascii="Arial" w:cs="Arial" w:eastAsia="Arial" w:hAnsi="Arial"/>
                <w:sz w:val="18"/>
                <w:szCs w:val="18"/>
                <w:color w:val="auto"/>
              </w:rPr>
              <w:t xml:space="preserve">August 27, 2010 </w:t>
            </w:r>
            <w:r>
              <w:rPr>
                <w:rFonts w:ascii="Arial" w:cs="Arial" w:eastAsia="Arial" w:hAnsi="Arial"/>
                <w:sz w:val="25"/>
                <w:szCs w:val="25"/>
                <w:color w:val="auto"/>
                <w:vertAlign w:val="superscript"/>
              </w:rPr>
              <w:t>(1)</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4.30%</w:t>
            </w:r>
          </w:p>
        </w:tc>
        <w:tc>
          <w:tcPr>
            <w:tcW w:w="1560" w:type="dxa"/>
            <w:vAlign w:val="bottom"/>
            <w:gridSpan w:val="3"/>
          </w:tcPr>
          <w:p>
            <w:pPr>
              <w:ind w:left="820"/>
              <w:spacing w:after="0"/>
              <w:rPr>
                <w:sz w:val="20"/>
                <w:szCs w:val="20"/>
                <w:color w:val="auto"/>
              </w:rPr>
            </w:pPr>
            <w:r>
              <w:rPr>
                <w:rFonts w:ascii="Arial" w:cs="Arial" w:eastAsia="Arial" w:hAnsi="Arial"/>
                <w:sz w:val="18"/>
                <w:szCs w:val="18"/>
                <w:color w:val="auto"/>
              </w:rPr>
              <w:t>1.38%  $</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9"/>
        </w:trPr>
        <w:tc>
          <w:tcPr>
            <w:tcW w:w="3840" w:type="dxa"/>
            <w:vAlign w:val="bottom"/>
          </w:tcPr>
          <w:p>
            <w:pPr>
              <w:ind w:left="320"/>
              <w:spacing w:after="0" w:line="229" w:lineRule="exact"/>
              <w:rPr>
                <w:sz w:val="20"/>
                <w:szCs w:val="20"/>
                <w:color w:val="auto"/>
              </w:rPr>
            </w:pPr>
            <w:r>
              <w:rPr>
                <w:rFonts w:ascii="Arial" w:cs="Arial" w:eastAsia="Arial" w:hAnsi="Arial"/>
                <w:sz w:val="18"/>
                <w:szCs w:val="18"/>
                <w:color w:val="auto"/>
              </w:rPr>
              <w:t xml:space="preserve">September 22, 2010 </w:t>
            </w:r>
            <w:r>
              <w:rPr>
                <w:rFonts w:ascii="Arial" w:cs="Arial" w:eastAsia="Arial" w:hAnsi="Arial"/>
                <w:sz w:val="25"/>
                <w:szCs w:val="25"/>
                <w:color w:val="auto"/>
                <w:vertAlign w:val="superscript"/>
              </w:rPr>
              <w:t>(2)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4.25</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7"/>
        </w:trPr>
        <w:tc>
          <w:tcPr>
            <w:tcW w:w="3840" w:type="dxa"/>
            <w:vAlign w:val="bottom"/>
          </w:tcPr>
          <w:p>
            <w:pPr>
              <w:ind w:left="320"/>
              <w:spacing w:after="0" w:line="230" w:lineRule="exact"/>
              <w:rPr>
                <w:sz w:val="20"/>
                <w:szCs w:val="20"/>
                <w:color w:val="auto"/>
              </w:rPr>
            </w:pPr>
            <w:r>
              <w:rPr>
                <w:rFonts w:ascii="Arial" w:cs="Arial" w:eastAsia="Arial" w:hAnsi="Arial"/>
                <w:sz w:val="18"/>
                <w:szCs w:val="18"/>
                <w:color w:val="auto"/>
              </w:rPr>
              <w:t xml:space="preserve">September 30, 2010 </w:t>
            </w:r>
            <w:r>
              <w:rPr>
                <w:rFonts w:ascii="Arial" w:cs="Arial" w:eastAsia="Arial" w:hAnsi="Arial"/>
                <w:sz w:val="25"/>
                <w:szCs w:val="25"/>
                <w:color w:val="auto"/>
                <w:vertAlign w:val="superscript"/>
              </w:rPr>
              <w:t>(1)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95,000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4.25</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23"/>
        </w:trPr>
        <w:tc>
          <w:tcPr>
            <w:tcW w:w="3840" w:type="dxa"/>
            <w:vAlign w:val="bottom"/>
          </w:tcPr>
          <w:p>
            <w:pPr>
              <w:jc w:val="right"/>
              <w:ind w:right="230"/>
              <w:spacing w:after="0"/>
              <w:rPr>
                <w:sz w:val="20"/>
                <w:szCs w:val="20"/>
                <w:color w:val="auto"/>
              </w:rPr>
            </w:pPr>
            <w:r>
              <w:rPr>
                <w:rFonts w:ascii="Arial" w:cs="Arial" w:eastAsia="Arial" w:hAnsi="Arial"/>
                <w:sz w:val="18"/>
                <w:szCs w:val="18"/>
                <w:color w:val="auto"/>
              </w:rPr>
              <w:t>Total Fair Value Hedges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195,000</w:t>
            </w:r>
          </w:p>
        </w:tc>
        <w:tc>
          <w:tcPr>
            <w:tcW w:w="34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5"/>
              </w:rPr>
              <w:t>4.26</w:t>
            </w:r>
          </w:p>
        </w:tc>
        <w:tc>
          <w:tcPr>
            <w:tcW w:w="34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5"/>
              </w:rPr>
              <w:t>1.43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84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840" w:type="dxa"/>
            <w:vAlign w:val="bottom"/>
          </w:tcPr>
          <w:p>
            <w:pPr>
              <w:ind w:left="320"/>
              <w:spacing w:after="0" w:line="233" w:lineRule="exact"/>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25"/>
                <w:szCs w:val="25"/>
                <w:b w:val="1"/>
                <w:bCs w:val="1"/>
                <w:color w:val="auto"/>
                <w:vertAlign w:val="superscript"/>
              </w:rPr>
              <w:t>(3)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20"/>
              <w:spacing w:after="0"/>
              <w:rPr>
                <w:sz w:val="20"/>
                <w:szCs w:val="20"/>
                <w:color w:val="auto"/>
              </w:rPr>
            </w:pPr>
            <w:r>
              <w:rPr>
                <w:rFonts w:ascii="Arial" w:cs="Arial" w:eastAsia="Arial" w:hAnsi="Arial"/>
                <w:sz w:val="18"/>
                <w:szCs w:val="18"/>
                <w:color w:val="auto"/>
              </w:rPr>
              <w:t>March 12, 2012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6.87</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3840" w:type="dxa"/>
            <w:vAlign w:val="bottom"/>
          </w:tcPr>
          <w:p>
            <w:pPr>
              <w:ind w:left="320"/>
              <w:spacing w:after="0"/>
              <w:rPr>
                <w:sz w:val="20"/>
                <w:szCs w:val="20"/>
                <w:color w:val="auto"/>
              </w:rPr>
            </w:pPr>
            <w:r>
              <w:rPr>
                <w:rFonts w:ascii="Arial" w:cs="Arial" w:eastAsia="Arial" w:hAnsi="Arial"/>
                <w:sz w:val="18"/>
                <w:szCs w:val="18"/>
                <w:color w:val="auto"/>
              </w:rPr>
              <w:t>March 27, 2012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6.76</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3840" w:type="dxa"/>
            <w:vAlign w:val="bottom"/>
          </w:tcPr>
          <w:p>
            <w:pPr>
              <w:ind w:left="320"/>
              <w:spacing w:after="0"/>
              <w:rPr>
                <w:sz w:val="20"/>
                <w:szCs w:val="20"/>
                <w:color w:val="auto"/>
              </w:rPr>
            </w:pPr>
            <w:r>
              <w:rPr>
                <w:rFonts w:ascii="Arial" w:cs="Arial" w:eastAsia="Arial" w:hAnsi="Arial"/>
                <w:sz w:val="18"/>
                <w:szCs w:val="18"/>
                <w:color w:val="auto"/>
              </w:rPr>
              <w:t>May 6, 2013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7.21</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6"/>
        </w:trPr>
        <w:tc>
          <w:tcPr>
            <w:tcW w:w="3840" w:type="dxa"/>
            <w:vAlign w:val="bottom"/>
          </w:tcPr>
          <w:p>
            <w:pPr>
              <w:ind w:left="320"/>
              <w:spacing w:after="0"/>
              <w:rPr>
                <w:sz w:val="20"/>
                <w:szCs w:val="20"/>
                <w:color w:val="auto"/>
              </w:rPr>
            </w:pPr>
            <w:r>
              <w:rPr>
                <w:rFonts w:ascii="Arial" w:cs="Arial" w:eastAsia="Arial" w:hAnsi="Arial"/>
                <w:sz w:val="18"/>
                <w:szCs w:val="18"/>
                <w:color w:val="auto"/>
              </w:rPr>
              <w:t>July 22, 2013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8"/>
                <w:szCs w:val="18"/>
                <w:color w:val="auto"/>
              </w:rPr>
            </w:pP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6.88</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6"/>
        </w:trPr>
        <w:tc>
          <w:tcPr>
            <w:tcW w:w="3840" w:type="dxa"/>
            <w:vAlign w:val="bottom"/>
          </w:tcPr>
          <w:p>
            <w:pPr>
              <w:ind w:left="320"/>
              <w:spacing w:after="0"/>
              <w:rPr>
                <w:sz w:val="20"/>
                <w:szCs w:val="20"/>
                <w:color w:val="auto"/>
              </w:rPr>
            </w:pPr>
            <w:r>
              <w:rPr>
                <w:rFonts w:ascii="Arial" w:cs="Arial" w:eastAsia="Arial" w:hAnsi="Arial"/>
                <w:sz w:val="18"/>
                <w:szCs w:val="18"/>
                <w:color w:val="auto"/>
              </w:rPr>
              <w:t>July 25, 2013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6.92</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37"/>
        </w:trPr>
        <w:tc>
          <w:tcPr>
            <w:tcW w:w="3840" w:type="dxa"/>
            <w:vAlign w:val="bottom"/>
          </w:tcPr>
          <w:p>
            <w:pPr>
              <w:ind w:left="320"/>
              <w:spacing w:after="0"/>
              <w:rPr>
                <w:sz w:val="20"/>
                <w:szCs w:val="20"/>
                <w:color w:val="auto"/>
              </w:rPr>
            </w:pPr>
            <w:r>
              <w:rPr>
                <w:rFonts w:ascii="Arial" w:cs="Arial" w:eastAsia="Arial" w:hAnsi="Arial"/>
                <w:sz w:val="18"/>
                <w:szCs w:val="18"/>
                <w:color w:val="auto"/>
              </w:rPr>
              <w:t>July 25, 2013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6.91</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3"/>
        </w:trPr>
        <w:tc>
          <w:tcPr>
            <w:tcW w:w="384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34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5"/>
              </w:rPr>
              <w:t>6.92</w:t>
            </w:r>
          </w:p>
        </w:tc>
        <w:tc>
          <w:tcPr>
            <w:tcW w:w="34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5"/>
              </w:rPr>
              <w:t>3.25</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840" w:type="dxa"/>
            <w:vAlign w:val="bottom"/>
          </w:tcPr>
          <w:p>
            <w:pPr>
              <w:ind w:left="320"/>
              <w:spacing w:after="0"/>
              <w:rPr>
                <w:sz w:val="20"/>
                <w:szCs w:val="20"/>
                <w:color w:val="auto"/>
              </w:rPr>
            </w:pPr>
            <w:r>
              <w:rPr>
                <w:rFonts w:ascii="Arial" w:cs="Arial" w:eastAsia="Arial" w:hAnsi="Arial"/>
                <w:sz w:val="18"/>
                <w:szCs w:val="18"/>
                <w:b w:val="1"/>
                <w:bCs w:val="1"/>
                <w:color w:val="auto"/>
              </w:rPr>
              <w:t xml:space="preserve">Prime Floors (Prime Loans) </w:t>
            </w:r>
            <w:r>
              <w:rPr>
                <w:rFonts w:ascii="Arial" w:cs="Arial" w:eastAsia="Arial" w:hAnsi="Arial"/>
                <w:sz w:val="25"/>
                <w:szCs w:val="25"/>
                <w:b w:val="1"/>
                <w:bCs w:val="1"/>
                <w:color w:val="auto"/>
                <w:vertAlign w:val="superscript"/>
              </w:rPr>
              <w:t>(4)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20"/>
              <w:spacing w:after="0"/>
              <w:rPr>
                <w:sz w:val="20"/>
                <w:szCs w:val="20"/>
                <w:color w:val="auto"/>
              </w:rPr>
            </w:pPr>
            <w:r>
              <w:rPr>
                <w:rFonts w:ascii="Arial" w:cs="Arial" w:eastAsia="Arial" w:hAnsi="Arial"/>
                <w:sz w:val="18"/>
                <w:szCs w:val="18"/>
                <w:color w:val="auto"/>
              </w:rPr>
              <w:t>November 1, 2009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8.75</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7"/>
        </w:trPr>
        <w:tc>
          <w:tcPr>
            <w:tcW w:w="3840" w:type="dxa"/>
            <w:vAlign w:val="bottom"/>
          </w:tcPr>
          <w:p>
            <w:pPr>
              <w:ind w:left="320"/>
              <w:spacing w:after="0"/>
              <w:rPr>
                <w:sz w:val="20"/>
                <w:szCs w:val="20"/>
                <w:color w:val="auto"/>
              </w:rPr>
            </w:pPr>
            <w:r>
              <w:rPr>
                <w:rFonts w:ascii="Arial" w:cs="Arial" w:eastAsia="Arial" w:hAnsi="Arial"/>
                <w:sz w:val="18"/>
                <w:szCs w:val="18"/>
                <w:color w:val="auto"/>
              </w:rPr>
              <w:t>February 4, 2010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20"/>
                <w:szCs w:val="20"/>
                <w:color w:val="auto"/>
              </w:rPr>
            </w:pP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8.75</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23"/>
        </w:trPr>
        <w:tc>
          <w:tcPr>
            <w:tcW w:w="384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jc w:val="right"/>
              <w:ind w:right="230"/>
              <w:spacing w:after="0"/>
              <w:rPr>
                <w:sz w:val="20"/>
                <w:szCs w:val="20"/>
                <w:color w:val="auto"/>
              </w:rPr>
            </w:pPr>
            <w:r>
              <w:rPr>
                <w:rFonts w:ascii="Arial" w:cs="Arial" w:eastAsia="Arial" w:hAnsi="Arial"/>
                <w:sz w:val="18"/>
                <w:szCs w:val="18"/>
                <w:color w:val="auto"/>
              </w:rPr>
              <w:t>Total Cash Flow Hedges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640"/>
              <w:spacing w:after="0" w:line="196" w:lineRule="exact"/>
              <w:rPr>
                <w:sz w:val="20"/>
                <w:szCs w:val="20"/>
                <w:color w:val="auto"/>
              </w:rPr>
            </w:pPr>
            <w:r>
              <w:rPr>
                <w:rFonts w:ascii="Arial" w:cs="Arial" w:eastAsia="Arial" w:hAnsi="Arial"/>
                <w:sz w:val="18"/>
                <w:szCs w:val="18"/>
                <w:b w:val="1"/>
                <w:bCs w:val="1"/>
                <w:color w:val="auto"/>
              </w:rPr>
              <w:t>Total Derivative Contracts</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695,000</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40" w:hanging="44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Paid equals 1-Month LIBOR plus 1.075</w:t>
      </w:r>
    </w:p>
    <w:p>
      <w:pPr>
        <w:spacing w:after="0" w:line="23" w:lineRule="exact"/>
        <w:rPr>
          <w:rFonts w:ascii="Arial" w:cs="Arial" w:eastAsia="Arial" w:hAnsi="Arial"/>
          <w:sz w:val="18"/>
          <w:szCs w:val="18"/>
          <w:color w:val="auto"/>
        </w:rPr>
      </w:pPr>
    </w:p>
    <w:p>
      <w:pPr>
        <w:ind w:left="1240" w:hanging="44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Paid equals 1-Month LIBOR plus 1.2435</w:t>
      </w:r>
    </w:p>
    <w:p>
      <w:pPr>
        <w:spacing w:after="0" w:line="9" w:lineRule="exact"/>
        <w:rPr>
          <w:rFonts w:ascii="Arial" w:cs="Arial" w:eastAsia="Arial" w:hAnsi="Arial"/>
          <w:sz w:val="18"/>
          <w:szCs w:val="18"/>
          <w:color w:val="auto"/>
        </w:rPr>
      </w:pPr>
    </w:p>
    <w:p>
      <w:pPr>
        <w:ind w:left="1240" w:hanging="44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Paid equals Prime rate as of June 30, 2009</w:t>
      </w:r>
    </w:p>
    <w:p>
      <w:pPr>
        <w:spacing w:after="0" w:line="9" w:lineRule="exact"/>
        <w:rPr>
          <w:rFonts w:ascii="Arial" w:cs="Arial" w:eastAsia="Arial" w:hAnsi="Arial"/>
          <w:sz w:val="18"/>
          <w:szCs w:val="18"/>
          <w:color w:val="auto"/>
        </w:rPr>
      </w:pPr>
    </w:p>
    <w:p>
      <w:pPr>
        <w:ind w:left="1240" w:hanging="44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w:t>
      </w:r>
    </w:p>
    <w:p>
      <w:pPr>
        <w:spacing w:after="0" w:line="9" w:lineRule="exact"/>
        <w:rPr>
          <w:rFonts w:ascii="Arial" w:cs="Arial" w:eastAsia="Arial" w:hAnsi="Arial"/>
          <w:sz w:val="18"/>
          <w:szCs w:val="18"/>
          <w:color w:val="auto"/>
        </w:rPr>
      </w:pPr>
    </w:p>
    <w:p>
      <w:pPr>
        <w:ind w:left="1240" w:hanging="44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accrued interest</w:t>
      </w:r>
    </w:p>
    <w:p>
      <w:pPr>
        <w:spacing w:after="0" w:line="238" w:lineRule="exact"/>
        <w:rPr>
          <w:sz w:val="20"/>
          <w:szCs w:val="20"/>
          <w:color w:val="auto"/>
        </w:rPr>
      </w:pPr>
    </w:p>
    <w:p>
      <w:pPr>
        <w:jc w:val="both"/>
        <w:ind w:firstLine="659"/>
        <w:spacing w:after="0" w:line="271" w:lineRule="auto"/>
        <w:rPr>
          <w:sz w:val="20"/>
          <w:szCs w:val="20"/>
          <w:color w:val="auto"/>
        </w:rPr>
      </w:pPr>
      <w:r>
        <w:rPr>
          <w:rFonts w:ascii="Arial" w:cs="Arial" w:eastAsia="Arial" w:hAnsi="Arial"/>
          <w:sz w:val="17"/>
          <w:szCs w:val="17"/>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June 30, 2009, United had interest rate swap contracts in which United receives a fixed rate and pays a floating rate based on the prime interest rate with a total notional amount of $325 million that were designated as cash flow hedges of prime-based loans. United had interest rate floor contracts with a total notional amount of $175 million and a remaining unamortized premium balance of $745,000 that were also designated as cash flow hedges of prime-based loans. United also had swap contracts in which United receives a fixed rate and pays a floating rate based on LIBOR with a total notional amount of $195 million that were accounted for as fair value hedges of brokered deposits.</w:t>
      </w:r>
    </w:p>
    <w:p>
      <w:pPr>
        <w:spacing w:after="0" w:line="206" w:lineRule="exact"/>
        <w:rPr>
          <w:sz w:val="20"/>
          <w:szCs w:val="20"/>
          <w:color w:val="auto"/>
        </w:rPr>
      </w:pPr>
    </w:p>
    <w:p>
      <w:pPr>
        <w:jc w:val="both"/>
        <w:ind w:firstLine="528"/>
        <w:spacing w:after="0" w:line="272" w:lineRule="auto"/>
        <w:rPr>
          <w:sz w:val="20"/>
          <w:szCs w:val="20"/>
          <w:color w:val="auto"/>
        </w:rPr>
      </w:pPr>
      <w:r>
        <w:rPr>
          <w:rFonts w:ascii="Arial" w:cs="Arial" w:eastAsia="Arial" w:hAnsi="Arial"/>
          <w:sz w:val="17"/>
          <w:szCs w:val="17"/>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at the time of termination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June 30, 2009, United had $23.2 million in gains from terminated derivative positions included in Other Comprehensive Income that will be amortized into earnings over their remaining original contract terms.</w:t>
      </w:r>
    </w:p>
    <w:p>
      <w:pPr>
        <w:spacing w:after="0" w:line="205" w:lineRule="exact"/>
        <w:rPr>
          <w:sz w:val="20"/>
          <w:szCs w:val="20"/>
          <w:color w:val="auto"/>
        </w:rPr>
      </w:pPr>
    </w:p>
    <w:p>
      <w:pPr>
        <w:jc w:val="both"/>
        <w:ind w:firstLine="487"/>
        <w:spacing w:after="0" w:line="257" w:lineRule="auto"/>
        <w:rPr>
          <w:sz w:val="20"/>
          <w:szCs w:val="20"/>
          <w:color w:val="auto"/>
        </w:rPr>
      </w:pPr>
      <w:r>
        <w:rPr>
          <w:rFonts w:ascii="Arial" w:cs="Arial" w:eastAsia="Arial" w:hAnsi="Arial"/>
          <w:sz w:val="18"/>
          <w:szCs w:val="18"/>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ind w:firstLine="519"/>
        <w:spacing w:after="0" w:line="272" w:lineRule="auto"/>
        <w:rPr>
          <w:sz w:val="20"/>
          <w:szCs w:val="20"/>
          <w:color w:val="auto"/>
        </w:rPr>
      </w:pPr>
      <w:r>
        <w:rPr>
          <w:rFonts w:ascii="Arial" w:cs="Arial" w:eastAsia="Arial" w:hAnsi="Arial"/>
          <w:sz w:val="17"/>
          <w:szCs w:val="17"/>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20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208" w:lineRule="exact"/>
        <w:rPr>
          <w:sz w:val="20"/>
          <w:szCs w:val="20"/>
          <w:color w:val="auto"/>
        </w:rPr>
      </w:pPr>
    </w:p>
    <w:p>
      <w:pPr>
        <w:jc w:val="both"/>
        <w:ind w:firstLine="681"/>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Mortgage loans held for sale totaled $42 million at June 30, 2009, and typically turn over every 45 days as the closed loans are sold to investors in the secondary market.</w:t>
      </w:r>
    </w:p>
    <w:p>
      <w:pPr>
        <w:spacing w:after="0" w:line="208"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8"/>
          <w:szCs w:val="18"/>
          <w:color w:val="auto"/>
        </w:rPr>
        <w:t>The liability section of the Bank’s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Substantially all of United’s liquidity is obtained from subsidiary service fees and dividends from the Bank, which is limited by applicable law.</w:t>
      </w:r>
    </w:p>
    <w:p>
      <w:pPr>
        <w:spacing w:after="0" w:line="264"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United had sufficient qualifying collateral to increase FHLB advances by $1.1 billion at June 30, 2009. United’s internal policy limits brokered deposits to 25% of total assets. At June 30, 2009, United had the capacity to increase brokered deposits by $1.3 billion and still remain within this limit. Also, United had sufficient qualifying assets pledged to the Federal Reserve under the Term Auction Facility, Term Investment Option and Discount Window to increase short-term borrowings by $227 million.</w:t>
      </w:r>
    </w:p>
    <w:p>
      <w:pPr>
        <w:spacing w:after="0" w:line="214" w:lineRule="exact"/>
        <w:rPr>
          <w:sz w:val="20"/>
          <w:szCs w:val="20"/>
          <w:color w:val="auto"/>
        </w:rPr>
      </w:pPr>
    </w:p>
    <w:p>
      <w:pPr>
        <w:jc w:val="both"/>
        <w:ind w:firstLine="550"/>
        <w:spacing w:after="0" w:line="270"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$85.9 million for the six months ended June 30, 2009. The net loss of $119.8 million for the quarter included non-cash expenses for provision for loan losses of $125 million and goodwill impairment of $70 million. Also included in cash provided from operating activities was a $50.9 million net increase in accrued expenses and other liabilities that primarily related to a federal tax refund received in the first quarter and cash collateral received from counterparties to derivatives contracts. This was offset by a net increase in mortgage loans held for sale of $21.9 million and a net increase in other assets of $10.9 million. Net cash used by investing activities of $68.3 million consisted primarily of purchases of securities of $584.1 million, a net increase in loans of $12.6 million and purchases of premises and equipment of $6.2 million, which were partially offset by proceeds from sales of securities of $15.0 million, maturities and calls of investment securities of $399.4 million, proceeds from sales of other real estate of $56.1 million and net cash received from the acquisition of SCB of $63.6 million. Net cash used by financing activities of $329.6 million consisted primarily of a net decrease of $462.9 million in deposits. This was offset by a $141.4 million increase in federal funds and other short-term borrowings.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7"/>
          <w:szCs w:val="17"/>
          <w:color w:val="auto"/>
        </w:rPr>
        <w:t>Shareholders’ equity at June 30, 2009 was $855.3 million, a decrease of $134.1 million from December 31, 2008. The non-cash goodwill impairment charge in the first quarter accounted for $70 million of the decrease. Accumulated other comprehensive income is not included in the calculation of regulatory capital adequacy ratios. Excluding the change in the accumulated other comprehensive income, shareholders’ equity decreased $121.3 million from December 31, 2008. The decrease in equity is primarily due to the $119.8 million net loss for the first six months which included the $70 million goodwill impairment charge. In order to preserve capital, United’s board of directors declared 1 for 130 stock dividends during the first and second quarters of 2009 in lieu of a cash dividend on the outstanding common shares. United reported $2.6 million in dividends on Series A and Series B preferred stock in the second quarter and $5.1 million year-to-date. United recognizes that cash dividends are an important component of shareholder value, and therefore, intends to provide for cash dividends when earnings, capital levels and other factors permit.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ind w:firstLine="503"/>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2009 and 2008.</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Table 14 - Stock Price Information</w:t>
      </w: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Avg Daily</w:t>
            </w:r>
          </w:p>
        </w:tc>
        <w:tc>
          <w:tcPr>
            <w:tcW w:w="20" w:type="dxa"/>
            <w:vAlign w:val="bottom"/>
          </w:tcPr>
          <w:p>
            <w:pPr>
              <w:spacing w:after="0"/>
              <w:rPr>
                <w:sz w:val="17"/>
                <w:szCs w:val="17"/>
                <w:color w:val="auto"/>
              </w:rPr>
            </w:pPr>
          </w:p>
        </w:tc>
      </w:tr>
      <w:tr>
        <w:trPr>
          <w:trHeight w:val="241"/>
        </w:trPr>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Close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Close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Volume</w:t>
            </w:r>
          </w:p>
        </w:tc>
        <w:tc>
          <w:tcPr>
            <w:tcW w:w="20" w:type="dxa"/>
            <w:vAlign w:val="bottom"/>
          </w:tcPr>
          <w:p>
            <w:pPr>
              <w:spacing w:after="0"/>
              <w:rPr>
                <w:sz w:val="20"/>
                <w:szCs w:val="20"/>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First quarter</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13.87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524,492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16.98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441,659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Second quarter</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244,037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18.51</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8.53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464,566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Third quarter</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19.05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13.26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359,971</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Fourth quarter</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15.82</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13.58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319,534</w:t>
            </w:r>
          </w:p>
        </w:tc>
      </w:tr>
    </w:tbl>
    <w:p>
      <w:pPr>
        <w:spacing w:after="0" w:line="229" w:lineRule="exact"/>
        <w:rPr>
          <w:sz w:val="20"/>
          <w:szCs w:val="20"/>
          <w:color w:val="auto"/>
        </w:rPr>
      </w:pPr>
    </w:p>
    <w:p>
      <w:pPr>
        <w:ind w:firstLine="590"/>
        <w:spacing w:after="0" w:line="277" w:lineRule="auto"/>
        <w:rPr>
          <w:sz w:val="20"/>
          <w:szCs w:val="20"/>
          <w:color w:val="auto"/>
        </w:rPr>
      </w:pPr>
      <w:r>
        <w:rPr>
          <w:rFonts w:ascii="Arial" w:cs="Arial" w:eastAsia="Arial" w:hAnsi="Arial"/>
          <w:sz w:val="18"/>
          <w:szCs w:val="18"/>
          <w:color w:val="auto"/>
        </w:rPr>
        <w:t>The following table presents the quarterly cash and stock dividends declared in 2009 and 2008 and the respective cash dividend payout ratios as a percentage of basic operating earnings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w w:val="96"/>
              </w:rPr>
              <w:t>Table 15 - Dividend Payout Information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b w:val="1"/>
                <w:bCs w:val="1"/>
                <w:color w:val="auto"/>
                <w:w w:val="89"/>
              </w:rPr>
              <w:t>2008</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86"/>
              </w:rPr>
              <w:t>Cash</w:t>
            </w:r>
          </w:p>
        </w:tc>
        <w:tc>
          <w:tcPr>
            <w:tcW w:w="1340" w:type="dxa"/>
            <w:vAlign w:val="bottom"/>
            <w:gridSpan w:val="2"/>
          </w:tcPr>
          <w:p>
            <w:pPr>
              <w:ind w:left="280"/>
              <w:spacing w:after="0" w:line="198" w:lineRule="exact"/>
              <w:rPr>
                <w:sz w:val="20"/>
                <w:szCs w:val="20"/>
                <w:color w:val="auto"/>
              </w:rPr>
            </w:pPr>
            <w:r>
              <w:rPr>
                <w:rFonts w:ascii="Arial" w:cs="Arial" w:eastAsia="Arial" w:hAnsi="Arial"/>
                <w:sz w:val="18"/>
                <w:szCs w:val="18"/>
                <w:b w:val="1"/>
                <w:bCs w:val="1"/>
                <w:color w:val="auto"/>
              </w:rPr>
              <w:t>Stock</w:t>
            </w:r>
          </w:p>
        </w:tc>
        <w:tc>
          <w:tcPr>
            <w:tcW w:w="98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Payout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Cash</w:t>
            </w:r>
          </w:p>
        </w:tc>
        <w:tc>
          <w:tcPr>
            <w:tcW w:w="3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5"/>
              </w:rPr>
              <w:t>Stock</w:t>
            </w:r>
          </w:p>
        </w:tc>
        <w:tc>
          <w:tcPr>
            <w:tcW w:w="100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Payout</w:t>
            </w:r>
          </w:p>
        </w:tc>
        <w:tc>
          <w:tcPr>
            <w:tcW w:w="160" w:type="dxa"/>
            <w:vAlign w:val="bottom"/>
          </w:tcPr>
          <w:p>
            <w:pPr>
              <w:spacing w:after="0"/>
              <w:rPr>
                <w:sz w:val="17"/>
                <w:szCs w:val="17"/>
                <w:color w:val="auto"/>
              </w:rPr>
            </w:pPr>
          </w:p>
        </w:tc>
      </w:tr>
      <w:tr>
        <w:trPr>
          <w:trHeight w:val="255"/>
        </w:trPr>
        <w:tc>
          <w:tcPr>
            <w:tcW w:w="3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30"/>
              <w:spacing w:after="0" w:line="247" w:lineRule="exact"/>
              <w:rPr>
                <w:sz w:val="20"/>
                <w:szCs w:val="20"/>
                <w:color w:val="auto"/>
              </w:rPr>
            </w:pPr>
            <w:r>
              <w:rPr>
                <w:rFonts w:ascii="Arial" w:cs="Arial" w:eastAsia="Arial" w:hAnsi="Arial"/>
                <w:sz w:val="18"/>
                <w:szCs w:val="18"/>
                <w:b w:val="1"/>
                <w:bCs w:val="1"/>
                <w:color w:val="auto"/>
                <w:w w:val="89"/>
              </w:rPr>
              <w:t>Dividend</w:t>
            </w:r>
            <w:r>
              <w:rPr>
                <w:rFonts w:ascii="Arial" w:cs="Arial" w:eastAsia="Arial" w:hAnsi="Arial"/>
                <w:sz w:val="25"/>
                <w:szCs w:val="25"/>
                <w:b w:val="1"/>
                <w:bCs w:val="1"/>
                <w:color w:val="auto"/>
                <w:w w:val="89"/>
                <w:vertAlign w:val="superscript"/>
              </w:rPr>
              <w:t>(1)</w:t>
            </w:r>
          </w:p>
        </w:tc>
        <w:tc>
          <w:tcPr>
            <w:tcW w:w="360" w:type="dxa"/>
            <w:vAlign w:val="bottom"/>
          </w:tcPr>
          <w:p>
            <w:pPr>
              <w:spacing w:after="0"/>
              <w:rPr>
                <w:sz w:val="22"/>
                <w:szCs w:val="22"/>
                <w:color w:val="auto"/>
              </w:rPr>
            </w:pPr>
          </w:p>
        </w:tc>
        <w:tc>
          <w:tcPr>
            <w:tcW w:w="980" w:type="dxa"/>
            <w:vAlign w:val="bottom"/>
            <w:tcBorders>
              <w:bottom w:val="single" w:sz="8" w:color="auto"/>
            </w:tcBorders>
          </w:tcPr>
          <w:p>
            <w:pPr>
              <w:ind w:left="60"/>
              <w:spacing w:after="0" w:line="247" w:lineRule="exact"/>
              <w:rPr>
                <w:sz w:val="20"/>
                <w:szCs w:val="20"/>
                <w:color w:val="auto"/>
              </w:rPr>
            </w:pPr>
            <w:r>
              <w:rPr>
                <w:rFonts w:ascii="Arial" w:cs="Arial" w:eastAsia="Arial" w:hAnsi="Arial"/>
                <w:sz w:val="18"/>
                <w:szCs w:val="18"/>
                <w:b w:val="1"/>
                <w:bCs w:val="1"/>
                <w:color w:val="auto"/>
                <w:w w:val="93"/>
              </w:rPr>
              <w:t>Dividend</w:t>
            </w:r>
            <w:r>
              <w:rPr>
                <w:rFonts w:ascii="Arial" w:cs="Arial" w:eastAsia="Arial" w:hAnsi="Arial"/>
                <w:sz w:val="25"/>
                <w:szCs w:val="25"/>
                <w:b w:val="1"/>
                <w:bCs w:val="1"/>
                <w:color w:val="auto"/>
                <w:w w:val="93"/>
                <w:vertAlign w:val="superscript"/>
              </w:rPr>
              <w:t>(2)</w:t>
            </w:r>
          </w:p>
        </w:tc>
        <w:tc>
          <w:tcPr>
            <w:tcW w:w="360" w:type="dxa"/>
            <w:vAlign w:val="bottom"/>
          </w:tcPr>
          <w:p>
            <w:pPr>
              <w:spacing w:after="0"/>
              <w:rPr>
                <w:sz w:val="22"/>
                <w:szCs w:val="22"/>
                <w:color w:val="auto"/>
              </w:rPr>
            </w:pPr>
          </w:p>
        </w:tc>
        <w:tc>
          <w:tcPr>
            <w:tcW w:w="980" w:type="dxa"/>
            <w:vAlign w:val="bottom"/>
            <w:tcBorders>
              <w:bottom w:val="single" w:sz="8" w:color="auto"/>
            </w:tcBorders>
          </w:tcPr>
          <w:p>
            <w:pPr>
              <w:ind w:left="200"/>
              <w:spacing w:after="0" w:line="247" w:lineRule="exact"/>
              <w:rPr>
                <w:sz w:val="20"/>
                <w:szCs w:val="20"/>
                <w:color w:val="auto"/>
              </w:rPr>
            </w:pPr>
            <w:r>
              <w:rPr>
                <w:rFonts w:ascii="Arial" w:cs="Arial" w:eastAsia="Arial" w:hAnsi="Arial"/>
                <w:sz w:val="18"/>
                <w:szCs w:val="18"/>
                <w:b w:val="1"/>
                <w:bCs w:val="1"/>
                <w:color w:val="auto"/>
              </w:rPr>
              <w:t>Ratio</w:t>
            </w:r>
            <w:r>
              <w:rPr>
                <w:rFonts w:ascii="Arial" w:cs="Arial" w:eastAsia="Arial" w:hAnsi="Arial"/>
                <w:sz w:val="25"/>
                <w:szCs w:val="25"/>
                <w:b w:val="1"/>
                <w:bCs w:val="1"/>
                <w:color w:val="auto"/>
                <w:vertAlign w:val="superscript"/>
              </w:rPr>
              <w:t>(3)</w:t>
            </w:r>
          </w:p>
        </w:tc>
        <w:tc>
          <w:tcPr>
            <w:tcW w:w="36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line="247" w:lineRule="exact"/>
              <w:rPr>
                <w:sz w:val="20"/>
                <w:szCs w:val="20"/>
                <w:color w:val="auto"/>
              </w:rPr>
            </w:pPr>
            <w:r>
              <w:rPr>
                <w:rFonts w:ascii="Arial" w:cs="Arial" w:eastAsia="Arial" w:hAnsi="Arial"/>
                <w:sz w:val="18"/>
                <w:szCs w:val="18"/>
                <w:b w:val="1"/>
                <w:bCs w:val="1"/>
                <w:color w:val="auto"/>
                <w:w w:val="93"/>
              </w:rPr>
              <w:t>Dividend</w:t>
            </w:r>
            <w:r>
              <w:rPr>
                <w:rFonts w:ascii="Arial" w:cs="Arial" w:eastAsia="Arial" w:hAnsi="Arial"/>
                <w:sz w:val="25"/>
                <w:szCs w:val="25"/>
                <w:b w:val="1"/>
                <w:bCs w:val="1"/>
                <w:color w:val="auto"/>
                <w:w w:val="93"/>
                <w:vertAlign w:val="superscript"/>
              </w:rPr>
              <w:t>(1)</w:t>
            </w:r>
          </w:p>
        </w:tc>
        <w:tc>
          <w:tcPr>
            <w:tcW w:w="360" w:type="dxa"/>
            <w:vAlign w:val="bottom"/>
          </w:tcPr>
          <w:p>
            <w:pPr>
              <w:spacing w:after="0"/>
              <w:rPr>
                <w:sz w:val="22"/>
                <w:szCs w:val="22"/>
                <w:color w:val="auto"/>
              </w:rPr>
            </w:pPr>
          </w:p>
        </w:tc>
        <w:tc>
          <w:tcPr>
            <w:tcW w:w="102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9"/>
              </w:rPr>
              <w:t>Dividend</w:t>
            </w:r>
            <w:r>
              <w:rPr>
                <w:rFonts w:ascii="Arial" w:cs="Arial" w:eastAsia="Arial" w:hAnsi="Arial"/>
                <w:sz w:val="25"/>
                <w:szCs w:val="25"/>
                <w:b w:val="1"/>
                <w:bCs w:val="1"/>
                <w:color w:val="auto"/>
                <w:w w:val="89"/>
                <w:vertAlign w:val="superscript"/>
              </w:rPr>
              <w:t>(2)</w:t>
            </w:r>
          </w:p>
        </w:tc>
        <w:tc>
          <w:tcPr>
            <w:tcW w:w="380" w:type="dxa"/>
            <w:vAlign w:val="bottom"/>
          </w:tcPr>
          <w:p>
            <w:pPr>
              <w:spacing w:after="0"/>
              <w:rPr>
                <w:sz w:val="22"/>
                <w:szCs w:val="22"/>
                <w:color w:val="auto"/>
              </w:rPr>
            </w:pPr>
          </w:p>
        </w:tc>
        <w:tc>
          <w:tcPr>
            <w:tcW w:w="1000" w:type="dxa"/>
            <w:vAlign w:val="bottom"/>
            <w:tcBorders>
              <w:bottom w:val="single" w:sz="8" w:color="auto"/>
            </w:tcBorders>
          </w:tcPr>
          <w:p>
            <w:pPr>
              <w:ind w:left="220"/>
              <w:spacing w:after="0" w:line="247" w:lineRule="exact"/>
              <w:rPr>
                <w:sz w:val="20"/>
                <w:szCs w:val="20"/>
                <w:color w:val="auto"/>
              </w:rPr>
            </w:pPr>
            <w:r>
              <w:rPr>
                <w:rFonts w:ascii="Arial" w:cs="Arial" w:eastAsia="Arial" w:hAnsi="Arial"/>
                <w:sz w:val="18"/>
                <w:szCs w:val="18"/>
                <w:b w:val="1"/>
                <w:bCs w:val="1"/>
                <w:color w:val="auto"/>
              </w:rPr>
              <w:t>Ratio</w:t>
            </w:r>
            <w:r>
              <w:rPr>
                <w:rFonts w:ascii="Arial" w:cs="Arial" w:eastAsia="Arial" w:hAnsi="Arial"/>
                <w:sz w:val="25"/>
                <w:szCs w:val="25"/>
                <w:b w:val="1"/>
                <w:bCs w:val="1"/>
                <w:color w:val="auto"/>
                <w:vertAlign w:val="superscript"/>
              </w:rPr>
              <w:t>(3)</w:t>
            </w:r>
          </w:p>
        </w:tc>
        <w:tc>
          <w:tcPr>
            <w:tcW w:w="160" w:type="dxa"/>
            <w:vAlign w:val="bottom"/>
          </w:tcPr>
          <w:p>
            <w:pPr>
              <w:spacing w:after="0"/>
              <w:rPr>
                <w:sz w:val="22"/>
                <w:szCs w:val="22"/>
                <w:color w:val="auto"/>
              </w:rPr>
            </w:pP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First quarter</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1 for 130</w:t>
            </w:r>
          </w:p>
        </w:tc>
        <w:tc>
          <w:tcPr>
            <w:tcW w:w="980" w:type="dxa"/>
            <w:vAlign w:val="bottom"/>
          </w:tcPr>
          <w:p>
            <w:pPr>
              <w:ind w:left="720"/>
              <w:spacing w:after="0"/>
              <w:rPr>
                <w:sz w:val="20"/>
                <w:szCs w:val="20"/>
                <w:color w:val="auto"/>
              </w:rPr>
            </w:pPr>
            <w:r>
              <w:rPr>
                <w:rFonts w:ascii="Arial" w:cs="Arial" w:eastAsia="Arial" w:hAnsi="Arial"/>
                <w:sz w:val="18"/>
                <w:szCs w:val="18"/>
                <w:color w:val="auto"/>
                <w:w w:val="95"/>
              </w:rPr>
              <w:t>NA</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24"/>
                <w:szCs w:val="2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w w:val="88"/>
              </w:rPr>
              <w:t>26%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1 for 130</w:t>
            </w:r>
          </w:p>
        </w:tc>
        <w:tc>
          <w:tcPr>
            <w:tcW w:w="980" w:type="dxa"/>
            <w:vAlign w:val="bottom"/>
          </w:tcPr>
          <w:p>
            <w:pPr>
              <w:ind w:left="720"/>
              <w:spacing w:after="0"/>
              <w:rPr>
                <w:sz w:val="20"/>
                <w:szCs w:val="20"/>
                <w:color w:val="auto"/>
              </w:rPr>
            </w:pPr>
            <w:r>
              <w:rPr>
                <w:rFonts w:ascii="Arial" w:cs="Arial" w:eastAsia="Arial" w:hAnsi="Arial"/>
                <w:sz w:val="18"/>
                <w:szCs w:val="18"/>
                <w:color w:val="auto"/>
                <w:w w:val="95"/>
              </w:rPr>
              <w:t>NA</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60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 for 130</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NA</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 for 130</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dividends are presented as the dollar amount declared per share.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dividends are presented as the number of new shares issued for shares already owned.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payout ratio is presented for cash dividends only.</w:t>
      </w:r>
    </w:p>
    <w:p>
      <w:pPr>
        <w:spacing w:after="0" w:line="238"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85" w:lineRule="exact"/>
        <w:rPr>
          <w:sz w:val="20"/>
          <w:szCs w:val="20"/>
          <w:color w:val="auto"/>
        </w:rPr>
      </w:pPr>
    </w:p>
    <w:p>
      <w:pPr>
        <w:jc w:val="both"/>
        <w:ind w:firstLine="520"/>
        <w:spacing w:after="0" w:line="257" w:lineRule="auto"/>
        <w:rPr>
          <w:sz w:val="20"/>
          <w:szCs w:val="20"/>
          <w:color w:val="auto"/>
        </w:rPr>
      </w:pPr>
      <w:r>
        <w:rPr>
          <w:rFonts w:ascii="Arial" w:cs="Arial" w:eastAsia="Arial" w:hAnsi="Arial"/>
          <w:sz w:val="18"/>
          <w:szCs w:val="18"/>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215" w:lineRule="exact"/>
        <w:rPr>
          <w:sz w:val="20"/>
          <w:szCs w:val="20"/>
          <w:color w:val="auto"/>
        </w:rPr>
      </w:pPr>
    </w:p>
    <w:p>
      <w:pPr>
        <w:jc w:val="both"/>
        <w:ind w:firstLine="500"/>
        <w:spacing w:after="0" w:line="297"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t>The following table shows United’s capital ratios, as calculated under regulatory guidelines, at June 30,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Arial" w:cs="Arial" w:eastAsia="Arial" w:hAnsi="Arial"/>
                <w:sz w:val="18"/>
                <w:szCs w:val="18"/>
                <w:b w:val="1"/>
                <w:bCs w:val="1"/>
                <w:color w:val="auto"/>
              </w:rPr>
              <w:t>Table 16 - Capital Ratios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5"/>
            <w:vMerge w:val="restart"/>
          </w:tcPr>
          <w:p>
            <w:pPr>
              <w:jc w:val="center"/>
              <w:ind w:right="320"/>
              <w:spacing w:after="0"/>
              <w:rPr>
                <w:sz w:val="20"/>
                <w:szCs w:val="20"/>
                <w:color w:val="auto"/>
              </w:rPr>
            </w:pPr>
            <w:r>
              <w:rPr>
                <w:rFonts w:ascii="Arial" w:cs="Arial" w:eastAsia="Arial" w:hAnsi="Arial"/>
                <w:sz w:val="18"/>
                <w:szCs w:val="18"/>
                <w:b w:val="1"/>
                <w:bCs w:val="1"/>
                <w:color w:val="auto"/>
                <w:w w:val="91"/>
              </w:rPr>
              <w:t>United Community Banks,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700" w:type="dxa"/>
            <w:vAlign w:val="bottom"/>
            <w:gridSpan w:val="4"/>
          </w:tcPr>
          <w:p>
            <w:pPr>
              <w:ind w:left="820"/>
              <w:spacing w:after="0"/>
              <w:rPr>
                <w:sz w:val="20"/>
                <w:szCs w:val="20"/>
                <w:color w:val="auto"/>
              </w:rPr>
            </w:pPr>
            <w:r>
              <w:rPr>
                <w:rFonts w:ascii="Arial" w:cs="Arial" w:eastAsia="Arial" w:hAnsi="Arial"/>
                <w:sz w:val="18"/>
                <w:szCs w:val="18"/>
                <w:b w:val="1"/>
                <w:bCs w:val="1"/>
                <w:color w:val="auto"/>
              </w:rPr>
              <w:t>Regulatory</w:t>
            </w:r>
          </w:p>
        </w:tc>
        <w:tc>
          <w:tcPr>
            <w:tcW w:w="100" w:type="dxa"/>
            <w:vAlign w:val="bottom"/>
          </w:tcPr>
          <w:p>
            <w:pPr>
              <w:spacing w:after="0"/>
              <w:rPr>
                <w:sz w:val="18"/>
                <w:szCs w:val="18"/>
                <w:color w:val="auto"/>
              </w:rPr>
            </w:pPr>
          </w:p>
        </w:tc>
        <w:tc>
          <w:tcPr>
            <w:tcW w:w="13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6"/>
              </w:rPr>
              <w:t>Inc.</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p>
        </w:tc>
        <w:tc>
          <w:tcPr>
            <w:tcW w:w="2700" w:type="dxa"/>
            <w:vAlign w:val="bottom"/>
            <w:gridSpan w:val="4"/>
          </w:tcPr>
          <w:p>
            <w:pPr>
              <w:ind w:left="840"/>
              <w:spacing w:after="0"/>
              <w:rPr>
                <w:sz w:val="20"/>
                <w:szCs w:val="20"/>
                <w:color w:val="auto"/>
              </w:rPr>
            </w:pPr>
            <w:r>
              <w:rPr>
                <w:rFonts w:ascii="Arial" w:cs="Arial" w:eastAsia="Arial" w:hAnsi="Arial"/>
                <w:sz w:val="18"/>
                <w:szCs w:val="18"/>
                <w:b w:val="1"/>
                <w:bCs w:val="1"/>
                <w:color w:val="auto"/>
              </w:rPr>
              <w:t>Guidelines</w:t>
            </w:r>
          </w:p>
        </w:tc>
        <w:tc>
          <w:tcPr>
            <w:tcW w:w="100" w:type="dxa"/>
            <w:vAlign w:val="bottom"/>
          </w:tcPr>
          <w:p>
            <w:pPr>
              <w:spacing w:after="0"/>
              <w:rPr>
                <w:sz w:val="20"/>
                <w:szCs w:val="20"/>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(Consolidated)</w:t>
            </w:r>
          </w:p>
        </w:tc>
        <w:tc>
          <w:tcPr>
            <w:tcW w:w="140" w:type="dxa"/>
            <w:vAlign w:val="bottom"/>
          </w:tcPr>
          <w:p>
            <w:pPr>
              <w:spacing w:after="0"/>
              <w:rPr>
                <w:sz w:val="20"/>
                <w:szCs w:val="20"/>
                <w:color w:val="auto"/>
              </w:rPr>
            </w:pPr>
          </w:p>
        </w:tc>
        <w:tc>
          <w:tcPr>
            <w:tcW w:w="23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4"/>
              </w:rPr>
              <w:t>United Community Bank</w:t>
            </w: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Well</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4"/>
          </w:tcPr>
          <w:p>
            <w:pPr>
              <w:jc w:val="center"/>
              <w:spacing w:after="0" w:line="198" w:lineRule="exact"/>
              <w:rPr>
                <w:sz w:val="20"/>
                <w:szCs w:val="20"/>
                <w:color w:val="auto"/>
              </w:rPr>
            </w:pPr>
            <w:r>
              <w:rPr>
                <w:rFonts w:ascii="Arial" w:cs="Arial" w:eastAsia="Arial" w:hAnsi="Arial"/>
                <w:sz w:val="18"/>
                <w:szCs w:val="18"/>
                <w:b w:val="1"/>
                <w:bCs w:val="1"/>
                <w:color w:val="auto"/>
                <w:w w:val="87"/>
              </w:rPr>
              <w:t>As of June 30</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4"/>
          </w:tcPr>
          <w:p>
            <w:pPr>
              <w:jc w:val="right"/>
              <w:ind w:right="550"/>
              <w:spacing w:after="0" w:line="198" w:lineRule="exact"/>
              <w:rPr>
                <w:sz w:val="20"/>
                <w:szCs w:val="20"/>
                <w:color w:val="auto"/>
              </w:rPr>
            </w:pPr>
            <w:r>
              <w:rPr>
                <w:rFonts w:ascii="Arial" w:cs="Arial" w:eastAsia="Arial" w:hAnsi="Arial"/>
                <w:sz w:val="18"/>
                <w:szCs w:val="18"/>
                <w:b w:val="1"/>
                <w:bCs w:val="1"/>
                <w:color w:val="auto"/>
              </w:rPr>
              <w:t>As of June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Minimum</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Capitalized</w:t>
            </w:r>
          </w:p>
        </w:tc>
        <w:tc>
          <w:tcPr>
            <w:tcW w:w="1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Risk-based ratios:</w:t>
            </w: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Tier I capital</w:t>
            </w: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4.0%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10.43 %</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9.17%</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10.81%</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8.0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12.58</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Leverage ratio</w:t>
            </w: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459"/>
        </w:trPr>
        <w:tc>
          <w:tcPr>
            <w:tcW w:w="2500" w:type="dxa"/>
            <w:vAlign w:val="bottom"/>
          </w:tcPr>
          <w:p>
            <w:pPr>
              <w:ind w:left="180"/>
              <w:spacing w:after="0"/>
              <w:rPr>
                <w:sz w:val="20"/>
                <w:szCs w:val="20"/>
                <w:color w:val="auto"/>
              </w:rPr>
            </w:pPr>
            <w:r>
              <w:rPr>
                <w:rFonts w:ascii="Arial" w:cs="Arial" w:eastAsia="Arial" w:hAnsi="Arial"/>
                <w:sz w:val="18"/>
                <w:szCs w:val="18"/>
                <w:color w:val="auto"/>
              </w:rPr>
              <w:t>Tier I capital</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607,265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560,820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638,943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614,274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762,549</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697,597</w:t>
            </w:r>
          </w:p>
        </w:tc>
        <w:tc>
          <w:tcPr>
            <w:tcW w:w="1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743,739</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690,851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529"/>
        <w:spacing w:after="0" w:line="264"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208"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color w:val="auto"/>
        </w:rPr>
        <w:t>The capital ratios of United and the Bank currently exceed the minimum ratios as defined by federal regulators. United monitors these ratios to ensure that United and the Bank remain above the regulatory well capitalized guidelines.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ind w:firstLine="575"/>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208" w:lineRule="exact"/>
        <w:rPr>
          <w:sz w:val="20"/>
          <w:szCs w:val="20"/>
          <w:color w:val="auto"/>
        </w:rPr>
      </w:pPr>
    </w:p>
    <w:p>
      <w:pPr>
        <w:jc w:val="both"/>
        <w:ind w:firstLine="528"/>
        <w:spacing w:after="0" w:line="264"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56" w:lineRule="exact"/>
        <w:rPr>
          <w:sz w:val="20"/>
          <w:szCs w:val="20"/>
          <w:color w:val="auto"/>
        </w:rPr>
      </w:pPr>
    </w:p>
    <w:p>
      <w:pPr>
        <w:jc w:val="both"/>
        <w:ind w:right="20" w:firstLine="512"/>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June 30, 2009 from that presented in the Annual Report on Form 10-K for the year ended December 31, 2008. The interest rate sensitivity position at June 30, 2009 is included in management’s discussion and analysis on page 35 of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455"/>
        <w:spacing w:after="0" w:line="272"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June 30, 2009.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205" w:lineRule="exact"/>
        <w:rPr>
          <w:sz w:val="20"/>
          <w:szCs w:val="20"/>
          <w:color w:val="auto"/>
        </w:rPr>
      </w:pPr>
    </w:p>
    <w:p>
      <w:pPr>
        <w:jc w:val="both"/>
        <w:ind w:right="20" w:firstLine="471"/>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18"/>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 have been no material changes from the risk factors previously disclosed in United’s Form 10-K for the year ended December 31, 2008, but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did add the following risk factor:</w:t>
      </w:r>
    </w:p>
    <w:p>
      <w:pPr>
        <w:spacing w:after="0" w:line="2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As a financial services company, adverse conditions in the general business or economic environment could have a material adverse effect on our financial condition and results of operations.</w:t>
      </w:r>
    </w:p>
    <w:p>
      <w:pPr>
        <w:spacing w:after="0" w:line="197"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Continued weakness or adverse changes in business and economic conditions generally or specifically in the markets in which we operate could adversely impact our business, including causing one or more of the following negative developments:</w:t>
      </w:r>
    </w:p>
    <w:p>
      <w:pPr>
        <w:spacing w:after="0" w:line="170" w:lineRule="exact"/>
        <w:rPr>
          <w:sz w:val="20"/>
          <w:szCs w:val="20"/>
          <w:color w:val="auto"/>
        </w:rPr>
      </w:pPr>
    </w:p>
    <w:p>
      <w:pPr>
        <w:ind w:left="1000" w:hanging="49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demand for loans and other products and services offered by us;</w:t>
      </w:r>
    </w:p>
    <w:p>
      <w:pPr>
        <w:spacing w:after="0" w:line="225" w:lineRule="exact"/>
        <w:rPr>
          <w:rFonts w:ascii="Arial" w:cs="Arial" w:eastAsia="Arial" w:hAnsi="Arial"/>
          <w:sz w:val="18"/>
          <w:szCs w:val="18"/>
          <w:color w:val="auto"/>
        </w:rPr>
      </w:pPr>
    </w:p>
    <w:p>
      <w:pPr>
        <w:ind w:left="1000" w:hanging="49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value of our loans secured by consumer or commercial real estate;</w:t>
      </w:r>
    </w:p>
    <w:p>
      <w:pPr>
        <w:spacing w:after="0" w:line="225" w:lineRule="exact"/>
        <w:rPr>
          <w:rFonts w:ascii="Arial" w:cs="Arial" w:eastAsia="Arial" w:hAnsi="Arial"/>
          <w:sz w:val="18"/>
          <w:szCs w:val="18"/>
          <w:color w:val="auto"/>
        </w:rPr>
      </w:pPr>
    </w:p>
    <w:p>
      <w:pPr>
        <w:ind w:left="1220" w:hanging="712"/>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impairment of our assets, such as our goodwill or deferred tax assets; or</w:t>
      </w:r>
    </w:p>
    <w:p>
      <w:pPr>
        <w:spacing w:after="0" w:line="225"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if we are unable to continue to generate, or demonstrate that we can continue to generate, sufficient taxable income in the near future, then we may not be able to fully realize the benefits of our deferred tax assets and may be required to recognize a valuation allowance, similar to an impairment of those assets, if it is more-likely-than-not that some portion of our deferred tax assets will not be realized. Such a development or one or more other negative developments resulting from adverse conditions in the general business or economic environment, some of which are described above, could have a material adverse effect on our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 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 – 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held its annual meeting of shareholders on April 29, 2009.</w:t>
      </w:r>
    </w:p>
    <w:p>
      <w:pPr>
        <w:spacing w:after="0" w:line="252"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8"/>
          <w:szCs w:val="18"/>
          <w:color w:val="auto"/>
        </w:rPr>
        <w:t>At the annual meeting, the shareholders elected Jimmy C. Tallent, Robert L. Head, Jr., W.C. Nelson, Jr., A. William Bennett, Robert H. Blalock, L. Cathy Cox, Hoyt O. Holloway, John D. Stephens, and Tim Wallis as directors to serve until the next annual meeting and until their successors are elected and qualified. Of the 48,092,724 shares outstanding on the record date, 38,358,675 were voted representing 80% of the outstanding shares. The elections were approved by the votes set forth in the following table.</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Election of Directors</w:t>
            </w:r>
          </w:p>
        </w:tc>
        <w:tc>
          <w:tcPr>
            <w:tcW w:w="2760" w:type="dxa"/>
            <w:vAlign w:val="bottom"/>
          </w:tcPr>
          <w:p>
            <w:pPr>
              <w:spacing w:after="0"/>
              <w:rPr>
                <w:sz w:val="20"/>
                <w:szCs w:val="20"/>
                <w:color w:val="auto"/>
              </w:rPr>
            </w:pPr>
          </w:p>
        </w:tc>
        <w:tc>
          <w:tcPr>
            <w:tcW w:w="2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Shares Voted in Favor</w:t>
            </w:r>
          </w:p>
        </w:tc>
        <w:tc>
          <w:tcPr>
            <w:tcW w:w="1620" w:type="dxa"/>
            <w:vAlign w:val="bottom"/>
          </w:tcPr>
          <w:p>
            <w:pPr>
              <w:spacing w:after="0"/>
              <w:rPr>
                <w:sz w:val="20"/>
                <w:szCs w:val="20"/>
                <w:color w:val="auto"/>
              </w:rPr>
            </w:pP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Shares Withheld</w:t>
            </w: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Jimmy C. Tallent</w:t>
            </w:r>
          </w:p>
        </w:tc>
        <w:tc>
          <w:tcPr>
            <w:tcW w:w="2760" w:type="dxa"/>
            <w:vAlign w:val="bottom"/>
          </w:tcPr>
          <w:p>
            <w:pPr>
              <w:spacing w:after="0"/>
              <w:rPr>
                <w:sz w:val="17"/>
                <w:szCs w:val="17"/>
                <w:color w:val="auto"/>
              </w:rPr>
            </w:pPr>
          </w:p>
        </w:tc>
        <w:tc>
          <w:tcPr>
            <w:tcW w:w="2040" w:type="dxa"/>
            <w:vAlign w:val="bottom"/>
          </w:tcPr>
          <w:p>
            <w:pPr>
              <w:jc w:val="right"/>
              <w:ind w:right="590"/>
              <w:spacing w:after="0" w:line="201" w:lineRule="exact"/>
              <w:rPr>
                <w:sz w:val="20"/>
                <w:szCs w:val="20"/>
                <w:color w:val="auto"/>
              </w:rPr>
            </w:pPr>
            <w:r>
              <w:rPr>
                <w:rFonts w:ascii="Arial" w:cs="Arial" w:eastAsia="Arial" w:hAnsi="Arial"/>
                <w:sz w:val="18"/>
                <w:szCs w:val="18"/>
                <w:color w:val="auto"/>
              </w:rPr>
              <w:t>38,061,390</w:t>
            </w:r>
          </w:p>
        </w:tc>
        <w:tc>
          <w:tcPr>
            <w:tcW w:w="16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89"/>
              </w:rPr>
              <w:t>297,285</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Robert L. Head, Jr.</w:t>
            </w:r>
          </w:p>
        </w:tc>
        <w:tc>
          <w:tcPr>
            <w:tcW w:w="4800" w:type="dxa"/>
            <w:vAlign w:val="bottom"/>
            <w:gridSpan w:val="2"/>
          </w:tcPr>
          <w:p>
            <w:pPr>
              <w:jc w:val="right"/>
              <w:ind w:right="590"/>
              <w:spacing w:after="0"/>
              <w:rPr>
                <w:sz w:val="20"/>
                <w:szCs w:val="20"/>
                <w:color w:val="auto"/>
              </w:rPr>
            </w:pPr>
            <w:r>
              <w:rPr>
                <w:rFonts w:ascii="Arial" w:cs="Arial" w:eastAsia="Arial" w:hAnsi="Arial"/>
                <w:sz w:val="18"/>
                <w:szCs w:val="18"/>
                <w:color w:val="auto"/>
              </w:rPr>
              <w:t>37,979,418</w:t>
            </w:r>
          </w:p>
        </w:tc>
        <w:tc>
          <w:tcPr>
            <w:tcW w:w="318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379,257</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W.C. Nelson, Jr.</w:t>
            </w:r>
          </w:p>
        </w:tc>
        <w:tc>
          <w:tcPr>
            <w:tcW w:w="4800" w:type="dxa"/>
            <w:vAlign w:val="bottom"/>
            <w:gridSpan w:val="2"/>
          </w:tcPr>
          <w:p>
            <w:pPr>
              <w:jc w:val="right"/>
              <w:ind w:right="590"/>
              <w:spacing w:after="0"/>
              <w:rPr>
                <w:sz w:val="20"/>
                <w:szCs w:val="20"/>
                <w:color w:val="auto"/>
              </w:rPr>
            </w:pPr>
            <w:r>
              <w:rPr>
                <w:rFonts w:ascii="Arial" w:cs="Arial" w:eastAsia="Arial" w:hAnsi="Arial"/>
                <w:sz w:val="18"/>
                <w:szCs w:val="18"/>
                <w:color w:val="auto"/>
              </w:rPr>
              <w:t>37,486,251</w:t>
            </w:r>
          </w:p>
        </w:tc>
        <w:tc>
          <w:tcPr>
            <w:tcW w:w="318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872,424</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 William Bennett</w:t>
            </w:r>
          </w:p>
        </w:tc>
        <w:tc>
          <w:tcPr>
            <w:tcW w:w="4800" w:type="dxa"/>
            <w:vAlign w:val="bottom"/>
            <w:gridSpan w:val="2"/>
          </w:tcPr>
          <w:p>
            <w:pPr>
              <w:jc w:val="right"/>
              <w:ind w:right="590"/>
              <w:spacing w:after="0"/>
              <w:rPr>
                <w:sz w:val="20"/>
                <w:szCs w:val="20"/>
                <w:color w:val="auto"/>
              </w:rPr>
            </w:pPr>
            <w:r>
              <w:rPr>
                <w:rFonts w:ascii="Arial" w:cs="Arial" w:eastAsia="Arial" w:hAnsi="Arial"/>
                <w:sz w:val="18"/>
                <w:szCs w:val="18"/>
                <w:color w:val="auto"/>
              </w:rPr>
              <w:t>38,098,045</w:t>
            </w:r>
          </w:p>
        </w:tc>
        <w:tc>
          <w:tcPr>
            <w:tcW w:w="318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260,630</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Robert H. Blalock</w:t>
            </w:r>
          </w:p>
        </w:tc>
        <w:tc>
          <w:tcPr>
            <w:tcW w:w="4800" w:type="dxa"/>
            <w:vAlign w:val="bottom"/>
            <w:gridSpan w:val="2"/>
          </w:tcPr>
          <w:p>
            <w:pPr>
              <w:jc w:val="right"/>
              <w:ind w:right="590"/>
              <w:spacing w:after="0"/>
              <w:rPr>
                <w:sz w:val="20"/>
                <w:szCs w:val="20"/>
                <w:color w:val="auto"/>
              </w:rPr>
            </w:pPr>
            <w:r>
              <w:rPr>
                <w:rFonts w:ascii="Arial" w:cs="Arial" w:eastAsia="Arial" w:hAnsi="Arial"/>
                <w:sz w:val="18"/>
                <w:szCs w:val="18"/>
                <w:color w:val="auto"/>
              </w:rPr>
              <w:t>38,003,731</w:t>
            </w:r>
          </w:p>
        </w:tc>
        <w:tc>
          <w:tcPr>
            <w:tcW w:w="318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354,944</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L. Cathy Cox</w:t>
            </w:r>
          </w:p>
        </w:tc>
        <w:tc>
          <w:tcPr>
            <w:tcW w:w="4800" w:type="dxa"/>
            <w:vAlign w:val="bottom"/>
            <w:gridSpan w:val="2"/>
          </w:tcPr>
          <w:p>
            <w:pPr>
              <w:jc w:val="right"/>
              <w:ind w:right="590"/>
              <w:spacing w:after="0"/>
              <w:rPr>
                <w:sz w:val="20"/>
                <w:szCs w:val="20"/>
                <w:color w:val="auto"/>
              </w:rPr>
            </w:pPr>
            <w:r>
              <w:rPr>
                <w:rFonts w:ascii="Arial" w:cs="Arial" w:eastAsia="Arial" w:hAnsi="Arial"/>
                <w:sz w:val="18"/>
                <w:szCs w:val="18"/>
                <w:color w:val="auto"/>
              </w:rPr>
              <w:t>38,054,588</w:t>
            </w:r>
          </w:p>
        </w:tc>
        <w:tc>
          <w:tcPr>
            <w:tcW w:w="318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304,087</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Hoyt O. Holloway</w:t>
            </w:r>
          </w:p>
        </w:tc>
        <w:tc>
          <w:tcPr>
            <w:tcW w:w="4800" w:type="dxa"/>
            <w:vAlign w:val="bottom"/>
            <w:gridSpan w:val="2"/>
          </w:tcPr>
          <w:p>
            <w:pPr>
              <w:jc w:val="right"/>
              <w:ind w:right="590"/>
              <w:spacing w:after="0"/>
              <w:rPr>
                <w:sz w:val="20"/>
                <w:szCs w:val="20"/>
                <w:color w:val="auto"/>
              </w:rPr>
            </w:pPr>
            <w:r>
              <w:rPr>
                <w:rFonts w:ascii="Arial" w:cs="Arial" w:eastAsia="Arial" w:hAnsi="Arial"/>
                <w:sz w:val="18"/>
                <w:szCs w:val="18"/>
                <w:color w:val="auto"/>
              </w:rPr>
              <w:t>38,047,815</w:t>
            </w:r>
          </w:p>
        </w:tc>
        <w:tc>
          <w:tcPr>
            <w:tcW w:w="318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310,860</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John D. Stephens</w:t>
            </w:r>
          </w:p>
        </w:tc>
        <w:tc>
          <w:tcPr>
            <w:tcW w:w="4800" w:type="dxa"/>
            <w:vAlign w:val="bottom"/>
            <w:gridSpan w:val="2"/>
          </w:tcPr>
          <w:p>
            <w:pPr>
              <w:jc w:val="right"/>
              <w:ind w:right="590"/>
              <w:spacing w:after="0"/>
              <w:rPr>
                <w:sz w:val="20"/>
                <w:szCs w:val="20"/>
                <w:color w:val="auto"/>
              </w:rPr>
            </w:pPr>
            <w:r>
              <w:rPr>
                <w:rFonts w:ascii="Arial" w:cs="Arial" w:eastAsia="Arial" w:hAnsi="Arial"/>
                <w:sz w:val="18"/>
                <w:szCs w:val="18"/>
                <w:color w:val="auto"/>
              </w:rPr>
              <w:t>38,055,835</w:t>
            </w:r>
          </w:p>
        </w:tc>
        <w:tc>
          <w:tcPr>
            <w:tcW w:w="318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302,840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Tim Wallis</w:t>
            </w:r>
          </w:p>
        </w:tc>
        <w:tc>
          <w:tcPr>
            <w:tcW w:w="4800" w:type="dxa"/>
            <w:vAlign w:val="bottom"/>
            <w:gridSpan w:val="2"/>
          </w:tcPr>
          <w:p>
            <w:pPr>
              <w:jc w:val="right"/>
              <w:ind w:right="590"/>
              <w:spacing w:after="0"/>
              <w:rPr>
                <w:sz w:val="20"/>
                <w:szCs w:val="20"/>
                <w:color w:val="auto"/>
              </w:rPr>
            </w:pPr>
            <w:r>
              <w:rPr>
                <w:rFonts w:ascii="Arial" w:cs="Arial" w:eastAsia="Arial" w:hAnsi="Arial"/>
                <w:sz w:val="18"/>
                <w:szCs w:val="18"/>
                <w:color w:val="auto"/>
              </w:rPr>
              <w:t>36,718,664</w:t>
            </w:r>
          </w:p>
        </w:tc>
        <w:tc>
          <w:tcPr>
            <w:tcW w:w="3180" w:type="dxa"/>
            <w:vAlign w:val="bottom"/>
            <w:gridSpan w:val="2"/>
          </w:tcPr>
          <w:p>
            <w:pPr>
              <w:jc w:val="center"/>
              <w:ind w:left="1530"/>
              <w:spacing w:after="0"/>
              <w:rPr>
                <w:sz w:val="20"/>
                <w:szCs w:val="20"/>
                <w:color w:val="auto"/>
              </w:rPr>
            </w:pPr>
            <w:r>
              <w:rPr>
                <w:rFonts w:ascii="Arial" w:cs="Arial" w:eastAsia="Arial" w:hAnsi="Arial"/>
                <w:sz w:val="18"/>
                <w:szCs w:val="18"/>
                <w:color w:val="auto"/>
                <w:w w:val="89"/>
              </w:rPr>
              <w:t>1,640,011</w:t>
            </w:r>
          </w:p>
        </w:tc>
      </w:tr>
    </w:tbl>
    <w:p>
      <w:pPr>
        <w:spacing w:after="0" w:line="229"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Shareholders also approved an advisory resolution supporting the compensation plan for executive officers and the ratification of the independent auditors, Porter Keadle Moore. Of the 48,092,724 shares outstanding on the record date, 38,358,675 were voted, representing 80% of the outstanding shares. The proposals were approved by the votes set forth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Shares Voted in Favor</w:t>
            </w:r>
          </w:p>
        </w:tc>
        <w:tc>
          <w:tcPr>
            <w:tcW w:w="320" w:type="dxa"/>
            <w:vAlign w:val="bottom"/>
          </w:tcPr>
          <w:p>
            <w:pPr>
              <w:spacing w:after="0"/>
              <w:rPr>
                <w:sz w:val="20"/>
                <w:szCs w:val="20"/>
                <w:color w:val="auto"/>
              </w:rPr>
            </w:pPr>
          </w:p>
        </w:tc>
        <w:tc>
          <w:tcPr>
            <w:tcW w:w="1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Shares Voted Against</w:t>
            </w:r>
          </w:p>
        </w:tc>
        <w:tc>
          <w:tcPr>
            <w:tcW w:w="320" w:type="dxa"/>
            <w:vAlign w:val="bottom"/>
          </w:tcPr>
          <w:p>
            <w:pPr>
              <w:spacing w:after="0"/>
              <w:rPr>
                <w:sz w:val="20"/>
                <w:szCs w:val="20"/>
                <w:color w:val="auto"/>
              </w:rPr>
            </w:pP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Shares Withheld</w:t>
            </w:r>
          </w:p>
        </w:tc>
        <w:tc>
          <w:tcPr>
            <w:tcW w:w="560" w:type="dxa"/>
            <w:vAlign w:val="bottom"/>
          </w:tcPr>
          <w:p>
            <w:pPr>
              <w:spacing w:after="0"/>
              <w:rPr>
                <w:sz w:val="20"/>
                <w:szCs w:val="20"/>
                <w:color w:val="auto"/>
              </w:rPr>
            </w:pPr>
          </w:p>
        </w:tc>
      </w:tr>
      <w:tr>
        <w:trPr>
          <w:trHeight w:val="418"/>
        </w:trPr>
        <w:tc>
          <w:tcPr>
            <w:tcW w:w="4540" w:type="dxa"/>
            <w:vAlign w:val="bottom"/>
          </w:tcPr>
          <w:p>
            <w:pPr>
              <w:ind w:left="580"/>
              <w:spacing w:after="0"/>
              <w:rPr>
                <w:sz w:val="20"/>
                <w:szCs w:val="20"/>
                <w:color w:val="auto"/>
              </w:rPr>
            </w:pPr>
            <w:r>
              <w:rPr>
                <w:rFonts w:ascii="Arial" w:cs="Arial" w:eastAsia="Arial" w:hAnsi="Arial"/>
                <w:sz w:val="18"/>
                <w:szCs w:val="18"/>
                <w:color w:val="auto"/>
              </w:rPr>
              <w:t>Approve an advisory resolution supporting the</w:t>
            </w:r>
          </w:p>
        </w:tc>
        <w:tc>
          <w:tcPr>
            <w:tcW w:w="2020" w:type="dxa"/>
            <w:vAlign w:val="bottom"/>
          </w:tcPr>
          <w:p>
            <w:pPr>
              <w:jc w:val="right"/>
              <w:spacing w:after="0"/>
              <w:rPr>
                <w:sz w:val="20"/>
                <w:szCs w:val="20"/>
                <w:color w:val="auto"/>
              </w:rPr>
            </w:pPr>
            <w:r>
              <w:rPr>
                <w:rFonts w:ascii="Arial" w:cs="Arial" w:eastAsia="Arial" w:hAnsi="Arial"/>
                <w:sz w:val="18"/>
                <w:szCs w:val="18"/>
                <w:color w:val="auto"/>
              </w:rPr>
              <w:t>36,091,406</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1,356,573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910,696</w:t>
            </w:r>
          </w:p>
        </w:tc>
        <w:tc>
          <w:tcPr>
            <w:tcW w:w="560" w:type="dxa"/>
            <w:vAlign w:val="bottom"/>
          </w:tcPr>
          <w:p>
            <w:pPr>
              <w:spacing w:after="0"/>
              <w:rPr>
                <w:sz w:val="24"/>
                <w:szCs w:val="24"/>
                <w:color w:val="auto"/>
              </w:rPr>
            </w:pPr>
          </w:p>
        </w:tc>
      </w:tr>
      <w:tr>
        <w:trPr>
          <w:trHeight w:val="230"/>
        </w:trPr>
        <w:tc>
          <w:tcPr>
            <w:tcW w:w="4540" w:type="dxa"/>
            <w:vAlign w:val="bottom"/>
          </w:tcPr>
          <w:p>
            <w:pPr>
              <w:ind w:left="740"/>
              <w:spacing w:after="0"/>
              <w:rPr>
                <w:sz w:val="20"/>
                <w:szCs w:val="20"/>
                <w:color w:val="auto"/>
              </w:rPr>
            </w:pPr>
            <w:r>
              <w:rPr>
                <w:rFonts w:ascii="Arial" w:cs="Arial" w:eastAsia="Arial" w:hAnsi="Arial"/>
                <w:sz w:val="18"/>
                <w:szCs w:val="18"/>
                <w:color w:val="auto"/>
              </w:rPr>
              <w:t>compensation plan for executive officers</w:t>
            </w: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8"/>
        </w:trPr>
        <w:tc>
          <w:tcPr>
            <w:tcW w:w="4540" w:type="dxa"/>
            <w:vAlign w:val="bottom"/>
          </w:tcPr>
          <w:p>
            <w:pPr>
              <w:ind w:left="580"/>
              <w:spacing w:after="0"/>
              <w:rPr>
                <w:sz w:val="20"/>
                <w:szCs w:val="20"/>
                <w:color w:val="auto"/>
              </w:rPr>
            </w:pPr>
            <w:r>
              <w:rPr>
                <w:rFonts w:ascii="Arial" w:cs="Arial" w:eastAsia="Arial" w:hAnsi="Arial"/>
                <w:sz w:val="18"/>
                <w:szCs w:val="18"/>
                <w:color w:val="auto"/>
              </w:rPr>
              <w:t>Ratification of the independent auditors, Porter</w:t>
            </w:r>
          </w:p>
        </w:tc>
        <w:tc>
          <w:tcPr>
            <w:tcW w:w="2020" w:type="dxa"/>
            <w:vAlign w:val="bottom"/>
          </w:tcPr>
          <w:p>
            <w:pPr>
              <w:jc w:val="right"/>
              <w:spacing w:after="0"/>
              <w:rPr>
                <w:sz w:val="20"/>
                <w:szCs w:val="20"/>
                <w:color w:val="auto"/>
              </w:rPr>
            </w:pPr>
            <w:r>
              <w:rPr>
                <w:rFonts w:ascii="Arial" w:cs="Arial" w:eastAsia="Arial" w:hAnsi="Arial"/>
                <w:sz w:val="18"/>
                <w:szCs w:val="18"/>
                <w:color w:val="auto"/>
              </w:rPr>
              <w:t>38,044,247</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146,718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167,710</w:t>
            </w:r>
          </w:p>
        </w:tc>
        <w:tc>
          <w:tcPr>
            <w:tcW w:w="560" w:type="dxa"/>
            <w:vAlign w:val="bottom"/>
          </w:tcPr>
          <w:p>
            <w:pPr>
              <w:spacing w:after="0"/>
              <w:rPr>
                <w:sz w:val="24"/>
                <w:szCs w:val="24"/>
                <w:color w:val="auto"/>
              </w:rPr>
            </w:pPr>
          </w:p>
        </w:tc>
      </w:tr>
      <w:tr>
        <w:trPr>
          <w:trHeight w:val="230"/>
        </w:trPr>
        <w:tc>
          <w:tcPr>
            <w:tcW w:w="4540" w:type="dxa"/>
            <w:vAlign w:val="bottom"/>
          </w:tcPr>
          <w:p>
            <w:pPr>
              <w:ind w:left="740"/>
              <w:spacing w:after="0"/>
              <w:rPr>
                <w:sz w:val="20"/>
                <w:szCs w:val="20"/>
                <w:color w:val="auto"/>
              </w:rPr>
            </w:pPr>
            <w:r>
              <w:rPr>
                <w:rFonts w:ascii="Arial" w:cs="Arial" w:eastAsia="Arial" w:hAnsi="Arial"/>
                <w:sz w:val="18"/>
                <w:szCs w:val="18"/>
                <w:color w:val="auto"/>
              </w:rPr>
              <w:t>Keadle Moore</w:t>
            </w: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824"/>
        </w:trPr>
        <w:tc>
          <w:tcPr>
            <w:tcW w:w="4540" w:type="dxa"/>
            <w:vAlign w:val="bottom"/>
          </w:tcPr>
          <w:p>
            <w:pPr>
              <w:spacing w:after="0"/>
              <w:rPr>
                <w:sz w:val="24"/>
                <w:szCs w:val="24"/>
                <w:color w:val="auto"/>
              </w:rPr>
            </w:pPr>
          </w:p>
        </w:tc>
        <w:tc>
          <w:tcPr>
            <w:tcW w:w="2020" w:type="dxa"/>
            <w:vAlign w:val="bottom"/>
          </w:tcPr>
          <w:p>
            <w:pPr>
              <w:jc w:val="right"/>
              <w:ind w:right="67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8"/>
        </w:trPr>
        <w:tc>
          <w:tcPr>
            <w:tcW w:w="45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5. Other Information – 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000" w:right="140" w:hanging="499"/>
        <w:spacing w:after="0" w:line="264" w:lineRule="auto"/>
        <w:tabs>
          <w:tab w:leader="none" w:pos="980" w:val="left"/>
        </w:tabs>
        <w:rPr>
          <w:sz w:val="20"/>
          <w:szCs w:val="20"/>
          <w:color w:val="auto"/>
        </w:rPr>
      </w:pPr>
      <w:r>
        <w:rPr>
          <w:rFonts w:ascii="Arial" w:cs="Arial" w:eastAsia="Arial" w:hAnsi="Arial"/>
          <w:sz w:val="18"/>
          <w:szCs w:val="18"/>
          <w:color w:val="auto"/>
        </w:rPr>
        <w:t>3.1</w:t>
        <w:tab/>
        <w:t>Restated Articles of Incorporation of United Community Banks, Inc., (incorporated herein by reference to Exhibit 3.1 to United Community Banks, Inc.’s Quarterly Report on Form 10-Q for the quarter ended June 30, 2001, File No. 0-21656, filed with the Commission on August 14, 2001).</w:t>
      </w:r>
    </w:p>
    <w:p>
      <w:pPr>
        <w:spacing w:after="0" w:line="181" w:lineRule="exact"/>
        <w:rPr>
          <w:sz w:val="20"/>
          <w:szCs w:val="20"/>
          <w:color w:val="auto"/>
        </w:rPr>
      </w:pPr>
    </w:p>
    <w:p>
      <w:pPr>
        <w:jc w:val="both"/>
        <w:ind w:left="1000" w:right="20" w:hanging="499"/>
        <w:spacing w:after="0" w:line="342" w:lineRule="auto"/>
        <w:tabs>
          <w:tab w:leader="none" w:pos="9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the Restated Articles of Incorporation of United Community Banks, Inc. (incorporated herein by reference to Exhibit 3.3 to United Community Banks, Inc.’s Registration Statement on Form S-4, File No. 333-118893, filed with the Commission on September 9, 2004).</w:t>
      </w:r>
    </w:p>
    <w:p>
      <w:pPr>
        <w:spacing w:after="0" w:line="124" w:lineRule="exact"/>
        <w:rPr>
          <w:sz w:val="20"/>
          <w:szCs w:val="20"/>
          <w:color w:val="auto"/>
        </w:rPr>
      </w:pPr>
    </w:p>
    <w:p>
      <w:pPr>
        <w:jc w:val="both"/>
        <w:ind w:left="1000" w:hanging="499"/>
        <w:spacing w:after="0" w:line="264" w:lineRule="auto"/>
        <w:tabs>
          <w:tab w:leader="none" w:pos="980" w:val="left"/>
        </w:tabs>
        <w:rPr>
          <w:sz w:val="20"/>
          <w:szCs w:val="20"/>
          <w:color w:val="auto"/>
        </w:rPr>
      </w:pPr>
      <w:r>
        <w:rPr>
          <w:rFonts w:ascii="Arial" w:cs="Arial" w:eastAsia="Arial" w:hAnsi="Arial"/>
          <w:sz w:val="18"/>
          <w:szCs w:val="18"/>
          <w:color w:val="auto"/>
        </w:rPr>
        <w:t>3.3</w:t>
        <w:tab/>
        <w:t>Amended and Restated Bylaws of United Community Banks, Inc., dated September 12, 1997 (incorporated herein by reference to Exhibit 3.1 to United Community Banks, Inc.’s Annual Report on Form 10-K, for the year ended December 31, 1997, File No. 0-21656, filed with the Commission on March 27, 1998).</w:t>
      </w:r>
    </w:p>
    <w:p>
      <w:pPr>
        <w:spacing w:after="0" w:line="181" w:lineRule="exact"/>
        <w:rPr>
          <w:sz w:val="20"/>
          <w:szCs w:val="20"/>
          <w:color w:val="auto"/>
        </w:rPr>
      </w:pPr>
    </w:p>
    <w:p>
      <w:pPr>
        <w:jc w:val="both"/>
        <w:ind w:left="1000" w:hanging="499"/>
        <w:spacing w:after="0" w:line="277" w:lineRule="auto"/>
        <w:tabs>
          <w:tab w:leader="none" w:pos="980" w:val="left"/>
        </w:tabs>
        <w:rPr>
          <w:sz w:val="20"/>
          <w:szCs w:val="20"/>
          <w:color w:val="auto"/>
        </w:rPr>
      </w:pPr>
      <w:r>
        <w:rPr>
          <w:rFonts w:ascii="Arial" w:cs="Arial" w:eastAsia="Arial" w:hAnsi="Arial"/>
          <w:sz w:val="18"/>
          <w:szCs w:val="18"/>
          <w:color w:val="auto"/>
        </w:rPr>
        <w:t>4.1</w:t>
        <w:tab/>
        <w:t>See Exhibits 3.1, 3.2 and 3.3 for provisions of the Restated Articles of Incorporation, as amended, and Amended and Restated Bylaws, which define the rights of the Shareholders.</w:t>
      </w:r>
    </w:p>
    <w:p>
      <w:pPr>
        <w:spacing w:after="0" w:line="170"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Senior Executive Officer Nonqualified Stock Option Agreement.</w:t>
      </w:r>
    </w:p>
    <w:p>
      <w:pPr>
        <w:spacing w:after="0" w:line="225"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Senior Executive Officer Restricted Stock Unit Award Agreement.</w:t>
      </w:r>
    </w:p>
    <w:p>
      <w:pPr>
        <w:spacing w:after="0" w:line="225"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Senior Executive Officer Incentive Stock Option Agreement</w:t>
      </w:r>
    </w:p>
    <w:p>
      <w:pPr>
        <w:spacing w:after="0" w:line="225" w:lineRule="exact"/>
        <w:rPr>
          <w:sz w:val="20"/>
          <w:szCs w:val="20"/>
          <w:color w:val="auto"/>
        </w:rPr>
      </w:pPr>
    </w:p>
    <w:p>
      <w:pPr>
        <w:jc w:val="both"/>
        <w:ind w:left="1000" w:hanging="499"/>
        <w:spacing w:after="0" w:line="277" w:lineRule="auto"/>
        <w:tabs>
          <w:tab w:leader="none" w:pos="980" w:val="left"/>
        </w:tabs>
        <w:rPr>
          <w:sz w:val="20"/>
          <w:szCs w:val="20"/>
          <w:color w:val="auto"/>
        </w:rPr>
      </w:pPr>
      <w:r>
        <w:rPr>
          <w:rFonts w:ascii="Arial" w:cs="Arial" w:eastAsia="Arial" w:hAnsi="Arial"/>
          <w:sz w:val="18"/>
          <w:szCs w:val="18"/>
          <w:color w:val="auto"/>
        </w:rPr>
        <w:t>31.1</w:t>
        <w:tab/>
        <w:t>Certification by Jimmy C. Tallent, President and Chief Executive Officer of United Community Banks, Inc., as adopted pursuant to Section 302 of the Sarbanes-Oxley Act of 2002.</w:t>
      </w:r>
    </w:p>
    <w:p>
      <w:pPr>
        <w:spacing w:after="0" w:line="170" w:lineRule="exact"/>
        <w:rPr>
          <w:sz w:val="20"/>
          <w:szCs w:val="20"/>
          <w:color w:val="auto"/>
        </w:rPr>
      </w:pPr>
    </w:p>
    <w:p>
      <w:pPr>
        <w:jc w:val="both"/>
        <w:ind w:left="1000" w:hanging="499"/>
        <w:spacing w:after="0" w:line="277" w:lineRule="auto"/>
        <w:tabs>
          <w:tab w:leader="none" w:pos="980" w:val="left"/>
        </w:tabs>
        <w:rPr>
          <w:sz w:val="20"/>
          <w:szCs w:val="20"/>
          <w:color w:val="auto"/>
        </w:rPr>
      </w:pPr>
      <w:r>
        <w:rPr>
          <w:rFonts w:ascii="Arial" w:cs="Arial" w:eastAsia="Arial" w:hAnsi="Arial"/>
          <w:sz w:val="18"/>
          <w:szCs w:val="18"/>
          <w:color w:val="auto"/>
        </w:rPr>
        <w:t>31.2</w:t>
        <w:tab/>
        <w:t>Certification by Rex S. Schuette, Executive Vice President and Chief Financial Officer of United Community Banks, Inc., as adopted pursuant to Section 302 of the Sarbanes-Oxley Act of 2002.</w:t>
      </w:r>
    </w:p>
    <w:p>
      <w:pPr>
        <w:spacing w:after="0" w:line="170" w:lineRule="exact"/>
        <w:rPr>
          <w:sz w:val="20"/>
          <w:szCs w:val="20"/>
          <w:color w:val="auto"/>
        </w:rPr>
      </w:pPr>
    </w:p>
    <w:p>
      <w:pPr>
        <w:ind w:left="5620" w:right="1620" w:hanging="5112"/>
        <w:spacing w:after="0" w:line="731" w:lineRule="auto"/>
        <w:tabs>
          <w:tab w:leader="none" w:pos="10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0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14605</wp:posOffset>
            </wp:positionV>
            <wp:extent cx="23583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5839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14605</wp:posOffset>
            </wp:positionV>
            <wp:extent cx="23583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839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14605</wp:posOffset>
            </wp:positionV>
            <wp:extent cx="23583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5839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Date: August 7, 2009</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13"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441"/>
        </w:trPr>
        <w:tc>
          <w:tcPr>
            <w:tcW w:w="2780" w:type="dxa"/>
            <w:vAlign w:val="bottom"/>
          </w:tcPr>
          <w:p>
            <w:pPr>
              <w:spacing w:after="0"/>
              <w:rPr>
                <w:sz w:val="24"/>
                <w:szCs w:val="24"/>
                <w:color w:val="auto"/>
              </w:rPr>
            </w:pPr>
          </w:p>
        </w:tc>
        <w:tc>
          <w:tcPr>
            <w:tcW w:w="8640" w:type="dxa"/>
            <w:vAlign w:val="bottom"/>
            <w:gridSpan w:val="2"/>
          </w:tcPr>
          <w:p>
            <w:pPr>
              <w:jc w:val="center"/>
              <w:ind w:right="2690"/>
              <w:spacing w:after="0"/>
              <w:rPr>
                <w:sz w:val="20"/>
                <w:szCs w:val="20"/>
                <w:color w:val="auto"/>
              </w:rPr>
            </w:pPr>
            <w:r>
              <w:rPr>
                <w:rFonts w:ascii="Arial" w:cs="Arial" w:eastAsia="Arial" w:hAnsi="Arial"/>
                <w:sz w:val="18"/>
                <w:szCs w:val="18"/>
                <w:b w:val="1"/>
                <w:bCs w:val="1"/>
                <w:color w:val="auto"/>
              </w:rPr>
              <w:t>UNITED COMMUNITY BANKS, INC.</w:t>
            </w:r>
          </w:p>
        </w:tc>
      </w:tr>
      <w:tr>
        <w:trPr>
          <w:trHeight w:val="216"/>
        </w:trPr>
        <w:tc>
          <w:tcPr>
            <w:tcW w:w="2780" w:type="dxa"/>
            <w:vAlign w:val="bottom"/>
          </w:tcPr>
          <w:p>
            <w:pPr>
              <w:spacing w:after="0"/>
              <w:rPr>
                <w:sz w:val="18"/>
                <w:szCs w:val="18"/>
                <w:color w:val="auto"/>
              </w:rPr>
            </w:pPr>
          </w:p>
        </w:tc>
        <w:tc>
          <w:tcPr>
            <w:tcW w:w="864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w w:val="99"/>
              </w:rPr>
              <w:t>AMENDED AND RESTATED</w:t>
            </w:r>
          </w:p>
        </w:tc>
      </w:tr>
      <w:tr>
        <w:trPr>
          <w:trHeight w:val="234"/>
        </w:trPr>
        <w:tc>
          <w:tcPr>
            <w:tcW w:w="2780" w:type="dxa"/>
            <w:vAlign w:val="bottom"/>
          </w:tcPr>
          <w:p>
            <w:pPr>
              <w:spacing w:after="0"/>
              <w:rPr>
                <w:sz w:val="20"/>
                <w:szCs w:val="20"/>
                <w:color w:val="auto"/>
              </w:rPr>
            </w:pPr>
          </w:p>
        </w:tc>
        <w:tc>
          <w:tcPr>
            <w:tcW w:w="864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rPr>
              <w:t>2000 KEY EMPLOYEE STOCK OPTION PLAN</w:t>
            </w:r>
          </w:p>
        </w:tc>
      </w:tr>
      <w:tr>
        <w:trPr>
          <w:trHeight w:val="414"/>
        </w:trPr>
        <w:tc>
          <w:tcPr>
            <w:tcW w:w="2780" w:type="dxa"/>
            <w:vAlign w:val="bottom"/>
          </w:tcPr>
          <w:p>
            <w:pPr>
              <w:spacing w:after="0"/>
              <w:rPr>
                <w:sz w:val="24"/>
                <w:szCs w:val="24"/>
                <w:color w:val="auto"/>
              </w:rPr>
            </w:pPr>
          </w:p>
        </w:tc>
        <w:tc>
          <w:tcPr>
            <w:tcW w:w="864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rPr>
              <w:t>STOCK OPTION AGREEMENT</w:t>
            </w:r>
          </w:p>
        </w:tc>
      </w:tr>
      <w:tr>
        <w:trPr>
          <w:trHeight w:val="234"/>
        </w:trPr>
        <w:tc>
          <w:tcPr>
            <w:tcW w:w="2780" w:type="dxa"/>
            <w:vAlign w:val="bottom"/>
          </w:tcPr>
          <w:p>
            <w:pPr>
              <w:spacing w:after="0"/>
              <w:rPr>
                <w:sz w:val="20"/>
                <w:szCs w:val="20"/>
                <w:color w:val="auto"/>
              </w:rPr>
            </w:pPr>
          </w:p>
        </w:tc>
        <w:tc>
          <w:tcPr>
            <w:tcW w:w="8640" w:type="dxa"/>
            <w:vAlign w:val="bottom"/>
            <w:gridSpan w:val="2"/>
          </w:tcPr>
          <w:p>
            <w:pPr>
              <w:jc w:val="center"/>
              <w:ind w:right="2690"/>
              <w:spacing w:after="0"/>
              <w:rPr>
                <w:sz w:val="20"/>
                <w:szCs w:val="20"/>
                <w:color w:val="auto"/>
              </w:rPr>
            </w:pPr>
            <w:r>
              <w:rPr>
                <w:rFonts w:ascii="Arial" w:cs="Arial" w:eastAsia="Arial" w:hAnsi="Arial"/>
                <w:sz w:val="18"/>
                <w:szCs w:val="18"/>
                <w:b w:val="1"/>
                <w:bCs w:val="1"/>
                <w:color w:val="auto"/>
                <w:w w:val="91"/>
              </w:rPr>
              <w:t>(Nonqualified Stock Option – Executive Officer)</w:t>
            </w:r>
          </w:p>
        </w:tc>
      </w:tr>
      <w:tr>
        <w:trPr>
          <w:trHeight w:val="466"/>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55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556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89"/>
              </w:rPr>
              <w:t>____________________________ Shares</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Exercise Price:</w:t>
            </w:r>
          </w:p>
        </w:tc>
        <w:tc>
          <w:tcPr>
            <w:tcW w:w="556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 __________ per Share</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55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56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Per attached Optionee Statement</w:t>
            </w:r>
          </w:p>
        </w:tc>
      </w:tr>
      <w:tr>
        <w:trPr>
          <w:trHeight w:val="230"/>
        </w:trPr>
        <w:tc>
          <w:tcPr>
            <w:tcW w:w="27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556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99"/>
              </w:rPr>
              <w:t>Any county and any contiguous county</w:t>
            </w:r>
          </w:p>
        </w:tc>
      </w:tr>
      <w:tr>
        <w:trPr>
          <w:trHeight w:val="216"/>
        </w:trPr>
        <w:tc>
          <w:tcPr>
            <w:tcW w:w="27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99"/>
              </w:rPr>
              <w:t>and any metropolitan statistical area in</w:t>
            </w:r>
          </w:p>
        </w:tc>
      </w:tr>
      <w:tr>
        <w:trPr>
          <w:trHeight w:val="216"/>
        </w:trPr>
        <w:tc>
          <w:tcPr>
            <w:tcW w:w="27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98"/>
              </w:rPr>
              <w:t>which any of the Company’s subsidiary</w:t>
            </w:r>
          </w:p>
        </w:tc>
      </w:tr>
      <w:tr>
        <w:trPr>
          <w:trHeight w:val="230"/>
        </w:trPr>
        <w:tc>
          <w:tcPr>
            <w:tcW w:w="27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92"/>
              </w:rPr>
              <w:t>banks has an office as of the date hereof.</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7"/>
          <w:szCs w:val="17"/>
          <w:b w:val="1"/>
          <w:bCs w:val="1"/>
          <w:color w:val="auto"/>
        </w:rPr>
        <w:t xml:space="preserve">THIS OPTION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 ____ day of ______________, _______, by and between</w:t>
      </w:r>
      <w:r>
        <w:rPr>
          <w:rFonts w:ascii="Arial" w:cs="Arial" w:eastAsia="Arial" w:hAnsi="Arial"/>
          <w:sz w:val="17"/>
          <w:szCs w:val="17"/>
          <w:b w:val="1"/>
          <w:bCs w:val="1"/>
          <w:color w:val="auto"/>
        </w:rPr>
        <w:t xml:space="preserve"> UNITED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w:t>
      </w:r>
    </w:p>
    <w:p>
      <w:pPr>
        <w:spacing w:after="0" w:line="234" w:lineRule="exact"/>
        <w:rPr>
          <w:sz w:val="20"/>
          <w:szCs w:val="20"/>
          <w:color w:val="auto"/>
        </w:rPr>
      </w:pPr>
    </w:p>
    <w:p>
      <w:pPr>
        <w:jc w:val="both"/>
        <w:ind w:firstLine="59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United Community Banks, Inc. Amended and Restated 2000 Key Employee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was adopted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effective March 15, 2007;</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Optionee performs valuable services for the Company, a Subsidiary or one of their affiliates; and</w:t>
      </w:r>
    </w:p>
    <w:p>
      <w:pPr>
        <w:spacing w:after="0" w:line="252" w:lineRule="exact"/>
        <w:rPr>
          <w:sz w:val="20"/>
          <w:szCs w:val="20"/>
          <w:color w:val="auto"/>
        </w:rPr>
      </w:pPr>
    </w:p>
    <w:p>
      <w:pPr>
        <w:jc w:val="both"/>
        <w:ind w:right="20" w:firstLine="45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the committee responsible for the administration of the Plan has determined to grant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Optionee as provided herein;</w:t>
      </w:r>
    </w:p>
    <w:p>
      <w:pPr>
        <w:spacing w:after="0" w:line="189" w:lineRule="exact"/>
        <w:rPr>
          <w:sz w:val="20"/>
          <w:szCs w:val="20"/>
          <w:color w:val="auto"/>
        </w:rPr>
      </w:pPr>
    </w:p>
    <w:p>
      <w:pPr>
        <w:jc w:val="both"/>
        <w:ind w:right="20" w:firstLine="51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is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the Option</w:t>
      </w:r>
      <w:r>
        <w:rPr>
          <w:rFonts w:ascii="Arial" w:cs="Arial" w:eastAsia="Arial" w:hAnsi="Arial"/>
          <w:sz w:val="18"/>
          <w:szCs w:val="18"/>
          <w:b w:val="1"/>
          <w:bCs w:val="1"/>
          <w:color w:val="auto"/>
        </w:rPr>
        <w:t>.</w:t>
      </w:r>
    </w:p>
    <w:p>
      <w:pPr>
        <w:spacing w:after="0" w:line="252" w:lineRule="exact"/>
        <w:rPr>
          <w:sz w:val="20"/>
          <w:szCs w:val="20"/>
          <w:color w:val="auto"/>
        </w:rPr>
      </w:pPr>
    </w:p>
    <w:p>
      <w:pPr>
        <w:ind w:firstLine="517"/>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shares of the Company’s Common Stock, par value $1.00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 hereby granted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189"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that the Optionee can purchase upon exercise of the Option is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7" w:name="page48"/>
    <w:bookmarkEnd w:id="47"/>
    <w:p>
      <w:pPr>
        <w:ind w:left="460"/>
        <w:spacing w:after="0"/>
        <w:tabs>
          <w:tab w:leader="none" w:pos="11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Option Exercise Price</w:t>
      </w:r>
      <w:r>
        <w:rPr>
          <w:rFonts w:ascii="Arial" w:cs="Arial" w:eastAsia="Arial" w:hAnsi="Arial"/>
          <w:sz w:val="16"/>
          <w:szCs w:val="16"/>
          <w:color w:val="auto"/>
        </w:rPr>
        <w:t>. The price the Optionee must pay to exercise the Option (the “</w:t>
      </w: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is set forth above.</w:t>
      </w:r>
    </w:p>
    <w:p>
      <w:pPr>
        <w:spacing w:after="0" w:line="25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that the Option is granted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is set forth above.</w:t>
      </w:r>
    </w:p>
    <w:p>
      <w:pPr>
        <w:spacing w:after="0" w:line="252"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u w:val="single" w:color="auto"/>
          <w:color w:val="auto"/>
        </w:rPr>
        <w:t>Type of Option</w:t>
      </w:r>
      <w:r>
        <w:rPr>
          <w:rFonts w:ascii="Arial" w:cs="Arial" w:eastAsia="Arial" w:hAnsi="Arial"/>
          <w:sz w:val="18"/>
          <w:szCs w:val="18"/>
          <w:color w:val="auto"/>
        </w:rPr>
        <w:t>. The Option is intended to be a Nonqualified Stock Option. It is not intended to qualify as an Incentive Stock Option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of Section 422 of the Internal Revenue Code of 1986, as amended from time to time, or any successor provision thereto.</w:t>
      </w:r>
    </w:p>
    <w:p>
      <w:pPr>
        <w:spacing w:after="0" w:line="189" w:lineRule="exact"/>
        <w:rPr>
          <w:sz w:val="20"/>
          <w:szCs w:val="20"/>
          <w:color w:val="auto"/>
        </w:rPr>
      </w:pPr>
    </w:p>
    <w:p>
      <w:pPr>
        <w:jc w:val="both"/>
        <w:ind w:firstLine="477"/>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in accordance and consistent with, and subject to, the provisions of the Plan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incorporated herein by reference) and, except as otherwise expressly set forth herein, the capitalized terms used in this Agreement shall have the same definitions as set forth in the Plan.</w:t>
      </w:r>
    </w:p>
    <w:p>
      <w:pPr>
        <w:spacing w:after="0" w:line="203" w:lineRule="exact"/>
        <w:rPr>
          <w:sz w:val="20"/>
          <w:szCs w:val="20"/>
          <w:color w:val="auto"/>
        </w:rPr>
      </w:pPr>
    </w:p>
    <w:p>
      <w:pPr>
        <w:jc w:val="both"/>
        <w:ind w:right="20" w:firstLine="463"/>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Option is evidenced by this Agreement. If the Optionee does not execute this Agreement within thirty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of receiving the Agreement, the Committee may in its discretion cancel the Option and this Agreement.</w:t>
      </w:r>
    </w:p>
    <w:p>
      <w:pPr>
        <w:spacing w:after="0" w:line="18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firstLine="534"/>
        <w:spacing w:after="0" w:line="277" w:lineRule="auto"/>
        <w:rPr>
          <w:sz w:val="20"/>
          <w:szCs w:val="20"/>
          <w:color w:val="auto"/>
        </w:rPr>
      </w:pPr>
      <w:r>
        <w:rPr>
          <w:rFonts w:ascii="Arial" w:cs="Arial" w:eastAsia="Arial" w:hAnsi="Arial"/>
          <w:sz w:val="18"/>
          <w:szCs w:val="18"/>
          <w:color w:val="auto"/>
        </w:rPr>
        <w:t>The Option shall be exercisable to the extent and in the manner provided herein for a period of ten (10) years from the Date of Grant (the “</w:t>
      </w:r>
      <w:r>
        <w:rPr>
          <w:rFonts w:ascii="Arial" w:cs="Arial" w:eastAsia="Arial" w:hAnsi="Arial"/>
          <w:sz w:val="18"/>
          <w:szCs w:val="18"/>
          <w:b w:val="1"/>
          <w:bCs w:val="1"/>
          <w:i w:val="1"/>
          <w:i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provided, however, that the Exercise Term may end earlier as provided in Sections 5 and 13 hereof.</w:t>
      </w:r>
    </w:p>
    <w:p>
      <w:pPr>
        <w:spacing w:after="0" w:line="19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56" w:lineRule="exact"/>
        <w:rPr>
          <w:sz w:val="20"/>
          <w:szCs w:val="20"/>
          <w:color w:val="auto"/>
        </w:rPr>
      </w:pPr>
    </w:p>
    <w:p>
      <w:pPr>
        <w:ind w:firstLine="463"/>
        <w:spacing w:after="0" w:line="277" w:lineRule="auto"/>
        <w:rPr>
          <w:sz w:val="20"/>
          <w:szCs w:val="20"/>
          <w:color w:val="auto"/>
        </w:rPr>
      </w:pPr>
      <w:r>
        <w:rPr>
          <w:rFonts w:ascii="Arial" w:cs="Arial" w:eastAsia="Arial" w:hAnsi="Arial"/>
          <w:sz w:val="18"/>
          <w:szCs w:val="18"/>
          <w:color w:val="auto"/>
        </w:rPr>
        <w:t xml:space="preserve">The Option shall vest and become exercisable in accordance with the vesting schedule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The Optionee may exercise the Option to the extent it is vested during the Exercise Term, subject to any limitations on exercise contained in Section 7 hereof.</w:t>
      </w:r>
    </w:p>
    <w:p>
      <w:pPr>
        <w:spacing w:after="0" w:line="19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 and Payment</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477"/>
        <w:spacing w:after="0" w:line="268"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u w:val="single" w:color="auto"/>
          <w:color w:val="auto"/>
        </w:rPr>
        <w:t>Delivery</w:t>
      </w:r>
      <w:r>
        <w:rPr>
          <w:rFonts w:ascii="Arial" w:cs="Arial" w:eastAsia="Arial" w:hAnsi="Arial"/>
          <w:sz w:val="17"/>
          <w:szCs w:val="17"/>
          <w:color w:val="auto"/>
        </w:rPr>
        <w:t>. To exercise the Option, the Optionee must deliver a completed copy of the Option Exercise Form, attached hereto as Exhibit A and</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herein by reference, to the address indicated on such Form or such other address designated by the Company from time to time. The Committee may establish a minimum number of Shares (e.g., 100) for which the Option may be exercised at a particular time. Contemporaneously with the delivery of the Option Exercise Form, the Optionee shall tender to the Company the aggregate Option Exercise Price for the Shares as to which the Optionee is exercising the Option by (i) cash, check, or wire transfer, (ii) delivering or properly attesting to ownership of Shares with a Fair Market Value at the date of exercise equal to the aggregate Option Exercise Price for the Shares as to which the Optionee is exercising the Option, (iii) a broker-assisted cashless exercise transaction through a brokerage firm designated by the Optionee, or (iv) or by such other method of payment as may be acceptable to the Committee pursuant to the Plan. The Company shall deliver to the Optionee certificates evidencing the Shares, as to which the Option was exercised within thirty (30) days of the date on which the Optionee delivers the Option Exercise Form and makes payment of the aggregate Option Exercise Price to the Company or shall make such Shares available for electronic delivery in the U.S. to an account the Optionee designates in writing within three (3) business days after the date on which the Optionee delivers the Option Exercise Form and makes payment of the aggregate Option Exercise Price to the Company, and in either case such Shares shall be free and clear of all liens, security interests, pledges or other claims or charges, except those provided in this Agreement or the Plan, or any other agreement affecting the Shares. Notwithstanding the foregoing, if the Optionee is a non-exempt employee for purposes of the Fair Labor Standards Act of 1938, the Optionee may not exercise any Option prior to the date that is six (6) months after the Date of Grant unless the Optionee’s employment has terminated due to death, Disability, or Retirement after the Date of Grant.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jc w:val="both"/>
        <w:ind w:firstLine="504"/>
        <w:spacing w:after="0" w:line="277"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The Optionee shall not be deemed to be the holder of, or to have any of the rights of a holder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 (iii) the Optionee’s name shall have been entered as a shareholder of record on the books of the Company, whereupon the Optionee shall have full voting and other ownership rights with respect to such Shares, subject to divestment pursuant to Section 13.</w:t>
      </w:r>
    </w:p>
    <w:p>
      <w:pPr>
        <w:spacing w:after="0" w:line="19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2" w:lineRule="exact"/>
        <w:rPr>
          <w:sz w:val="20"/>
          <w:szCs w:val="20"/>
          <w:color w:val="auto"/>
        </w:rPr>
      </w:pPr>
    </w:p>
    <w:p>
      <w:pPr>
        <w:jc w:val="both"/>
        <w:ind w:firstLine="490"/>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the Optionee’s employment is terminated by the Company for Cause, the outstanding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immediately, and the Optionee’s right to exercise the outstanding Option (whether or not vested) shall terminate immediately upon the date of the Optionee’s termination of employment.</w:t>
      </w:r>
    </w:p>
    <w:p>
      <w:pPr>
        <w:spacing w:after="0" w:line="20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6" w:lineRule="exact"/>
        <w:rPr>
          <w:sz w:val="20"/>
          <w:szCs w:val="20"/>
          <w:color w:val="auto"/>
        </w:rPr>
      </w:pPr>
    </w:p>
    <w:p>
      <w:pPr>
        <w:jc w:val="both"/>
        <w:ind w:firstLine="1152"/>
        <w:spacing w:after="0" w:line="297" w:lineRule="auto"/>
        <w:tabs>
          <w:tab w:leader="none" w:pos="18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Optionee’s employment with the Company and any Subsidiary is terminated involuntarily by the Company without Cause or is terminated by the Optionee for Good Reason (as defined in subsection (2) below), the Option shall continue to vest in accordance with the original vesting schedule set forth in this Agreement (just as if the Optionee had remained employed) and shall remain exercisable at any time prior to the expiration of the term of the Option. In the event of the Optionee’s death after a termination covered by this subsection 5.2, the Option shall continue to vest and be exercisable in accordance with this subsection 5.2 as if the Optionee had lived and the Option shall be exercisable by the persons described in Section 5.4.</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9" w:name="page50"/>
    <w:bookmarkEnd w:id="49"/>
    <w:p>
      <w:pPr>
        <w:jc w:val="both"/>
        <w:ind w:firstLine="1149"/>
        <w:spacing w:after="0" w:line="312" w:lineRule="auto"/>
        <w:tabs>
          <w:tab w:leader="none" w:pos="18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purposes of this Option, the Optionee shall be entitled to terminate his employment with the Company for Good Reason in the event, without the Optionee’s express written consent, of any one of the following acts by the Company, or failures by the Company to act, unless, in the case of any act or failure to act described in paragraphs (i), (iii), or (iv) below, such act or failure to act is corrected prior to the Optionee’s date of termination:</w:t>
      </w:r>
    </w:p>
    <w:p>
      <w:pPr>
        <w:spacing w:after="0" w:line="146" w:lineRule="exact"/>
        <w:rPr>
          <w:rFonts w:ascii="Arial" w:cs="Arial" w:eastAsia="Arial" w:hAnsi="Arial"/>
          <w:sz w:val="16"/>
          <w:szCs w:val="16"/>
          <w:color w:val="auto"/>
        </w:rPr>
      </w:pPr>
    </w:p>
    <w:p>
      <w:pPr>
        <w:ind w:left="2080" w:hanging="614"/>
        <w:spacing w:after="0"/>
        <w:tabs>
          <w:tab w:leader="none" w:pos="2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material reduction in the Optionee’s responsibilities at the Company; or</w:t>
      </w:r>
    </w:p>
    <w:p>
      <w:pPr>
        <w:spacing w:after="0" w:line="225" w:lineRule="exact"/>
        <w:rPr>
          <w:rFonts w:ascii="Arial" w:cs="Arial" w:eastAsia="Arial" w:hAnsi="Arial"/>
          <w:sz w:val="18"/>
          <w:szCs w:val="18"/>
          <w:color w:val="auto"/>
        </w:rPr>
      </w:pPr>
    </w:p>
    <w:p>
      <w:pPr>
        <w:ind w:left="2100" w:hanging="634"/>
        <w:spacing w:after="0"/>
        <w:tabs>
          <w:tab w:leader="none" w:pos="2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required relocation of the Optionee’s employment to a location outside of the market area of the Company; or</w:t>
      </w:r>
    </w:p>
    <w:p>
      <w:pPr>
        <w:spacing w:after="0" w:line="225" w:lineRule="exact"/>
        <w:rPr>
          <w:rFonts w:ascii="Arial" w:cs="Arial" w:eastAsia="Arial" w:hAnsi="Arial"/>
          <w:sz w:val="18"/>
          <w:szCs w:val="18"/>
          <w:color w:val="auto"/>
        </w:rPr>
      </w:pPr>
    </w:p>
    <w:p>
      <w:pPr>
        <w:ind w:left="920" w:right="20" w:firstLine="562"/>
        <w:spacing w:after="0" w:line="277" w:lineRule="auto"/>
        <w:tabs>
          <w:tab w:leader="none" w:pos="2116" w:val="left"/>
        </w:tabs>
        <w:numPr>
          <w:ilvl w:val="2"/>
          <w:numId w:val="18"/>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Optionee under the Company’s director and officer liability insurance policy or indemnification commitments; or</w:t>
      </w:r>
    </w:p>
    <w:p>
      <w:pPr>
        <w:spacing w:after="0" w:line="170" w:lineRule="exact"/>
        <w:rPr>
          <w:rFonts w:ascii="Arial" w:cs="Arial" w:eastAsia="Arial" w:hAnsi="Arial"/>
          <w:sz w:val="18"/>
          <w:szCs w:val="18"/>
          <w:color w:val="auto"/>
        </w:rPr>
      </w:pPr>
    </w:p>
    <w:p>
      <w:pPr>
        <w:jc w:val="both"/>
        <w:ind w:left="920" w:firstLine="678"/>
        <w:spacing w:after="0" w:line="312" w:lineRule="auto"/>
        <w:tabs>
          <w:tab w:leader="none" w:pos="2299" w:val="left"/>
        </w:tabs>
        <w:numPr>
          <w:ilvl w:val="3"/>
          <w:numId w:val="18"/>
        </w:numPr>
        <w:rPr>
          <w:rFonts w:ascii="Arial" w:cs="Arial" w:eastAsia="Arial" w:hAnsi="Arial"/>
          <w:sz w:val="16"/>
          <w:szCs w:val="16"/>
          <w:color w:val="auto"/>
        </w:rPr>
      </w:pPr>
      <w:r>
        <w:rPr>
          <w:rFonts w:ascii="Arial" w:cs="Arial" w:eastAsia="Arial" w:hAnsi="Arial"/>
          <w:sz w:val="16"/>
          <w:szCs w:val="16"/>
          <w:color w:val="auto"/>
        </w:rPr>
        <w:t>a substantial reduction in the Optionee’s base salary, a material reduction in his incentive compensation or the taking of any action by the Company which would, directly or indirectly, materially reduce any of the benefits provided to the Optionee under any of the Company’s pension, 401(k), deferred compensation, life insurance, medical, accident or disability plans in which the Optionee is participating.</w:t>
      </w:r>
    </w:p>
    <w:p>
      <w:pPr>
        <w:spacing w:after="0" w:line="174" w:lineRule="exact"/>
        <w:rPr>
          <w:sz w:val="20"/>
          <w:szCs w:val="20"/>
          <w:color w:val="auto"/>
        </w:rPr>
      </w:pPr>
    </w:p>
    <w:p>
      <w:pPr>
        <w:jc w:val="both"/>
        <w:ind w:firstLine="1187"/>
        <w:spacing w:after="0" w:line="264" w:lineRule="auto"/>
        <w:rPr>
          <w:sz w:val="20"/>
          <w:szCs w:val="20"/>
          <w:color w:val="auto"/>
        </w:rPr>
      </w:pPr>
      <w:r>
        <w:rPr>
          <w:rFonts w:ascii="Arial" w:cs="Arial" w:eastAsia="Arial" w:hAnsi="Arial"/>
          <w:sz w:val="18"/>
          <w:szCs w:val="18"/>
          <w:color w:val="auto"/>
        </w:rPr>
        <w:t>The Optionee’s right to terminate employment for Good Reason shall not be affected by the Optionee’s incapacity due to physical or mental illness, except for a Disability as defined in the Plan. The Optionee’s continued employment shall not constitute consent to, or a waiver of rights with respect to, any act or failure to act constituting Good Reason hereunder.</w:t>
      </w:r>
    </w:p>
    <w:p>
      <w:pPr>
        <w:spacing w:after="0" w:line="204"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Termination of Employment Following a Change in Control When Eligible for Retirement</w:t>
      </w:r>
      <w:r>
        <w:rPr>
          <w:rFonts w:ascii="Arial" w:cs="Arial" w:eastAsia="Arial" w:hAnsi="Arial"/>
          <w:sz w:val="17"/>
          <w:szCs w:val="17"/>
          <w:color w:val="auto"/>
        </w:rPr>
        <w:t>. If the Optionee’s employment with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following a Change in Control and the Optionee is eligible for Retirement as of the date of such termination, the outstanding unvested portion of the Option shall immediately vest and the Option shall remain exercisable at any time prior to the expiration of the term of the Option.</w:t>
      </w:r>
    </w:p>
    <w:p>
      <w:pPr>
        <w:spacing w:after="0" w:line="185" w:lineRule="exact"/>
        <w:rPr>
          <w:sz w:val="20"/>
          <w:szCs w:val="20"/>
          <w:color w:val="auto"/>
        </w:rPr>
      </w:pPr>
    </w:p>
    <w:p>
      <w:pPr>
        <w:jc w:val="both"/>
        <w:ind w:firstLine="463"/>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Termination of Employment Due to Death</w:t>
      </w:r>
      <w:r>
        <w:rPr>
          <w:rFonts w:ascii="Arial" w:cs="Arial" w:eastAsia="Arial" w:hAnsi="Arial"/>
          <w:sz w:val="18"/>
          <w:szCs w:val="18"/>
          <w:color w:val="auto"/>
        </w:rPr>
        <w:t>. If the Optionee dies while actively employed by the Company, the outstanding unvested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immediately vest, and thereafter the Option shall remain exercisable at any time prior to its expiration date or for one (1) year after the date of death, whichever period is shorter, (i) by such person(s) who have acquired the Optionee’s rights by will or the laws of descent and distribution, or (ii) if no such person in (i) exists, by the executor or representative of the Optionee’s estate.</w:t>
      </w:r>
    </w:p>
    <w:p>
      <w:pPr>
        <w:spacing w:after="0" w:line="207" w:lineRule="exact"/>
        <w:rPr>
          <w:sz w:val="20"/>
          <w:szCs w:val="20"/>
          <w:color w:val="auto"/>
        </w:rPr>
      </w:pPr>
    </w:p>
    <w:p>
      <w:pPr>
        <w:jc w:val="both"/>
        <w:ind w:firstLine="477"/>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Termination of Employment by Disability</w:t>
      </w:r>
      <w:r>
        <w:rPr>
          <w:rFonts w:ascii="Arial" w:cs="Arial" w:eastAsia="Arial" w:hAnsi="Arial"/>
          <w:sz w:val="18"/>
          <w:szCs w:val="18"/>
          <w:color w:val="auto"/>
        </w:rPr>
        <w:t>. In the event the employment of the Optionee is terminated by reason of Disability,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unvested portion of the Option shall expire as of the date the Committee determines the definition of Disability to have been satisfied by the Optionee, and the outstanding vested portion of the Option as of that date shall remain exercisable at any time prior to its expiration date or for one (1) year after the Committee’s determination of Disability, whichever period is shorter.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ind w:firstLine="450"/>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Voluntary Termination of Employment or Retirement</w:t>
      </w:r>
      <w:r>
        <w:rPr>
          <w:rFonts w:ascii="Arial" w:cs="Arial" w:eastAsia="Arial" w:hAnsi="Arial"/>
          <w:sz w:val="18"/>
          <w:szCs w:val="18"/>
          <w:color w:val="auto"/>
        </w:rPr>
        <w:t>. If the Optionee voluntarily terminates his or her employment with the Company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Good Reason), including upon Retirement that does not follow a Change in Control, the outstanding unvested portion of the Option shall expire as of the date of termination of employment, and the vested portion of the Option as of the date of termination of employment shall remain exercisable (i) if the Optionee is not eligible for Retirement as of the date of such termination, at any time prior to its expiration date or for three (3) months after the date of termination of employment, whichever period is shorter, or (ii) if the Optionee is eligible for Retirement as of the date of such termination, at any time prior to its expiration date.</w:t>
      </w:r>
    </w:p>
    <w:p>
      <w:pPr>
        <w:spacing w:after="0" w:line="215"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7"/>
          <w:szCs w:val="17"/>
          <w:b w:val="1"/>
          <w:bCs w:val="1"/>
          <w:color w:val="auto"/>
        </w:rPr>
        <w:t xml:space="preserve">5.7 </w:t>
      </w:r>
      <w:r>
        <w:rPr>
          <w:rFonts w:ascii="Arial" w:cs="Arial" w:eastAsia="Arial" w:hAnsi="Arial"/>
          <w:sz w:val="17"/>
          <w:szCs w:val="17"/>
          <w:u w:val="single" w:color="auto"/>
          <w:color w:val="auto"/>
        </w:rPr>
        <w:t>Employment by Subsidiary</w:t>
      </w:r>
      <w:r>
        <w:rPr>
          <w:rFonts w:ascii="Arial" w:cs="Arial" w:eastAsia="Arial" w:hAnsi="Arial"/>
          <w:sz w:val="17"/>
          <w:szCs w:val="17"/>
          <w:color w:val="auto"/>
        </w:rPr>
        <w:t>. For purposes of this Section and Sections 8 and 13, employment with the Company includes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Subsidiary or service as a member of the Board of Directors of the Company or a Subsidiary. A change of employment between the Company and any Subsidiary or between Subsidiaries or a change in the nature of the Optionee’s service relationship with the Company and the Subsidiaries (e.g., from employee to Director) without any interruption in the Optionee’s provision of services is not a termination of employment under this Agreement.</w:t>
      </w:r>
    </w:p>
    <w:p>
      <w:pPr>
        <w:spacing w:after="0" w:line="19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Option shall not be transferable other than by will or by the laws of descent and distribution and during the lifetime of the Optionee. The Option shall be exercisable only by the Optionee except as provided in Section 5.4. Notwithstanding the foregoing, any portion or all of the Option which is vested may be transferred, in whole or in part, without consideration, to a Permitted Transferee. Appropriate evidence of any such transfer to the Permitted Transferees shall be delivered to the Company on such forms as the Committee or Company shall prescribe and shall comply with and indicate the Optionee’s (if during the lifetime of the Optionee) and the Permitted Transferee’s agreement to abide by the Company’s then current stock option transfer guidelines. If all or part of the Option is transferred to a Permitted Transferee, the Permitted Transferee shall remain subject to all terms and conditions applicable to such Option prior to the transfer.</w:t>
      </w:r>
    </w:p>
    <w:p>
      <w:pPr>
        <w:spacing w:after="0" w:line="21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Restrictions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512"/>
        <w:spacing w:after="0" w:line="271" w:lineRule="auto"/>
        <w:rPr>
          <w:sz w:val="20"/>
          <w:szCs w:val="20"/>
          <w:color w:val="auto"/>
        </w:rPr>
      </w:pPr>
      <w:r>
        <w:rPr>
          <w:rFonts w:ascii="Arial" w:cs="Arial" w:eastAsia="Arial" w:hAnsi="Arial"/>
          <w:sz w:val="17"/>
          <w:szCs w:val="17"/>
          <w:color w:val="auto"/>
        </w:rPr>
        <w:t>The Option may not be exercised at any time unless, in the opinion of counsel for the Company, the issuance and sale of the Shares issued upon such exercise is exempt from registration under the Securities Act of 1933, as amended, or any other applicable federal or state securities law, rule or regulation, or the Shares have been duly registered under such laws. The Company intends to register the Shares issuable upon the exercise of the Option; however, until the Shares have been registered under all applicable laws, the Optionee shall represent, warrant and agree, as a condition to the exercise of any Option, that the Shares are being purchased for investment only and without a view to any sale or distribution of such Shares and that such Shares shall not be transferred or disposed of in any manner without registration under such laws, unless it is the opinion of counsel for the Company that such a disposition is exempt from such registration. The Optionee acknowledges that an appropriate legend giving notice of the foregoing restrictions may appear conspicuously on all certificates evidencing the Shares issued upon the exercise of the Option.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716"/>
        <w:spacing w:after="0" w:line="264" w:lineRule="auto"/>
        <w:rPr>
          <w:sz w:val="20"/>
          <w:szCs w:val="20"/>
          <w:color w:val="auto"/>
        </w:rPr>
      </w:pPr>
      <w:r>
        <w:rPr>
          <w:rFonts w:ascii="Arial" w:cs="Arial" w:eastAsia="Arial" w:hAnsi="Arial"/>
          <w:sz w:val="18"/>
          <w:szCs w:val="18"/>
          <w:color w:val="auto"/>
        </w:rPr>
        <w:t>Nothing in this Agreement or the Plan shall be interpreted or construed to confer upon the Optionee any right with respect to continuance of employment by the Company or any Subsidiary, nor shall this Agreement or the Plan interfere in any way with the right of the Company or a Subsidiary to terminate the Optionee’s employment at any time.</w:t>
      </w:r>
    </w:p>
    <w:p>
      <w:pPr>
        <w:spacing w:after="0" w:line="204"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w:t>
      </w:r>
    </w:p>
    <w:p>
      <w:pPr>
        <w:spacing w:after="0" w:line="256" w:lineRule="exact"/>
        <w:rPr>
          <w:sz w:val="20"/>
          <w:szCs w:val="20"/>
          <w:color w:val="auto"/>
        </w:rPr>
      </w:pPr>
    </w:p>
    <w:p>
      <w:pPr>
        <w:ind w:firstLine="544"/>
        <w:spacing w:after="0" w:line="277" w:lineRule="auto"/>
        <w:rPr>
          <w:sz w:val="20"/>
          <w:szCs w:val="20"/>
          <w:color w:val="auto"/>
        </w:rPr>
      </w:pPr>
      <w:r>
        <w:rPr>
          <w:rFonts w:ascii="Arial" w:cs="Arial" w:eastAsia="Arial" w:hAnsi="Arial"/>
          <w:sz w:val="18"/>
          <w:szCs w:val="18"/>
          <w:color w:val="auto"/>
        </w:rPr>
        <w:t>In the event of a change in capitalization, the Committee shall make appropriate adjustments in accordance with the provisions of Section 4.3 of the Plan. The adjustment shall be effective and final, binding and conclusive for all purposes of the Plan and this Agreement.</w:t>
      </w:r>
    </w:p>
    <w:p>
      <w:pPr>
        <w:spacing w:after="0" w:line="193"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503"/>
        <w:spacing w:after="0" w:line="290" w:lineRule="auto"/>
        <w:rPr>
          <w:sz w:val="20"/>
          <w:szCs w:val="20"/>
          <w:color w:val="auto"/>
        </w:rPr>
      </w:pPr>
      <w:r>
        <w:rPr>
          <w:rFonts w:ascii="Arial" w:cs="Arial" w:eastAsia="Arial" w:hAnsi="Arial"/>
          <w:sz w:val="16"/>
          <w:szCs w:val="16"/>
          <w:color w:val="auto"/>
        </w:rPr>
        <w:t>Prior to the issuance of Shares to the Optionee upon exercise of the Option, the Optionee shall pay the federal, state, and local income taxes and other amounts as may be required by law to be withheld (the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(if any) to the Company in cash or by check or wire transfer. In satisfaction of the Withholding Taxes, the Optionee may make a written election (the “</w:t>
      </w:r>
      <w:r>
        <w:rPr>
          <w:rFonts w:ascii="Arial" w:cs="Arial" w:eastAsia="Arial" w:hAnsi="Arial"/>
          <w:sz w:val="16"/>
          <w:szCs w:val="16"/>
          <w:b w:val="1"/>
          <w:bCs w:val="1"/>
          <w:i w:val="1"/>
          <w:iCs w:val="1"/>
          <w:color w:val="auto"/>
        </w:rPr>
        <w:t>Tax Election</w:t>
      </w:r>
      <w:r>
        <w:rPr>
          <w:rFonts w:ascii="Arial" w:cs="Arial" w:eastAsia="Arial" w:hAnsi="Arial"/>
          <w:sz w:val="16"/>
          <w:szCs w:val="16"/>
          <w:color w:val="auto"/>
        </w:rPr>
        <w:t>”) to satisfy such withholding obligation by a broker-assisted cashless exercise transaction through a brokerage firm designated by the Optionee, by delivering Shares (that have been owned by the Optionee for at least six (6) months or such other period as may be required by the Committee) or by having the Company retain from the Shares to be delivered a number of Shares having an aggregate Fair Market Value equal to the Withholding Taxes, provided that, if the Optionee may be subject to liability under Section 16(b) of the Exchange Act, the election must comply with the requirements applicable to Share transactions by the Optionee. The Company shall have the right to deduct from any amounts payable to the Optionee for salary, bonuses or otherwise an amount equal to Withholding Taxes with respect to the Option.</w:t>
      </w:r>
    </w:p>
    <w:p>
      <w:pPr>
        <w:spacing w:after="0" w:line="18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 Bound by the Plan</w:t>
      </w:r>
      <w:r>
        <w:rPr>
          <w:rFonts w:ascii="Arial" w:cs="Arial" w:eastAsia="Arial" w:hAnsi="Arial"/>
          <w:sz w:val="18"/>
          <w:szCs w:val="18"/>
          <w:b w:val="1"/>
          <w:bCs w:val="1"/>
          <w:color w:val="auto"/>
        </w:rPr>
        <w: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Optionee hereby acknowledges receipt of a copy of the Plan and agrees to be bound by all the terms and provisions thereof.</w:t>
      </w:r>
    </w:p>
    <w:p>
      <w:pPr>
        <w:spacing w:after="0" w:line="248"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w:t>
      </w:r>
      <w:r>
        <w:rPr>
          <w:rFonts w:ascii="Arial" w:cs="Arial" w:eastAsia="Arial" w:hAnsi="Arial"/>
          <w:sz w:val="18"/>
          <w:szCs w:val="18"/>
          <w:b w:val="1"/>
          <w:bCs w:val="1"/>
          <w:color w:val="auto"/>
        </w:rPr>
        <w:t>.</w:t>
      </w:r>
    </w:p>
    <w:p>
      <w:pPr>
        <w:spacing w:after="0" w:line="25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Except as expressly otherwise provided herein, this Agreement may not be modified, amended, suspended or terminated, and any terms or conditions may not be waived, except by a written instrument executed by the parties 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Rescission of Awards; Return of Profits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If, during his employment with the Company or at any time during the one (1) year period after the Date of Termination, the Optionee violates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restrictive covenants set forth in Section 13.2 below, then the Committee shall, notwithstanding any other provision in this Agreement to the contrary, (i) cancel any outstanding portion of the Option (whether or not vested), and (ii) repurchase any Shares issued to the Optionee pursuant to exercise of the Option during the period six (6) months prior to and one (1) year after the Date of Termination at a per Share repurchase price equal to the Option Exercise Price, and require the Optionee to pay to the Company any gain realized by Optionee from the sale of Shares issued to the Optionee pursuant to exercise of the Option during such period.</w:t>
      </w:r>
    </w:p>
    <w:p>
      <w:pPr>
        <w:spacing w:after="0" w:line="21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Optionee will not directly or indirectly, individually, or on behalf of any Person other than the Company or a Subsidiary:</w:t>
      </w:r>
    </w:p>
    <w:p>
      <w:pPr>
        <w:spacing w:after="0" w:line="256" w:lineRule="exact"/>
        <w:rPr>
          <w:sz w:val="20"/>
          <w:szCs w:val="20"/>
          <w:color w:val="auto"/>
        </w:rPr>
      </w:pPr>
    </w:p>
    <w:p>
      <w:pPr>
        <w:ind w:left="1620" w:hanging="622"/>
        <w:spacing w:after="0"/>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solicit any Customers for the purpose of providing services identical to or reasonably substitutable for the Company’s Business;</w:t>
      </w:r>
    </w:p>
    <w:p>
      <w:pPr>
        <w:spacing w:after="0" w:line="263" w:lineRule="exact"/>
        <w:rPr>
          <w:rFonts w:ascii="Arial" w:cs="Arial" w:eastAsia="Arial" w:hAnsi="Arial"/>
          <w:sz w:val="17"/>
          <w:szCs w:val="17"/>
          <w:color w:val="auto"/>
        </w:rPr>
      </w:pPr>
    </w:p>
    <w:p>
      <w:pPr>
        <w:ind w:right="20" w:firstLine="1204"/>
        <w:spacing w:after="0" w:line="277" w:lineRule="auto"/>
        <w:tabs>
          <w:tab w:leader="none" w:pos="1905"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sz w:val="20"/>
          <w:szCs w:val="20"/>
          <w:color w:val="auto"/>
        </w:rPr>
      </w:pPr>
    </w:p>
    <w:p>
      <w:pPr>
        <w:ind w:left="1620" w:hanging="622"/>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1620" w:hanging="622"/>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sz w:val="20"/>
          <w:szCs w:val="20"/>
          <w:color w:val="auto"/>
        </w:rPr>
      </w:pPr>
    </w:p>
    <w:p>
      <w:pPr>
        <w:jc w:val="both"/>
        <w:ind w:firstLine="1016"/>
        <w:spacing w:after="0" w:line="264" w:lineRule="auto"/>
        <w:tabs>
          <w:tab w:leader="none" w:pos="16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Optionee further agrees that he or she will not, except as necessary to carry out his duties as an employee of the Company, disclose or use Confidential Information. The Optionee further agrees that, upon termination or expiration of employment with the Company for any reason whatsoever or at any time, the Optionee will upon request by the Company deliver promptly to the Company all materials (including electronically-stored materials), documents, plans, records, notes, or other papers, and any copies in the Optionee’s possession or control, relating in any way to the Company’s Business, which at all times shall be the property of the Company.</w:t>
      </w:r>
    </w:p>
    <w:p>
      <w:pPr>
        <w:spacing w:after="0" w:line="21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For purposes of this Section 13, the following terms shall have the meanings specified below:</w:t>
      </w:r>
    </w:p>
    <w:p>
      <w:pPr>
        <w:spacing w:after="0" w:line="256" w:lineRule="exact"/>
        <w:rPr>
          <w:sz w:val="20"/>
          <w:szCs w:val="20"/>
          <w:color w:val="auto"/>
        </w:rPr>
      </w:pPr>
    </w:p>
    <w:p>
      <w:pPr>
        <w:ind w:right="20" w:firstLine="1147"/>
        <w:spacing w:after="0" w:line="277" w:lineRule="auto"/>
        <w:tabs>
          <w:tab w:leader="none" w:pos="18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3" w:name="page54"/>
    <w:bookmarkEnd w:id="53"/>
    <w:p>
      <w:pPr>
        <w:jc w:val="both"/>
        <w:ind w:firstLine="1198"/>
        <w:spacing w:after="0" w:line="254" w:lineRule="auto"/>
        <w:tabs>
          <w:tab w:leader="none" w:pos="1876" w:val="left"/>
        </w:tabs>
        <w:numPr>
          <w:ilvl w:val="3"/>
          <w:numId w:val="3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information, without regard to form, relating to the Company’s or any Subsidiary’s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19" w:lineRule="exact"/>
        <w:rPr>
          <w:rFonts w:ascii="Arial" w:cs="Arial" w:eastAsia="Arial" w:hAnsi="Arial"/>
          <w:sz w:val="18"/>
          <w:szCs w:val="18"/>
          <w:color w:val="auto"/>
        </w:rPr>
      </w:pPr>
    </w:p>
    <w:p>
      <w:pPr>
        <w:jc w:val="both"/>
        <w:ind w:firstLine="1203"/>
        <w:spacing w:after="0" w:line="286" w:lineRule="auto"/>
        <w:tabs>
          <w:tab w:leader="none" w:pos="1881" w:val="left"/>
        </w:tabs>
        <w:numPr>
          <w:ilvl w:val="3"/>
          <w:numId w:val="31"/>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all Persons that (1) the Optionee serviced or solicited on behalf of the Company or any Subsidiary, (2) whose</w:t>
      </w:r>
      <w:r>
        <w:rPr>
          <w:rFonts w:ascii="Arial" w:cs="Arial" w:eastAsia="Arial" w:hAnsi="Arial"/>
          <w:sz w:val="17"/>
          <w:szCs w:val="17"/>
          <w:i w:val="1"/>
          <w:iCs w:val="1"/>
          <w:color w:val="auto"/>
        </w:rPr>
        <w:t xml:space="preserve"> </w:t>
      </w:r>
      <w:r>
        <w:rPr>
          <w:rFonts w:ascii="Arial" w:cs="Arial" w:eastAsia="Arial" w:hAnsi="Arial"/>
          <w:sz w:val="17"/>
          <w:szCs w:val="17"/>
          <w:color w:val="auto"/>
        </w:rPr>
        <w:t>dealings with the Company or any Subsidiary were coordinated or supervised, in whole or in part, by the Optionee, or (3) about whom the Optionee obtained Confidential Information, in each case during the term of this Agreement or while otherwise employed by the Company.</w:t>
      </w:r>
    </w:p>
    <w:p>
      <w:pPr>
        <w:spacing w:after="0" w:line="192" w:lineRule="exact"/>
        <w:rPr>
          <w:rFonts w:ascii="Arial" w:cs="Arial" w:eastAsia="Arial" w:hAnsi="Arial"/>
          <w:sz w:val="17"/>
          <w:szCs w:val="17"/>
          <w:color w:val="auto"/>
        </w:rPr>
      </w:pPr>
    </w:p>
    <w:p>
      <w:pPr>
        <w:ind w:left="1660" w:hanging="617"/>
        <w:spacing w:after="0"/>
        <w:tabs>
          <w:tab w:leader="none" w:pos="166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date upon which the Optionee’s employment with the Company ceases for any reason.</w:t>
      </w:r>
    </w:p>
    <w:p>
      <w:pPr>
        <w:spacing w:after="0" w:line="252" w:lineRule="exact"/>
        <w:rPr>
          <w:rFonts w:ascii="Arial" w:cs="Arial" w:eastAsia="Arial" w:hAnsi="Arial"/>
          <w:sz w:val="18"/>
          <w:szCs w:val="18"/>
          <w:color w:val="auto"/>
        </w:rPr>
      </w:pPr>
    </w:p>
    <w:p>
      <w:pPr>
        <w:ind w:firstLine="1143"/>
        <w:spacing w:after="0" w:line="277" w:lineRule="auto"/>
        <w:tabs>
          <w:tab w:leader="none" w:pos="1740" w:val="left"/>
        </w:tabs>
        <w:numPr>
          <w:ilvl w:val="2"/>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individual, corporation, bank, partnership, joint venture, association, joint-stock company,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or other entity.</w:t>
      </w:r>
    </w:p>
    <w:p>
      <w:pPr>
        <w:spacing w:after="0" w:line="197" w:lineRule="exact"/>
        <w:rPr>
          <w:rFonts w:ascii="Arial" w:cs="Arial" w:eastAsia="Arial" w:hAnsi="Arial"/>
          <w:sz w:val="18"/>
          <w:szCs w:val="18"/>
          <w:color w:val="auto"/>
        </w:rPr>
      </w:pPr>
    </w:p>
    <w:p>
      <w:pPr>
        <w:ind w:firstLine="1133"/>
        <w:spacing w:after="0" w:line="277" w:lineRule="auto"/>
        <w:tabs>
          <w:tab w:leader="none" w:pos="1776" w:val="left"/>
        </w:tabs>
        <w:numPr>
          <w:ilvl w:val="2"/>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256" w:lineRule="exact"/>
        <w:rPr>
          <w:sz w:val="20"/>
          <w:szCs w:val="20"/>
          <w:color w:val="auto"/>
        </w:rPr>
      </w:pPr>
    </w:p>
    <w:p>
      <w:pPr>
        <w:ind w:right="20" w:firstLine="606"/>
        <w:spacing w:after="0" w:line="277" w:lineRule="auto"/>
        <w:rPr>
          <w:sz w:val="20"/>
          <w:szCs w:val="20"/>
          <w:color w:val="auto"/>
        </w:rPr>
      </w:pPr>
      <w:r>
        <w:rPr>
          <w:rFonts w:ascii="Arial" w:cs="Arial" w:eastAsia="Arial" w:hAnsi="Arial"/>
          <w:sz w:val="18"/>
          <w:szCs w:val="18"/>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93"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56"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United States and the laws of the State of Georgia without giving effect to the conflicts of laws principles thereof.</w:t>
      </w:r>
    </w:p>
    <w:p>
      <w:pPr>
        <w:spacing w:after="0" w:line="19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455"/>
        <w:spacing w:after="0" w:line="302" w:lineRule="auto"/>
        <w:rPr>
          <w:sz w:val="20"/>
          <w:szCs w:val="20"/>
          <w:color w:val="auto"/>
        </w:rPr>
      </w:pPr>
      <w:r>
        <w:rPr>
          <w:rFonts w:ascii="Arial" w:cs="Arial" w:eastAsia="Arial" w:hAnsi="Arial"/>
          <w:sz w:val="16"/>
          <w:szCs w:val="16"/>
          <w:color w:val="auto"/>
        </w:rPr>
        <w:t>This Agreement shall be binding upon, and inure to the benefit of, the Company and its successors and assigns, and upon any person acquiring, whether by merger, consolidation, reorganization, purchase of stock or assets, or otherwise, all or substantially all of the Company’s assets and business. This Agreement shall inure to the benefit of the Optionee’s heirs and legal representatives. All obligations imposed upon the Optionee and all rights granted to the Company under this Agreement shall be final, binding and conclusive upon the Optionee’s heirs, executors, administrators and successors.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firstLine="527"/>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Resolution of Disputes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Any dispute or disagreement which may arise under, or as a result of, or in any way relate to, the interpretation, construction or application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Plan shall be determined by the Committee. Any determination made by the Committee shall be final, binding and conclusive on the Optionee and the Company and their successors, assigns, heirs, executors, administrators and legal representatives for all purposes.</w:t>
      </w:r>
    </w:p>
    <w:p>
      <w:pPr>
        <w:spacing w:after="0" w:line="185"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b w:val="1"/>
          <w:bCs w:val="1"/>
          <w:color w:val="auto"/>
        </w:rPr>
        <w:t xml:space="preserve">18.2 </w:t>
      </w:r>
      <w:r>
        <w:rPr>
          <w:rFonts w:ascii="Arial" w:cs="Arial" w:eastAsia="Arial" w:hAnsi="Arial"/>
          <w:sz w:val="17"/>
          <w:szCs w:val="17"/>
          <w:color w:val="auto"/>
        </w:rPr>
        <w:t>To the extent permitted by applicable law, any dispute, disagreement or claim which may arise under, or as a result of, or in any way relate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199" w:lineRule="exact"/>
        <w:rPr>
          <w:sz w:val="20"/>
          <w:szCs w:val="20"/>
          <w:color w:val="auto"/>
        </w:rPr>
      </w:pPr>
    </w:p>
    <w:p>
      <w:pPr>
        <w:jc w:val="both"/>
        <w:ind w:firstLine="558"/>
        <w:spacing w:after="0" w:line="255" w:lineRule="auto"/>
        <w:rPr>
          <w:sz w:val="20"/>
          <w:szCs w:val="20"/>
          <w:color w:val="auto"/>
        </w:rPr>
      </w:pPr>
      <w:r>
        <w:rPr>
          <w:rFonts w:ascii="Arial" w:cs="Arial" w:eastAsia="Arial" w:hAnsi="Arial"/>
          <w:sz w:val="18"/>
          <w:szCs w:val="18"/>
          <w:b w:val="1"/>
          <w:bCs w:val="1"/>
          <w:color w:val="auto"/>
        </w:rPr>
        <w:t>18.3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12"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Construction</w:t>
      </w:r>
      <w:r>
        <w:rPr>
          <w:rFonts w:ascii="Arial" w:cs="Arial" w:eastAsia="Arial" w:hAnsi="Arial"/>
          <w:sz w:val="18"/>
          <w:szCs w:val="18"/>
          <w:b w:val="1"/>
          <w:bCs w:val="1"/>
          <w:color w:val="auto"/>
        </w:rPr>
        <w:t>.</w:t>
      </w:r>
    </w:p>
    <w:p>
      <w:pPr>
        <w:spacing w:after="0" w:line="256"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The legal construction and interpretation of this Agreement (including, but not limited to, issues of gender, plural or singular, governing law and severability) shall be governed by the provisions of Article 19 of the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[EXECUTION PAGE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UNITED COMMUNITY BANKS,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154940</wp:posOffset>
            </wp:positionV>
            <wp:extent cx="3095625" cy="6089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9562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32"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59" w:lineRule="exact"/>
        <w:rPr>
          <w:sz w:val="20"/>
          <w:szCs w:val="20"/>
          <w:color w:val="auto"/>
        </w:rPr>
      </w:pPr>
    </w:p>
    <w:p>
      <w:pPr>
        <w:jc w:val="both"/>
        <w:ind w:firstLine="480"/>
        <w:spacing w:after="0" w:line="297" w:lineRule="auto"/>
        <w:rPr>
          <w:sz w:val="20"/>
          <w:szCs w:val="20"/>
          <w:color w:val="auto"/>
        </w:rPr>
      </w:pPr>
      <w:r>
        <w:rPr>
          <w:rFonts w:ascii="Arial" w:cs="Arial" w:eastAsia="Arial" w:hAnsi="Arial"/>
          <w:sz w:val="16"/>
          <w:szCs w:val="16"/>
          <w:color w:val="auto"/>
        </w:rPr>
        <w:t>By signing below, the Optionee hereby accepts the Option subject to all its terms and provisions and agrees to be bound by the terms and provisions of this Agreement and the Plan. The Optionee hereby agrees to accept as binding, conclusive and final all decisions or interpretations of the Board of Directors of the Company, or the Compensation Committee or other Committee responsible for the administration of the Plan, upon any questions arising under the Plan. The Optionee authorizes the Company to withhold, in accordance with applicable law, from any compensation payable to him or her, any taxes required to be withheld by federal, state, local or foreign law as a result of the grant, existence or exercise of the Option, or subsequent sale of the Shares.</w:t>
      </w:r>
    </w:p>
    <w:p>
      <w:pPr>
        <w:spacing w:after="0" w:line="154"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2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FOLLOW]</w:t>
      </w:r>
    </w:p>
    <w:p>
      <w:pPr>
        <w:sectPr>
          <w:pgSz w:w="11900" w:h="16838" w:orient="portrait"/>
          <w:cols w:equalWidth="0" w:num="1">
            <w:col w:w="11420"/>
          </w:cols>
          <w:pgMar w:left="240" w:top="513"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8940" w:type="dxa"/>
            <w:vAlign w:val="bottom"/>
          </w:tcPr>
          <w:p>
            <w:pPr>
              <w:jc w:val="right"/>
              <w:spacing w:after="0"/>
              <w:rPr>
                <w:sz w:val="20"/>
                <w:szCs w:val="20"/>
                <w:color w:val="auto"/>
              </w:rPr>
            </w:pPr>
            <w:r>
              <w:rPr>
                <w:rFonts w:ascii="Arial" w:cs="Arial" w:eastAsia="Arial" w:hAnsi="Arial"/>
                <w:sz w:val="18"/>
                <w:szCs w:val="18"/>
                <w:b w:val="1"/>
                <w:bCs w:val="1"/>
                <w:color w:val="auto"/>
              </w:rPr>
              <w:t>Exhibit 10.2</w:t>
            </w:r>
          </w:p>
        </w:tc>
        <w:tc>
          <w:tcPr>
            <w:tcW w:w="0" w:type="dxa"/>
            <w:vAlign w:val="bottom"/>
          </w:tcPr>
          <w:p>
            <w:pPr>
              <w:spacing w:after="0"/>
              <w:rPr>
                <w:sz w:val="1"/>
                <w:szCs w:val="1"/>
                <w:color w:val="auto"/>
              </w:rPr>
            </w:pPr>
          </w:p>
        </w:tc>
      </w:tr>
      <w:tr>
        <w:trPr>
          <w:trHeight w:val="441"/>
        </w:trPr>
        <w:tc>
          <w:tcPr>
            <w:tcW w:w="2480" w:type="dxa"/>
            <w:vAlign w:val="bottom"/>
          </w:tcPr>
          <w:p>
            <w:pPr>
              <w:spacing w:after="0"/>
              <w:rPr>
                <w:sz w:val="24"/>
                <w:szCs w:val="24"/>
                <w:color w:val="auto"/>
              </w:rPr>
            </w:pPr>
          </w:p>
        </w:tc>
        <w:tc>
          <w:tcPr>
            <w:tcW w:w="8940" w:type="dxa"/>
            <w:vAlign w:val="bottom"/>
          </w:tcPr>
          <w:p>
            <w:pPr>
              <w:jc w:val="center"/>
              <w:ind w:right="2390"/>
              <w:spacing w:after="0"/>
              <w:rPr>
                <w:sz w:val="20"/>
                <w:szCs w:val="20"/>
                <w:color w:val="auto"/>
              </w:rPr>
            </w:pPr>
            <w:r>
              <w:rPr>
                <w:rFonts w:ascii="Arial" w:cs="Arial" w:eastAsia="Arial" w:hAnsi="Arial"/>
                <w:sz w:val="18"/>
                <w:szCs w:val="18"/>
                <w:b w:val="1"/>
                <w:bCs w:val="1"/>
                <w:color w:val="auto"/>
              </w:rPr>
              <w:t>UNITED COMMUNITY BANKS, INC.</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940" w:type="dxa"/>
            <w:vAlign w:val="bottom"/>
          </w:tcPr>
          <w:p>
            <w:pPr>
              <w:jc w:val="center"/>
              <w:ind w:right="2390"/>
              <w:spacing w:after="0"/>
              <w:rPr>
                <w:sz w:val="20"/>
                <w:szCs w:val="20"/>
                <w:color w:val="auto"/>
              </w:rPr>
            </w:pPr>
            <w:r>
              <w:rPr>
                <w:rFonts w:ascii="Arial" w:cs="Arial" w:eastAsia="Arial" w:hAnsi="Arial"/>
                <w:sz w:val="18"/>
                <w:szCs w:val="18"/>
                <w:b w:val="1"/>
                <w:bCs w:val="1"/>
                <w:color w:val="auto"/>
                <w:w w:val="98"/>
              </w:rPr>
              <w:t>AMENDED AND RESTATED</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8940" w:type="dxa"/>
            <w:vAlign w:val="bottom"/>
          </w:tcPr>
          <w:p>
            <w:pPr>
              <w:jc w:val="center"/>
              <w:ind w:right="2370"/>
              <w:spacing w:after="0"/>
              <w:rPr>
                <w:sz w:val="20"/>
                <w:szCs w:val="20"/>
                <w:color w:val="auto"/>
              </w:rPr>
            </w:pPr>
            <w:r>
              <w:rPr>
                <w:rFonts w:ascii="Arial" w:cs="Arial" w:eastAsia="Arial" w:hAnsi="Arial"/>
                <w:sz w:val="18"/>
                <w:szCs w:val="18"/>
                <w:b w:val="1"/>
                <w:bCs w:val="1"/>
                <w:color w:val="auto"/>
              </w:rPr>
              <w:t>2000 KEY EMPLOYEE STOCK OPTION PLAN</w:t>
            </w:r>
          </w:p>
        </w:tc>
        <w:tc>
          <w:tcPr>
            <w:tcW w:w="0" w:type="dxa"/>
            <w:vAlign w:val="bottom"/>
          </w:tcPr>
          <w:p>
            <w:pPr>
              <w:spacing w:after="0"/>
              <w:rPr>
                <w:sz w:val="1"/>
                <w:szCs w:val="1"/>
                <w:color w:val="auto"/>
              </w:rPr>
            </w:pPr>
          </w:p>
        </w:tc>
      </w:tr>
      <w:tr>
        <w:trPr>
          <w:trHeight w:val="441"/>
        </w:trPr>
        <w:tc>
          <w:tcPr>
            <w:tcW w:w="2480" w:type="dxa"/>
            <w:vAlign w:val="bottom"/>
          </w:tcPr>
          <w:p>
            <w:pPr>
              <w:spacing w:after="0"/>
              <w:rPr>
                <w:sz w:val="24"/>
                <w:szCs w:val="24"/>
                <w:color w:val="auto"/>
              </w:rPr>
            </w:pPr>
          </w:p>
        </w:tc>
        <w:tc>
          <w:tcPr>
            <w:tcW w:w="8940" w:type="dxa"/>
            <w:vAlign w:val="bottom"/>
          </w:tcPr>
          <w:p>
            <w:pPr>
              <w:jc w:val="center"/>
              <w:ind w:right="2390"/>
              <w:spacing w:after="0"/>
              <w:rPr>
                <w:sz w:val="20"/>
                <w:szCs w:val="20"/>
                <w:color w:val="auto"/>
              </w:rPr>
            </w:pPr>
            <w:r>
              <w:rPr>
                <w:rFonts w:ascii="Arial" w:cs="Arial" w:eastAsia="Arial" w:hAnsi="Arial"/>
                <w:sz w:val="18"/>
                <w:szCs w:val="18"/>
                <w:b w:val="1"/>
                <w:bCs w:val="1"/>
                <w:color w:val="auto"/>
              </w:rPr>
              <w:t>RESTRICTED STOCK UNIT AWARD AGREEMENT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8940" w:type="dxa"/>
            <w:vAlign w:val="bottom"/>
          </w:tcPr>
          <w:p>
            <w:pPr>
              <w:jc w:val="center"/>
              <w:ind w:right="2390"/>
              <w:spacing w:after="0"/>
              <w:rPr>
                <w:sz w:val="20"/>
                <w:szCs w:val="20"/>
                <w:color w:val="auto"/>
              </w:rPr>
            </w:pPr>
            <w:r>
              <w:rPr>
                <w:rFonts w:ascii="Arial" w:cs="Arial" w:eastAsia="Arial" w:hAnsi="Arial"/>
                <w:sz w:val="18"/>
                <w:szCs w:val="18"/>
                <w:b w:val="1"/>
                <w:bCs w:val="1"/>
                <w:color w:val="auto"/>
                <w:w w:val="91"/>
              </w:rPr>
              <w:t>(Executive Officer)</w:t>
            </w: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8940" w:type="dxa"/>
            <w:vAlign w:val="bottom"/>
            <w:vMerge w:val="restart"/>
          </w:tcPr>
          <w:p>
            <w:pPr>
              <w:jc w:val="right"/>
              <w:spacing w:after="0"/>
              <w:rPr>
                <w:sz w:val="20"/>
                <w:szCs w:val="20"/>
                <w:color w:val="auto"/>
              </w:rPr>
            </w:pPr>
            <w:r>
              <w:rPr>
                <w:rFonts w:ascii="Arial" w:cs="Arial" w:eastAsia="Arial" w:hAnsi="Arial"/>
                <w:sz w:val="18"/>
                <w:szCs w:val="18"/>
                <w:color w:val="auto"/>
              </w:rPr>
              <w:t>____________________________________</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Number of RSUs:</w:t>
            </w: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940" w:type="dxa"/>
            <w:vAlign w:val="bottom"/>
            <w:vMerge w:val="restart"/>
          </w:tcPr>
          <w:p>
            <w:pPr>
              <w:jc w:val="right"/>
              <w:spacing w:after="0"/>
              <w:rPr>
                <w:sz w:val="20"/>
                <w:szCs w:val="20"/>
                <w:color w:val="auto"/>
              </w:rPr>
            </w:pPr>
            <w:r>
              <w:rPr>
                <w:rFonts w:ascii="Arial" w:cs="Arial" w:eastAsia="Arial" w:hAnsi="Arial"/>
                <w:sz w:val="18"/>
                <w:szCs w:val="18"/>
                <w:color w:val="auto"/>
              </w:rPr>
              <w:t>____________________</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Date of Grant:</w:t>
            </w: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940" w:type="dxa"/>
            <w:vAlign w:val="bottom"/>
            <w:vMerge w:val="restart"/>
          </w:tcPr>
          <w:p>
            <w:pPr>
              <w:jc w:val="right"/>
              <w:spacing w:after="0"/>
              <w:rPr>
                <w:sz w:val="20"/>
                <w:szCs w:val="20"/>
                <w:color w:val="auto"/>
              </w:rPr>
            </w:pPr>
            <w:r>
              <w:rPr>
                <w:rFonts w:ascii="Arial" w:cs="Arial" w:eastAsia="Arial" w:hAnsi="Arial"/>
                <w:sz w:val="18"/>
                <w:szCs w:val="18"/>
                <w:color w:val="auto"/>
              </w:rPr>
              <w:t>_________________________</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4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940" w:type="dxa"/>
            <w:vAlign w:val="bottom"/>
          </w:tcPr>
          <w:p>
            <w:pPr>
              <w:jc w:val="right"/>
              <w:spacing w:after="0"/>
              <w:rPr>
                <w:sz w:val="20"/>
                <w:szCs w:val="20"/>
                <w:color w:val="auto"/>
              </w:rPr>
            </w:pPr>
            <w:r>
              <w:rPr>
                <w:rFonts w:ascii="Arial" w:cs="Arial" w:eastAsia="Arial" w:hAnsi="Arial"/>
                <w:sz w:val="18"/>
                <w:szCs w:val="18"/>
                <w:color w:val="auto"/>
              </w:rPr>
              <w:t>Per attached Statement referred to</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8940" w:type="dxa"/>
            <w:vAlign w:val="bottom"/>
          </w:tcPr>
          <w:p>
            <w:pPr>
              <w:jc w:val="right"/>
              <w:spacing w:after="0"/>
              <w:rPr>
                <w:sz w:val="20"/>
                <w:szCs w:val="20"/>
                <w:color w:val="auto"/>
              </w:rPr>
            </w:pPr>
            <w:r>
              <w:rPr>
                <w:rFonts w:ascii="Arial" w:cs="Arial" w:eastAsia="Arial" w:hAnsi="Arial"/>
                <w:sz w:val="18"/>
                <w:szCs w:val="18"/>
                <w:color w:val="auto"/>
              </w:rPr>
              <w:t xml:space="preserve">herein as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Exhibit A</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940" w:type="dxa"/>
            <w:vAlign w:val="bottom"/>
          </w:tcPr>
          <w:p>
            <w:pPr>
              <w:jc w:val="right"/>
              <w:spacing w:after="0"/>
              <w:rPr>
                <w:sz w:val="20"/>
                <w:szCs w:val="20"/>
                <w:color w:val="auto"/>
              </w:rPr>
            </w:pPr>
            <w:r>
              <w:rPr>
                <w:rFonts w:ascii="Arial" w:cs="Arial" w:eastAsia="Arial" w:hAnsi="Arial"/>
                <w:sz w:val="18"/>
                <w:szCs w:val="18"/>
                <w:color w:val="auto"/>
              </w:rPr>
              <w:t>Any county and any contiguous county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940" w:type="dxa"/>
            <w:vAlign w:val="bottom"/>
          </w:tcPr>
          <w:p>
            <w:pPr>
              <w:jc w:val="right"/>
              <w:spacing w:after="0"/>
              <w:rPr>
                <w:sz w:val="20"/>
                <w:szCs w:val="20"/>
                <w:color w:val="auto"/>
              </w:rPr>
            </w:pPr>
            <w:r>
              <w:rPr>
                <w:rFonts w:ascii="Arial" w:cs="Arial" w:eastAsia="Arial" w:hAnsi="Arial"/>
                <w:sz w:val="18"/>
                <w:szCs w:val="18"/>
                <w:color w:val="auto"/>
              </w:rPr>
              <w:t>and any metropolitan statistical area in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940" w:type="dxa"/>
            <w:vAlign w:val="bottom"/>
          </w:tcPr>
          <w:p>
            <w:pPr>
              <w:jc w:val="right"/>
              <w:spacing w:after="0"/>
              <w:rPr>
                <w:sz w:val="20"/>
                <w:szCs w:val="20"/>
                <w:color w:val="auto"/>
              </w:rPr>
            </w:pPr>
            <w:r>
              <w:rPr>
                <w:rFonts w:ascii="Arial" w:cs="Arial" w:eastAsia="Arial" w:hAnsi="Arial"/>
                <w:sz w:val="18"/>
                <w:szCs w:val="18"/>
                <w:color w:val="auto"/>
              </w:rPr>
              <w:t>which any of the Company’s subsidiary</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940" w:type="dxa"/>
            <w:vAlign w:val="bottom"/>
          </w:tcPr>
          <w:p>
            <w:pPr>
              <w:jc w:val="right"/>
              <w:spacing w:after="0"/>
              <w:rPr>
                <w:sz w:val="20"/>
                <w:szCs w:val="20"/>
                <w:color w:val="auto"/>
              </w:rPr>
            </w:pPr>
            <w:r>
              <w:rPr>
                <w:rFonts w:ascii="Arial" w:cs="Arial" w:eastAsia="Arial" w:hAnsi="Arial"/>
                <w:sz w:val="18"/>
                <w:szCs w:val="18"/>
                <w:color w:val="auto"/>
              </w:rPr>
              <w:t>banks has an office as of the date hereof.</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 ________ day of ________, ____,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BANKS, INC., </w:t>
      </w:r>
      <w:r>
        <w:rPr>
          <w:rFonts w:ascii="Arial" w:cs="Arial" w:eastAsia="Arial" w:hAnsi="Arial"/>
          <w:sz w:val="18"/>
          <w:szCs w:val="18"/>
          <w:color w:val="auto"/>
        </w:rPr>
        <w:t>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w:t>
      </w:r>
    </w:p>
    <w:p>
      <w:pPr>
        <w:spacing w:after="0" w:line="234" w:lineRule="exact"/>
        <w:rPr>
          <w:sz w:val="20"/>
          <w:szCs w:val="20"/>
          <w:color w:val="auto"/>
        </w:rPr>
      </w:pPr>
    </w:p>
    <w:p>
      <w:pPr>
        <w:jc w:val="both"/>
        <w:ind w:firstLine="47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maintains the United Community Banks, Inc. Amended and Restated 2000 Key Employee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Grantee has been selected by the Committee to receive a Restricted Stock Unit Award under the Plan;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 IT IS AGREED</w:t>
      </w:r>
      <w:r>
        <w:rPr>
          <w:rFonts w:ascii="Arial" w:cs="Arial" w:eastAsia="Arial" w:hAnsi="Arial"/>
          <w:sz w:val="18"/>
          <w:szCs w:val="18"/>
          <w:color w:val="auto"/>
        </w:rPr>
        <w:t>, by and between the Company and the Grantee, as follows:</w:t>
      </w:r>
    </w:p>
    <w:p>
      <w:pPr>
        <w:spacing w:after="0" w:line="252" w:lineRule="exact"/>
        <w:rPr>
          <w:sz w:val="20"/>
          <w:szCs w:val="20"/>
          <w:color w:val="auto"/>
        </w:rPr>
      </w:pPr>
    </w:p>
    <w:p>
      <w:pPr>
        <w:ind w:left="1080" w:hanging="622"/>
        <w:spacing w:after="0"/>
        <w:tabs>
          <w:tab w:leader="none" w:pos="10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 Units</w:t>
      </w:r>
    </w:p>
    <w:p>
      <w:pPr>
        <w:spacing w:after="0" w:line="256" w:lineRule="exact"/>
        <w:rPr>
          <w:sz w:val="20"/>
          <w:szCs w:val="20"/>
          <w:color w:val="auto"/>
        </w:rPr>
      </w:pPr>
    </w:p>
    <w:p>
      <w:pPr>
        <w:jc w:val="both"/>
        <w:ind w:firstLine="1141"/>
        <w:spacing w:after="0" w:line="264" w:lineRule="auto"/>
        <w:rPr>
          <w:sz w:val="20"/>
          <w:szCs w:val="20"/>
          <w:color w:val="auto"/>
        </w:rPr>
      </w:pPr>
      <w:r>
        <w:rPr>
          <w:rFonts w:ascii="Arial" w:cs="Arial" w:eastAsia="Arial" w:hAnsi="Arial"/>
          <w:sz w:val="18"/>
          <w:szCs w:val="18"/>
          <w:color w:val="auto"/>
        </w:rPr>
        <w:t>1.1 The Company hereby grants to the Grantee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in the amount set forth above, subject to, and in accordance with, the restrictions, terms, and conditions set forth in this Agreement and the Plan. The grant date of this award of RSUs is set forth above(the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w:t>
      </w:r>
    </w:p>
    <w:p>
      <w:pPr>
        <w:spacing w:after="0" w:line="208" w:lineRule="exact"/>
        <w:rPr>
          <w:sz w:val="20"/>
          <w:szCs w:val="20"/>
          <w:color w:val="auto"/>
        </w:rPr>
      </w:pPr>
    </w:p>
    <w:p>
      <w:pPr>
        <w:jc w:val="both"/>
        <w:ind w:firstLine="1190"/>
        <w:spacing w:after="0" w:line="264" w:lineRule="auto"/>
        <w:rPr>
          <w:sz w:val="20"/>
          <w:szCs w:val="20"/>
          <w:color w:val="auto"/>
        </w:rPr>
      </w:pPr>
      <w:r>
        <w:rPr>
          <w:rFonts w:ascii="Arial" w:cs="Arial" w:eastAsia="Arial" w:hAnsi="Arial"/>
          <w:sz w:val="18"/>
          <w:szCs w:val="18"/>
          <w:color w:val="auto"/>
        </w:rPr>
        <w:t>1.2 This Agreement (including any appendices)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58" w:name="page59"/>
    <w:bookmarkEnd w:id="58"/>
    <w:p>
      <w:pPr>
        <w:ind w:firstLine="1271"/>
        <w:spacing w:after="0" w:line="308" w:lineRule="auto"/>
        <w:rPr>
          <w:sz w:val="20"/>
          <w:szCs w:val="20"/>
          <w:color w:val="auto"/>
        </w:rPr>
      </w:pPr>
      <w:r>
        <w:rPr>
          <w:rFonts w:ascii="Arial" w:cs="Arial" w:eastAsia="Arial" w:hAnsi="Arial"/>
          <w:sz w:val="17"/>
          <w:szCs w:val="17"/>
          <w:color w:val="auto"/>
        </w:rPr>
        <w:t>1.3 This Award is conditioned on the Grantee’s execution of this Agreement. If this Agreement is not executed by the Grantee and returned to the Company within two days of the Date of Grant, it may be canceled by the Committee resulting in the immediate forfeiture of all RSUs.</w:t>
      </w:r>
    </w:p>
    <w:p>
      <w:pPr>
        <w:spacing w:after="0" w:line="170" w:lineRule="exact"/>
        <w:rPr>
          <w:sz w:val="20"/>
          <w:szCs w:val="20"/>
          <w:color w:val="auto"/>
        </w:rPr>
      </w:pPr>
    </w:p>
    <w:p>
      <w:pPr>
        <w:ind w:left="1040" w:hanging="582"/>
        <w:spacing w:after="0"/>
        <w:tabs>
          <w:tab w:leader="none" w:pos="10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Termination of Employment</w:t>
      </w:r>
    </w:p>
    <w:p>
      <w:pPr>
        <w:spacing w:after="0" w:line="256" w:lineRule="exact"/>
        <w:rPr>
          <w:sz w:val="20"/>
          <w:szCs w:val="20"/>
          <w:color w:val="auto"/>
        </w:rPr>
      </w:pPr>
    </w:p>
    <w:p>
      <w:pPr>
        <w:jc w:val="both"/>
        <w:ind w:firstLine="1126"/>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Subject to Sections 2.2 through 2.4 below and Section 8, if the Grantee remains employed by the Company, the RSUs shall vest as provided for in Exhibit A. Each date on which the RSUs vest is hereinafter referred to as a “Vesting Date”.</w:t>
      </w:r>
    </w:p>
    <w:p>
      <w:pPr>
        <w:spacing w:after="0" w:line="197" w:lineRule="exact"/>
        <w:rPr>
          <w:sz w:val="20"/>
          <w:szCs w:val="20"/>
          <w:color w:val="auto"/>
        </w:rPr>
      </w:pPr>
    </w:p>
    <w:p>
      <w:pPr>
        <w:jc w:val="both"/>
        <w:ind w:firstLine="1357"/>
        <w:spacing w:after="0" w:line="302" w:lineRule="auto"/>
        <w:rPr>
          <w:sz w:val="20"/>
          <w:szCs w:val="20"/>
          <w:color w:val="auto"/>
        </w:rPr>
      </w:pPr>
      <w:r>
        <w:rPr>
          <w:rFonts w:ascii="Arial" w:cs="Arial" w:eastAsia="Arial" w:hAnsi="Arial"/>
          <w:sz w:val="16"/>
          <w:szCs w:val="16"/>
          <w:color w:val="auto"/>
        </w:rPr>
        <w:t>Except as otherwise provided below, on the Vesting Date, a number of Shares equal to the number of vested RSUs shall be issued to the Grantee free and clear of all restrictions imposed by this Agreement (except those imposed by Section 3.3 below). The Company shall transfer such Shares to an unrestricted account in the name of the Grantee as soon as practical after the Vesting Date. For purposes of this Agreement, employment with a Subsidiary of the Company or service as a member of the Board of Directors of the Company or a Subsidiary shall be considered employment with the Company.</w:t>
      </w:r>
    </w:p>
    <w:p>
      <w:pPr>
        <w:spacing w:after="0" w:line="181" w:lineRule="exact"/>
        <w:rPr>
          <w:sz w:val="20"/>
          <w:szCs w:val="20"/>
          <w:color w:val="auto"/>
        </w:rPr>
      </w:pPr>
    </w:p>
    <w:p>
      <w:pPr>
        <w:jc w:val="both"/>
        <w:ind w:firstLine="1154"/>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Grantee’s employment is terminated by the Company for Cause (as defined in the Plan), the unvested RSUs shall be forfeited immediately as of the date of termination of employment.</w:t>
      </w:r>
    </w:p>
    <w:p>
      <w:pPr>
        <w:spacing w:after="0" w:line="197"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2" w:lineRule="exact"/>
        <w:rPr>
          <w:sz w:val="20"/>
          <w:szCs w:val="20"/>
          <w:color w:val="auto"/>
        </w:rPr>
      </w:pPr>
    </w:p>
    <w:p>
      <w:pPr>
        <w:jc w:val="both"/>
        <w:ind w:firstLine="1889"/>
        <w:spacing w:after="0" w:line="276" w:lineRule="auto"/>
        <w:tabs>
          <w:tab w:leader="none" w:pos="2621"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Grantee’s employment with the Company is terminated involuntarily by the Company without Cause (as defined in the Plan) or is terminated by the Grantee for Good Reason (as defined in subsection (2) below), the unvested RSUs shall continue to vest in accordance with the original vesting schedule set forth in Exhibit A (just as if the Grantee had remained employed). In the event of the Grantee’s death after a termination covered by this Section 2.3, the unvested RSUs shall continue to vest as if the Grantee had lived and upon vesting, a number of Shares equal to the number of vested RSUs shall be transferred to the Grantee’s surviving spouse or, if none, to his estate.</w:t>
      </w:r>
    </w:p>
    <w:p>
      <w:pPr>
        <w:spacing w:after="0" w:line="199" w:lineRule="exact"/>
        <w:rPr>
          <w:rFonts w:ascii="Arial" w:cs="Arial" w:eastAsia="Arial" w:hAnsi="Arial"/>
          <w:sz w:val="17"/>
          <w:szCs w:val="17"/>
          <w:color w:val="auto"/>
        </w:rPr>
      </w:pPr>
    </w:p>
    <w:p>
      <w:pPr>
        <w:jc w:val="both"/>
        <w:ind w:firstLine="1916"/>
        <w:spacing w:after="0" w:line="259" w:lineRule="auto"/>
        <w:tabs>
          <w:tab w:leader="none" w:pos="26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purposes of this Agreement, the Optionee shall be entitled to terminate his or her employment with the Company for Good Reason in the event of, without the Grantee’s express written consent, any one of the following acts by the Company, or failures by the Company to act, unless, in the case of any act or failure to act described in paragraphs (i), (iii), or (iv) below, such act or failure to act is corrected prior to the Grantee’s date of termination:</w:t>
      </w:r>
    </w:p>
    <w:p>
      <w:pPr>
        <w:spacing w:after="0" w:line="186" w:lineRule="exact"/>
        <w:rPr>
          <w:rFonts w:ascii="Arial" w:cs="Arial" w:eastAsia="Arial" w:hAnsi="Arial"/>
          <w:sz w:val="18"/>
          <w:szCs w:val="18"/>
          <w:color w:val="auto"/>
        </w:rPr>
      </w:pPr>
    </w:p>
    <w:p>
      <w:pPr>
        <w:ind w:left="2940" w:hanging="664"/>
        <w:spacing w:after="0"/>
        <w:tabs>
          <w:tab w:leader="none" w:pos="29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 material reduction in the Grantee’s responsibilities at the Company; or</w:t>
      </w:r>
    </w:p>
    <w:p>
      <w:pPr>
        <w:spacing w:after="0" w:line="225" w:lineRule="exact"/>
        <w:rPr>
          <w:rFonts w:ascii="Arial" w:cs="Arial" w:eastAsia="Arial" w:hAnsi="Arial"/>
          <w:sz w:val="18"/>
          <w:szCs w:val="18"/>
          <w:color w:val="auto"/>
        </w:rPr>
      </w:pPr>
    </w:p>
    <w:p>
      <w:pPr>
        <w:ind w:left="2940" w:hanging="664"/>
        <w:spacing w:after="0"/>
        <w:tabs>
          <w:tab w:leader="none" w:pos="2940"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required relocation of the Grantee’s employment to a location outside of the market area of the Company;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ind w:left="920" w:firstLine="1579"/>
        <w:spacing w:after="0" w:line="277" w:lineRule="auto"/>
        <w:tabs>
          <w:tab w:leader="none" w:pos="33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Grantee under the Company’s director and officer liability insurance policy or indemnification commitments; or</w:t>
      </w:r>
    </w:p>
    <w:p>
      <w:pPr>
        <w:spacing w:after="0" w:line="170" w:lineRule="exact"/>
        <w:rPr>
          <w:rFonts w:ascii="Arial" w:cs="Arial" w:eastAsia="Arial" w:hAnsi="Arial"/>
          <w:sz w:val="18"/>
          <w:szCs w:val="18"/>
          <w:color w:val="auto"/>
        </w:rPr>
      </w:pPr>
    </w:p>
    <w:p>
      <w:pPr>
        <w:jc w:val="both"/>
        <w:ind w:left="920" w:firstLine="1396"/>
        <w:spacing w:after="0" w:line="312" w:lineRule="auto"/>
        <w:tabs>
          <w:tab w:leader="none" w:pos="30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substantial reduction in the Grantee’s base salary, a material reduction in his incentive 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pacing w:after="0" w:line="174" w:lineRule="exact"/>
        <w:rPr>
          <w:sz w:val="20"/>
          <w:szCs w:val="20"/>
          <w:color w:val="auto"/>
        </w:rPr>
      </w:pPr>
    </w:p>
    <w:p>
      <w:pPr>
        <w:jc w:val="both"/>
        <w:ind w:firstLine="1307"/>
        <w:spacing w:after="0" w:line="264"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except for a Disability as defined in the Plan. The Grantee’s continued employment shall not constitute consent to, or a waiver of rights with respect to, any act or failure to act constituting Good Reason hereunder.</w:t>
      </w:r>
    </w:p>
    <w:p>
      <w:pPr>
        <w:spacing w:after="0" w:line="208" w:lineRule="exact"/>
        <w:rPr>
          <w:sz w:val="20"/>
          <w:szCs w:val="20"/>
          <w:color w:val="auto"/>
        </w:rPr>
      </w:pPr>
    </w:p>
    <w:p>
      <w:pPr>
        <w:jc w:val="both"/>
        <w:ind w:firstLine="1219"/>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 of Employment Following a Change in Control When Eligible for Retirement</w:t>
      </w:r>
      <w:r>
        <w:rPr>
          <w:rFonts w:ascii="Arial" w:cs="Arial" w:eastAsia="Arial" w:hAnsi="Arial"/>
          <w:sz w:val="18"/>
          <w:szCs w:val="18"/>
          <w:color w:val="auto"/>
        </w:rPr>
        <w:t>. If the Grantee’s employment with the Company is terminated following a Change in Control and the Grantee is eligible for Retirement as of the date of such termination, the outstanding unvested portion of the RSUs shall immediately vest.</w:t>
      </w:r>
    </w:p>
    <w:p>
      <w:pPr>
        <w:spacing w:after="0" w:line="208" w:lineRule="exact"/>
        <w:rPr>
          <w:sz w:val="20"/>
          <w:szCs w:val="20"/>
          <w:color w:val="auto"/>
        </w:rPr>
      </w:pPr>
    </w:p>
    <w:p>
      <w:pPr>
        <w:jc w:val="both"/>
        <w:ind w:firstLine="1284"/>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Termination of Employment Due to Death</w:t>
      </w:r>
      <w:r>
        <w:rPr>
          <w:rFonts w:ascii="Arial" w:cs="Arial" w:eastAsia="Arial" w:hAnsi="Arial"/>
          <w:sz w:val="18"/>
          <w:szCs w:val="18"/>
          <w:color w:val="auto"/>
        </w:rPr>
        <w:t>. If the Grantee’s employment is terminated by the Company as a result of death, the unvested RSUs shall immediately vest, and a number of Shares equal to the number of vested RSUs shall be transferred to the Grantee’s surviving spouse or, if none, to his estate.</w:t>
      </w:r>
    </w:p>
    <w:p>
      <w:pPr>
        <w:spacing w:after="0" w:line="208"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Termination of Employment for Other Reasons</w:t>
      </w:r>
      <w:r>
        <w:rPr>
          <w:rFonts w:ascii="Arial" w:cs="Arial" w:eastAsia="Arial" w:hAnsi="Arial"/>
          <w:sz w:val="18"/>
          <w:szCs w:val="18"/>
          <w:color w:val="auto"/>
        </w:rPr>
        <w:t>. If the Grantee’s employment is terminated by the Company as a result of Disability, or the Grantee voluntarily terminates his or her employment (except for Good Reason or upon Retirement), the outstanding unvested RSUs shall immediately be forfeited as of the date of termination of employment.</w:t>
      </w:r>
    </w:p>
    <w:p>
      <w:pPr>
        <w:spacing w:after="0" w:line="208" w:lineRule="exact"/>
        <w:rPr>
          <w:sz w:val="20"/>
          <w:szCs w:val="20"/>
          <w:color w:val="auto"/>
        </w:rPr>
      </w:pPr>
    </w:p>
    <w:p>
      <w:pPr>
        <w:jc w:val="both"/>
        <w:ind w:right="20" w:firstLine="1099"/>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RSUs may not be sold, assigned, transferred, pledged, or otherwise encumbered prior to the date the Grantee becomes vested in the RSUs.</w:t>
      </w:r>
    </w:p>
    <w:p>
      <w:pPr>
        <w:spacing w:after="0" w:line="193" w:lineRule="exact"/>
        <w:rPr>
          <w:sz w:val="20"/>
          <w:szCs w:val="20"/>
          <w:color w:val="auto"/>
        </w:rPr>
      </w:pPr>
    </w:p>
    <w:p>
      <w:pPr>
        <w:ind w:left="1040" w:hanging="582"/>
        <w:spacing w:after="0"/>
        <w:tabs>
          <w:tab w:leader="none" w:pos="10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Capitalization; Deferral Rights</w:t>
      </w:r>
    </w:p>
    <w:p>
      <w:pPr>
        <w:spacing w:after="0" w:line="256" w:lineRule="exact"/>
        <w:rPr>
          <w:sz w:val="20"/>
          <w:szCs w:val="20"/>
          <w:color w:val="auto"/>
        </w:rPr>
      </w:pPr>
    </w:p>
    <w:p>
      <w:pPr>
        <w:jc w:val="both"/>
        <w:ind w:firstLine="1001"/>
        <w:spacing w:after="0" w:line="277" w:lineRule="auto"/>
        <w:rPr>
          <w:sz w:val="20"/>
          <w:szCs w:val="20"/>
          <w:color w:val="auto"/>
        </w:rPr>
      </w:pPr>
      <w:r>
        <w:rPr>
          <w:rFonts w:ascii="Arial" w:cs="Arial" w:eastAsia="Arial" w:hAnsi="Arial"/>
          <w:sz w:val="18"/>
          <w:szCs w:val="18"/>
          <w:color w:val="auto"/>
        </w:rPr>
        <w:t>3.1 During the period the RSUs are not vested, the Grantee shall be credited with dividend equivalents or similar distributions declared on such RSUs in the manner determined by the Committee.</w:t>
      </w:r>
    </w:p>
    <w:p>
      <w:pPr>
        <w:spacing w:after="0" w:line="197" w:lineRule="exact"/>
        <w:rPr>
          <w:sz w:val="20"/>
          <w:szCs w:val="20"/>
          <w:color w:val="auto"/>
        </w:rPr>
      </w:pPr>
    </w:p>
    <w:p>
      <w:pPr>
        <w:jc w:val="both"/>
        <w:ind w:firstLine="1119"/>
        <w:spacing w:after="0" w:line="264" w:lineRule="auto"/>
        <w:rPr>
          <w:sz w:val="20"/>
          <w:szCs w:val="20"/>
          <w:color w:val="auto"/>
        </w:rPr>
      </w:pPr>
      <w:r>
        <w:rPr>
          <w:rFonts w:ascii="Arial" w:cs="Arial" w:eastAsia="Arial" w:hAnsi="Arial"/>
          <w:sz w:val="18"/>
          <w:szCs w:val="18"/>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ind w:firstLine="990"/>
        <w:spacing w:after="0" w:line="302" w:lineRule="auto"/>
        <w:rPr>
          <w:sz w:val="20"/>
          <w:szCs w:val="20"/>
          <w:color w:val="auto"/>
        </w:rPr>
      </w:pPr>
      <w:r>
        <w:rPr>
          <w:rFonts w:ascii="Arial" w:cs="Arial" w:eastAsia="Arial" w:hAnsi="Arial"/>
          <w:sz w:val="16"/>
          <w:szCs w:val="16"/>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in that event,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81" w:lineRule="exact"/>
        <w:rPr>
          <w:sz w:val="20"/>
          <w:szCs w:val="20"/>
          <w:color w:val="auto"/>
        </w:rPr>
      </w:pPr>
    </w:p>
    <w:p>
      <w:pPr>
        <w:jc w:val="both"/>
        <w:ind w:firstLine="1007"/>
        <w:spacing w:after="0" w:line="264" w:lineRule="auto"/>
        <w:rPr>
          <w:sz w:val="20"/>
          <w:szCs w:val="20"/>
          <w:color w:val="auto"/>
        </w:rPr>
      </w:pPr>
      <w:r>
        <w:rPr>
          <w:rFonts w:ascii="Arial" w:cs="Arial" w:eastAsia="Arial" w:hAnsi="Arial"/>
          <w:sz w:val="18"/>
          <w:szCs w:val="18"/>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w:t>
      </w:r>
    </w:p>
    <w:p>
      <w:pPr>
        <w:spacing w:after="0" w:line="204" w:lineRule="exact"/>
        <w:rPr>
          <w:sz w:val="20"/>
          <w:szCs w:val="20"/>
          <w:color w:val="auto"/>
        </w:rPr>
      </w:pPr>
    </w:p>
    <w:p>
      <w:pPr>
        <w:ind w:left="1040" w:hanging="582"/>
        <w:spacing w:after="0"/>
        <w:tabs>
          <w:tab w:leader="none" w:pos="10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Employment</w:t>
      </w:r>
    </w:p>
    <w:p>
      <w:pPr>
        <w:spacing w:after="0" w:line="256" w:lineRule="exact"/>
        <w:rPr>
          <w:sz w:val="20"/>
          <w:szCs w:val="20"/>
          <w:color w:val="auto"/>
        </w:rPr>
      </w:pPr>
    </w:p>
    <w:p>
      <w:pPr>
        <w:jc w:val="both"/>
        <w:ind w:firstLine="1171"/>
        <w:spacing w:after="0" w:line="264" w:lineRule="auto"/>
        <w:rPr>
          <w:sz w:val="20"/>
          <w:szCs w:val="20"/>
          <w:color w:val="auto"/>
        </w:rPr>
      </w:pPr>
      <w:r>
        <w:rPr>
          <w:rFonts w:ascii="Arial" w:cs="Arial" w:eastAsia="Arial" w:hAnsi="Arial"/>
          <w:sz w:val="18"/>
          <w:szCs w:val="18"/>
          <w:color w:val="auto"/>
        </w:rPr>
        <w:t>Nothing in this Agreement or the Plan shall be interpreted or construed to confer upon the Grantee any right with respect to continuance of employment by the Company or a Subsidiary, nor shall this Agreement or the Plan interfere in any way with the right of the Company or a Subsidiary to terminate the Grantee’s employment at any time.</w:t>
      </w:r>
    </w:p>
    <w:p>
      <w:pPr>
        <w:spacing w:after="0" w:line="204" w:lineRule="exact"/>
        <w:rPr>
          <w:sz w:val="20"/>
          <w:szCs w:val="20"/>
          <w:color w:val="auto"/>
        </w:rPr>
      </w:pPr>
    </w:p>
    <w:p>
      <w:pPr>
        <w:ind w:left="1040" w:hanging="582"/>
        <w:spacing w:after="0"/>
        <w:tabs>
          <w:tab w:leader="none" w:pos="10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256" w:lineRule="exact"/>
        <w:rPr>
          <w:sz w:val="20"/>
          <w:szCs w:val="20"/>
          <w:color w:val="auto"/>
        </w:rPr>
      </w:pPr>
    </w:p>
    <w:p>
      <w:pPr>
        <w:jc w:val="both"/>
        <w:ind w:firstLine="993"/>
        <w:spacing w:after="0" w:line="291" w:lineRule="auto"/>
        <w:rPr>
          <w:sz w:val="20"/>
          <w:szCs w:val="20"/>
          <w:color w:val="auto"/>
        </w:rPr>
      </w:pPr>
      <w:r>
        <w:rPr>
          <w:rFonts w:ascii="Arial" w:cs="Arial" w:eastAsia="Arial" w:hAnsi="Arial"/>
          <w:sz w:val="16"/>
          <w:szCs w:val="16"/>
          <w:color w:val="auto"/>
        </w:rPr>
        <w:t>The Grantee shall be responsible for all federal, state, and local income taxes payable with respect to this award of RSUs and any dividends paid on unvested RSUs. The Company and the Grantee agree to report the value of the RSUs in a consistent manner for federal income tax purposes. The Company shall have the right to retain and withhold from any payment of Shares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(in whole or in part) a number of Shares having a market value not less than the amount of such taxes.</w:t>
      </w:r>
    </w:p>
    <w:p>
      <w:pPr>
        <w:spacing w:after="0" w:line="190" w:lineRule="exact"/>
        <w:rPr>
          <w:sz w:val="20"/>
          <w:szCs w:val="20"/>
          <w:color w:val="auto"/>
        </w:rPr>
      </w:pPr>
    </w:p>
    <w:p>
      <w:pPr>
        <w:ind w:left="1000" w:hanging="542"/>
        <w:spacing w:after="0"/>
        <w:tabs>
          <w:tab w:leader="none" w:pos="10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The Grantee Bound By The Plan</w:t>
      </w:r>
    </w:p>
    <w:p>
      <w:pPr>
        <w:spacing w:after="0" w:line="256" w:lineRule="exact"/>
        <w:rPr>
          <w:sz w:val="20"/>
          <w:szCs w:val="20"/>
          <w:color w:val="auto"/>
        </w:rPr>
      </w:pPr>
    </w:p>
    <w:p>
      <w:pPr>
        <w:ind w:firstLine="1129"/>
        <w:spacing w:after="0" w:line="277" w:lineRule="auto"/>
        <w:rPr>
          <w:sz w:val="20"/>
          <w:szCs w:val="20"/>
          <w:color w:val="auto"/>
        </w:rPr>
      </w:pPr>
      <w:r>
        <w:rPr>
          <w:rFonts w:ascii="Arial" w:cs="Arial" w:eastAsia="Arial" w:hAnsi="Arial"/>
          <w:sz w:val="18"/>
          <w:szCs w:val="18"/>
          <w:color w:val="auto"/>
        </w:rPr>
        <w:t>The Grantee hereby acknowledges receipt of a copy of the Plan and the prospectus for the Plan, and agrees to be bound by all the terms and provisions thereof.</w:t>
      </w:r>
    </w:p>
    <w:p>
      <w:pPr>
        <w:spacing w:after="0" w:line="193" w:lineRule="exact"/>
        <w:rPr>
          <w:sz w:val="20"/>
          <w:szCs w:val="20"/>
          <w:color w:val="auto"/>
        </w:rPr>
      </w:pPr>
    </w:p>
    <w:p>
      <w:pPr>
        <w:ind w:left="1040" w:hanging="582"/>
        <w:spacing w:after="0"/>
        <w:tabs>
          <w:tab w:leader="none" w:pos="10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Agreement; Severability</w:t>
      </w:r>
    </w:p>
    <w:p>
      <w:pPr>
        <w:spacing w:after="0" w:line="256" w:lineRule="exact"/>
        <w:rPr>
          <w:sz w:val="20"/>
          <w:szCs w:val="20"/>
          <w:color w:val="auto"/>
        </w:rPr>
      </w:pPr>
    </w:p>
    <w:p>
      <w:pPr>
        <w:jc w:val="both"/>
        <w:ind w:firstLine="1239"/>
        <w:spacing w:after="0" w:line="259" w:lineRule="auto"/>
        <w:rPr>
          <w:sz w:val="20"/>
          <w:szCs w:val="20"/>
          <w:color w:val="auto"/>
        </w:rPr>
      </w:pPr>
      <w:r>
        <w:rPr>
          <w:rFonts w:ascii="Arial" w:cs="Arial" w:eastAsia="Arial" w:hAnsi="Arial"/>
          <w:sz w:val="18"/>
          <w:szCs w:val="18"/>
          <w:color w:val="auto"/>
        </w:rPr>
        <w:t>This Agreement may be modified, amended, suspended, or terminated, and any terms or conditions may be waived, but only by a written instrument executed by the parties hereto.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ind w:left="1080" w:hanging="622"/>
        <w:spacing w:after="0"/>
        <w:tabs>
          <w:tab w:leader="none" w:pos="10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and Rescission of Award; Return of Shares</w:t>
      </w:r>
    </w:p>
    <w:p>
      <w:pPr>
        <w:spacing w:after="0" w:line="256" w:lineRule="exact"/>
        <w:rPr>
          <w:sz w:val="20"/>
          <w:szCs w:val="20"/>
          <w:color w:val="auto"/>
        </w:rPr>
      </w:pPr>
    </w:p>
    <w:p>
      <w:pPr>
        <w:jc w:val="both"/>
        <w:ind w:firstLine="1097"/>
        <w:spacing w:after="0" w:line="255" w:lineRule="auto"/>
        <w:rPr>
          <w:sz w:val="20"/>
          <w:szCs w:val="20"/>
          <w:color w:val="auto"/>
        </w:rPr>
      </w:pPr>
      <w:r>
        <w:rPr>
          <w:rFonts w:ascii="Arial" w:cs="Arial" w:eastAsia="Arial" w:hAnsi="Arial"/>
          <w:sz w:val="18"/>
          <w:szCs w:val="18"/>
          <w:color w:val="auto"/>
        </w:rPr>
        <w:t>8.1 If, during his employment with the Company or at any time during the one (1) year period after the Date of Termination, the Grantee violates the restrictive covenants set forth in Section 8.2 below, then the Committee shall, notwithstanding any other provision in this Agreement to the contrary, (i) cancel the outstanding RSUs that are not yet vested or with respect to which Shares have not yet been issued to the Grantee, and (ii) require the Optionee to return to the Company any Shares issued to the Grantee pursuant to vesting of the RSUs, and require the Grantee to pay to the Company the then current value of any Shares issued to the Grantee during the period six (6) months prior to and one (1) year after the Date of Termination pursuant to the RSUs during such period.</w:t>
      </w:r>
    </w:p>
    <w:p>
      <w:pPr>
        <w:spacing w:after="0" w:line="220" w:lineRule="exact"/>
        <w:rPr>
          <w:sz w:val="20"/>
          <w:szCs w:val="20"/>
          <w:color w:val="auto"/>
        </w:rPr>
      </w:pPr>
    </w:p>
    <w:p>
      <w:pPr>
        <w:ind w:left="1080"/>
        <w:spacing w:after="0"/>
        <w:tabs>
          <w:tab w:leader="none" w:pos="18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Grantee will not directly or indirectly, individually, or on behalf of any Person other than the Company or a Subsidiary:</w:t>
      </w:r>
    </w:p>
    <w:p>
      <w:pPr>
        <w:spacing w:after="0" w:line="225" w:lineRule="exact"/>
        <w:rPr>
          <w:sz w:val="20"/>
          <w:szCs w:val="20"/>
          <w:color w:val="auto"/>
        </w:rPr>
      </w:pPr>
    </w:p>
    <w:p>
      <w:pPr>
        <w:ind w:left="2820" w:hanging="746"/>
        <w:spacing w:after="0"/>
        <w:tabs>
          <w:tab w:leader="none" w:pos="28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solicit any Customers for the purpose of providing services identical to or reasonably substitutable for the Company’s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500" w:right="20" w:firstLine="1614"/>
        <w:spacing w:after="0" w:line="308" w:lineRule="auto"/>
        <w:tabs>
          <w:tab w:leader="none" w:pos="2920" w:val="left"/>
        </w:tabs>
        <w:numPr>
          <w:ilvl w:val="2"/>
          <w:numId w:val="51"/>
        </w:numPr>
        <w:rPr>
          <w:rFonts w:ascii="Arial" w:cs="Arial" w:eastAsia="Arial" w:hAnsi="Arial"/>
          <w:sz w:val="17"/>
          <w:szCs w:val="17"/>
          <w:color w:val="auto"/>
        </w:rPr>
      </w:pPr>
      <w:r>
        <w:rPr>
          <w:rFonts w:ascii="Arial" w:cs="Arial" w:eastAsia="Arial" w:hAnsi="Arial"/>
          <w:sz w:val="17"/>
          <w:szCs w:val="17"/>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46" w:lineRule="exact"/>
        <w:rPr>
          <w:rFonts w:ascii="Arial" w:cs="Arial" w:eastAsia="Arial" w:hAnsi="Arial"/>
          <w:sz w:val="17"/>
          <w:szCs w:val="17"/>
          <w:color w:val="auto"/>
        </w:rPr>
      </w:pPr>
    </w:p>
    <w:p>
      <w:pPr>
        <w:ind w:left="2620" w:hanging="762"/>
        <w:spacing w:after="0"/>
        <w:tabs>
          <w:tab w:leader="none" w:pos="2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engage in any Restricted Activities within the Territory or from a business location servicing any part of the Territory;</w:t>
      </w:r>
    </w:p>
    <w:p>
      <w:pPr>
        <w:spacing w:after="0" w:line="236" w:lineRule="exact"/>
        <w:rPr>
          <w:rFonts w:ascii="Arial" w:cs="Arial" w:eastAsia="Arial" w:hAnsi="Arial"/>
          <w:sz w:val="17"/>
          <w:szCs w:val="17"/>
          <w:color w:val="auto"/>
        </w:rPr>
      </w:pPr>
    </w:p>
    <w:p>
      <w:pPr>
        <w:ind w:left="2620" w:hanging="762"/>
        <w:spacing w:after="0"/>
        <w:tabs>
          <w:tab w:leader="none" w:pos="2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25" w:lineRule="exact"/>
        <w:rPr>
          <w:rFonts w:ascii="Arial" w:cs="Arial" w:eastAsia="Arial" w:hAnsi="Arial"/>
          <w:sz w:val="18"/>
          <w:szCs w:val="18"/>
          <w:color w:val="auto"/>
        </w:rPr>
      </w:pPr>
    </w:p>
    <w:p>
      <w:pPr>
        <w:jc w:val="both"/>
        <w:ind w:left="500" w:firstLine="1479"/>
        <w:spacing w:after="0" w:line="264" w:lineRule="auto"/>
        <w:tabs>
          <w:tab w:leader="none" w:pos="2713" w:val="left"/>
        </w:tabs>
        <w:numPr>
          <w:ilvl w:val="1"/>
          <w:numId w:val="52"/>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Grantee further agrees that he or she will not, except as necessary to carry out his duties as an employee of the Company, disclose or use Confidential Information. The Grantee further agrees that, upon termination or expiration of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215"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For purposes of this Section 8, the following terms shall have the meanings specified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2" w:name="page63"/>
    <w:bookmarkEnd w:id="62"/>
    <w:p>
      <w:pPr>
        <w:ind w:left="500" w:right="20" w:firstLine="1520"/>
        <w:spacing w:after="0" w:line="277" w:lineRule="auto"/>
        <w:tabs>
          <w:tab w:leader="none" w:pos="27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70" w:lineRule="exact"/>
        <w:rPr>
          <w:sz w:val="20"/>
          <w:szCs w:val="20"/>
          <w:color w:val="auto"/>
        </w:rPr>
      </w:pPr>
    </w:p>
    <w:p>
      <w:pPr>
        <w:jc w:val="both"/>
        <w:ind w:left="500" w:firstLine="1506"/>
        <w:spacing w:after="0" w:line="271" w:lineRule="auto"/>
        <w:tabs>
          <w:tab w:leader="none" w:pos="2767" w:val="left"/>
        </w:tabs>
        <w:numPr>
          <w:ilvl w:val="3"/>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information, without regard to form, relating to the Company’s or any Subsidiary’s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178" w:lineRule="exact"/>
        <w:rPr>
          <w:rFonts w:ascii="Arial" w:cs="Arial" w:eastAsia="Arial" w:hAnsi="Arial"/>
          <w:sz w:val="17"/>
          <w:szCs w:val="17"/>
          <w:color w:val="auto"/>
        </w:rPr>
      </w:pPr>
    </w:p>
    <w:p>
      <w:pPr>
        <w:jc w:val="both"/>
        <w:ind w:left="500" w:firstLine="1371"/>
        <w:spacing w:after="0" w:line="312" w:lineRule="auto"/>
        <w:tabs>
          <w:tab w:leader="none" w:pos="2628" w:val="left"/>
        </w:tabs>
        <w:numPr>
          <w:ilvl w:val="2"/>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Customers</w:t>
      </w:r>
      <w:r>
        <w:rPr>
          <w:rFonts w:ascii="Arial" w:cs="Arial" w:eastAsia="Arial" w:hAnsi="Arial"/>
          <w:sz w:val="16"/>
          <w:szCs w:val="16"/>
          <w:color w:val="auto"/>
        </w:rPr>
        <w:t>” means all Persons that (1) the Grantee serviced or solicited on behalf of the Company or any Subsidiary, (2) whose dealings with the Company or any Subsidiary were coordinated or supervised, in whole or in part, by the Grantee, or (3) about whom the Grantee obtained Confidential Information, in each case during the term of this Agreement or while otherwise employed by the Company.</w:t>
      </w:r>
    </w:p>
    <w:p>
      <w:pPr>
        <w:spacing w:after="0" w:line="146" w:lineRule="exact"/>
        <w:rPr>
          <w:rFonts w:ascii="Arial" w:cs="Arial" w:eastAsia="Arial" w:hAnsi="Arial"/>
          <w:sz w:val="16"/>
          <w:szCs w:val="16"/>
          <w:color w:val="auto"/>
        </w:rPr>
      </w:pPr>
    </w:p>
    <w:p>
      <w:pPr>
        <w:ind w:left="2620" w:hanging="762"/>
        <w:spacing w:after="0"/>
        <w:tabs>
          <w:tab w:leader="none" w:pos="26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means the date upon which the Grantee’s employment with the Company ceases for any reason.</w:t>
      </w:r>
    </w:p>
    <w:p>
      <w:pPr>
        <w:spacing w:after="0" w:line="248" w:lineRule="exact"/>
        <w:rPr>
          <w:rFonts w:ascii="Arial" w:cs="Arial" w:eastAsia="Arial" w:hAnsi="Arial"/>
          <w:sz w:val="16"/>
          <w:szCs w:val="16"/>
          <w:color w:val="auto"/>
        </w:rPr>
      </w:pPr>
    </w:p>
    <w:p>
      <w:pPr>
        <w:ind w:left="500" w:right="20" w:firstLine="1601"/>
        <w:spacing w:after="0" w:line="277" w:lineRule="auto"/>
        <w:tabs>
          <w:tab w:leader="none" w:pos="2879" w:val="left"/>
        </w:tabs>
        <w:numPr>
          <w:ilvl w:val="5"/>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bank, partnership, joint venture, association, joint-stock company, trust, unincorporated organization or other entity.</w:t>
      </w:r>
    </w:p>
    <w:p>
      <w:pPr>
        <w:spacing w:after="0" w:line="170" w:lineRule="exact"/>
        <w:rPr>
          <w:rFonts w:ascii="Arial" w:cs="Arial" w:eastAsia="Arial" w:hAnsi="Arial"/>
          <w:sz w:val="18"/>
          <w:szCs w:val="18"/>
          <w:color w:val="auto"/>
        </w:rPr>
      </w:pPr>
    </w:p>
    <w:p>
      <w:pPr>
        <w:ind w:left="500" w:firstLine="1533"/>
        <w:spacing w:after="0" w:line="342" w:lineRule="auto"/>
        <w:tabs>
          <w:tab w:leader="none" w:pos="2848" w:val="left"/>
        </w:tabs>
        <w:numPr>
          <w:ilvl w:val="4"/>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Activities</w:t>
      </w:r>
      <w:r>
        <w:rPr>
          <w:rFonts w:ascii="Arial" w:cs="Arial" w:eastAsia="Arial" w:hAnsi="Arial"/>
          <w:sz w:val="16"/>
          <w:szCs w:val="16"/>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46" w:lineRule="exact"/>
        <w:rPr>
          <w:rFonts w:ascii="Arial" w:cs="Arial" w:eastAsia="Arial" w:hAnsi="Arial"/>
          <w:sz w:val="16"/>
          <w:szCs w:val="16"/>
          <w:color w:val="auto"/>
        </w:rPr>
      </w:pPr>
    </w:p>
    <w:p>
      <w:pPr>
        <w:ind w:left="1180" w:hanging="722"/>
        <w:spacing w:after="0"/>
        <w:tabs>
          <w:tab w:leader="none" w:pos="11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firstLine="1268"/>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state of Georgia without giving effect to the conflicts of laws principles thereof.</w:t>
      </w:r>
    </w:p>
    <w:p>
      <w:pPr>
        <w:spacing w:after="0" w:line="193" w:lineRule="exact"/>
        <w:rPr>
          <w:sz w:val="20"/>
          <w:szCs w:val="20"/>
          <w:color w:val="auto"/>
        </w:rPr>
      </w:pPr>
    </w:p>
    <w:p>
      <w:pPr>
        <w:ind w:left="1180" w:hanging="722"/>
        <w:spacing w:after="0"/>
        <w:tabs>
          <w:tab w:leader="none" w:pos="1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in Interest</w:t>
      </w:r>
    </w:p>
    <w:p>
      <w:pPr>
        <w:spacing w:after="0" w:line="256" w:lineRule="exact"/>
        <w:rPr>
          <w:sz w:val="20"/>
          <w:szCs w:val="20"/>
          <w:color w:val="auto"/>
        </w:rPr>
      </w:pPr>
    </w:p>
    <w:p>
      <w:pPr>
        <w:jc w:val="both"/>
        <w:ind w:firstLine="1552"/>
        <w:spacing w:after="0" w:line="259" w:lineRule="auto"/>
        <w:rPr>
          <w:sz w:val="20"/>
          <w:szCs w:val="20"/>
          <w:color w:val="auto"/>
        </w:rPr>
      </w:pPr>
      <w:r>
        <w:rPr>
          <w:rFonts w:ascii="Arial" w:cs="Arial" w:eastAsia="Arial" w:hAnsi="Arial"/>
          <w:sz w:val="18"/>
          <w:szCs w:val="18"/>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ind w:left="1220" w:hanging="762"/>
        <w:spacing w:after="0"/>
        <w:tabs>
          <w:tab w:leader="none" w:pos="12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sz w:val="20"/>
          <w:szCs w:val="20"/>
          <w:color w:val="auto"/>
        </w:rPr>
      </w:pPr>
    </w:p>
    <w:p>
      <w:pPr>
        <w:ind w:left="1220" w:hanging="762"/>
        <w:spacing w:after="0"/>
        <w:tabs>
          <w:tab w:leader="none" w:pos="12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Disputes</w:t>
      </w:r>
    </w:p>
    <w:p>
      <w:pPr>
        <w:spacing w:after="0" w:line="256" w:lineRule="exact"/>
        <w:rPr>
          <w:sz w:val="20"/>
          <w:szCs w:val="20"/>
          <w:color w:val="auto"/>
        </w:rPr>
      </w:pPr>
    </w:p>
    <w:p>
      <w:pPr>
        <w:jc w:val="both"/>
        <w:ind w:firstLine="1295"/>
        <w:spacing w:after="0" w:line="286" w:lineRule="auto"/>
        <w:rPr>
          <w:sz w:val="20"/>
          <w:szCs w:val="20"/>
          <w:color w:val="auto"/>
        </w:rPr>
      </w:pPr>
      <w:r>
        <w:rPr>
          <w:rFonts w:ascii="Arial" w:cs="Arial" w:eastAsia="Arial" w:hAnsi="Arial"/>
          <w:sz w:val="17"/>
          <w:szCs w:val="17"/>
          <w:color w:val="auto"/>
        </w:rPr>
        <w:t>12.1 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93" w:lineRule="exact"/>
        <w:rPr>
          <w:sz w:val="20"/>
          <w:szCs w:val="20"/>
          <w:color w:val="auto"/>
        </w:rPr>
      </w:pPr>
    </w:p>
    <w:p>
      <w:pPr>
        <w:jc w:val="both"/>
        <w:ind w:firstLine="1275"/>
        <w:spacing w:after="0" w:line="272" w:lineRule="auto"/>
        <w:rPr>
          <w:sz w:val="20"/>
          <w:szCs w:val="20"/>
          <w:color w:val="auto"/>
        </w:rPr>
      </w:pPr>
      <w:r>
        <w:rPr>
          <w:rFonts w:ascii="Arial" w:cs="Arial" w:eastAsia="Arial" w:hAnsi="Arial"/>
          <w:sz w:val="17"/>
          <w:szCs w:val="17"/>
          <w:color w:val="auto"/>
        </w:rPr>
        <w:t>12.2 To the extent permitted by applicable law, any dispute, disagreement or claim which may arise under, or as a result of, or in any way relate to, the 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01" w:lineRule="exact"/>
        <w:rPr>
          <w:sz w:val="20"/>
          <w:szCs w:val="20"/>
          <w:color w:val="auto"/>
        </w:rPr>
      </w:pPr>
    </w:p>
    <w:p>
      <w:pPr>
        <w:jc w:val="both"/>
        <w:ind w:firstLine="1355"/>
        <w:spacing w:after="0" w:line="255" w:lineRule="auto"/>
        <w:rPr>
          <w:sz w:val="20"/>
          <w:szCs w:val="20"/>
          <w:color w:val="auto"/>
        </w:rPr>
      </w:pPr>
      <w:r>
        <w:rPr>
          <w:rFonts w:ascii="Arial" w:cs="Arial" w:eastAsia="Arial" w:hAnsi="Arial"/>
          <w:sz w:val="18"/>
          <w:szCs w:val="18"/>
          <w:b w:val="1"/>
          <w:bCs w:val="1"/>
          <w:color w:val="auto"/>
        </w:rPr>
        <w:t>12.3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 w:name="page65"/>
    <w:bookmarkEnd w:id="64"/>
    <w:p>
      <w:pPr>
        <w:ind w:left="1260" w:hanging="802"/>
        <w:spacing w:after="0"/>
        <w:tabs>
          <w:tab w:leader="none" w:pos="12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Pronouns; Including</w:t>
      </w:r>
    </w:p>
    <w:p>
      <w:pPr>
        <w:spacing w:after="0" w:line="256" w:lineRule="exact"/>
        <w:rPr>
          <w:sz w:val="20"/>
          <w:szCs w:val="20"/>
          <w:color w:val="auto"/>
        </w:rPr>
      </w:pPr>
    </w:p>
    <w:p>
      <w:pPr>
        <w:ind w:firstLine="1419"/>
        <w:spacing w:after="0" w:line="277" w:lineRule="auto"/>
        <w:rPr>
          <w:sz w:val="20"/>
          <w:szCs w:val="20"/>
          <w:color w:val="auto"/>
        </w:rPr>
      </w:pPr>
      <w:r>
        <w:rPr>
          <w:rFonts w:ascii="Arial" w:cs="Arial" w:eastAsia="Arial" w:hAnsi="Arial"/>
          <w:sz w:val="18"/>
          <w:szCs w:val="18"/>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PAGE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date first above written.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UNITED COMMUNITY BANKS,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154940</wp:posOffset>
            </wp:positionV>
            <wp:extent cx="1029335" cy="5918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933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-1905</wp:posOffset>
            </wp:positionV>
            <wp:extent cx="34474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20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232" w:lineRule="exact"/>
        <w:rPr>
          <w:sz w:val="20"/>
          <w:szCs w:val="20"/>
          <w:color w:val="auto"/>
        </w:rPr>
      </w:pPr>
    </w:p>
    <w:p>
      <w:pPr>
        <w:ind w:left="5420"/>
        <w:spacing w:after="0"/>
        <w:tabs>
          <w:tab w:leader="none" w:pos="5980" w:val="left"/>
        </w:tabs>
        <w:rPr>
          <w:sz w:val="20"/>
          <w:szCs w:val="20"/>
          <w:color w:val="auto"/>
        </w:rPr>
      </w:pPr>
      <w:r>
        <w:rPr>
          <w:rFonts w:ascii="Arial" w:cs="Arial" w:eastAsia="Arial" w:hAnsi="Arial"/>
          <w:sz w:val="18"/>
          <w:szCs w:val="18"/>
          <w:color w:val="auto"/>
        </w:rPr>
        <w:t>Title:</w:t>
        <w:tab/>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259" w:lineRule="exact"/>
        <w:rPr>
          <w:sz w:val="20"/>
          <w:szCs w:val="20"/>
          <w:color w:val="auto"/>
        </w:rPr>
      </w:pPr>
    </w:p>
    <w:p>
      <w:pPr>
        <w:jc w:val="both"/>
        <w:ind w:firstLine="484"/>
        <w:spacing w:after="0" w:line="259" w:lineRule="auto"/>
        <w:rPr>
          <w:sz w:val="20"/>
          <w:szCs w:val="20"/>
          <w:color w:val="auto"/>
        </w:rPr>
      </w:pPr>
      <w:r>
        <w:rPr>
          <w:rFonts w:ascii="Arial" w:cs="Arial" w:eastAsia="Arial" w:hAnsi="Arial"/>
          <w:sz w:val="18"/>
          <w:szCs w:val="18"/>
          <w:color w:val="auto"/>
        </w:rPr>
        <w:t>By signing below, the Grantee hereby accepts the RSU grant subject to all its terms and provisions and agrees to be bound by the terms and provisions of this Agreement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8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GRANTEE</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23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 FOLLOW]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1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441"/>
        </w:trPr>
        <w:tc>
          <w:tcPr>
            <w:tcW w:w="2780" w:type="dxa"/>
            <w:vAlign w:val="bottom"/>
          </w:tcPr>
          <w:p>
            <w:pPr>
              <w:spacing w:after="0"/>
              <w:rPr>
                <w:sz w:val="24"/>
                <w:szCs w:val="24"/>
                <w:color w:val="auto"/>
              </w:rPr>
            </w:pPr>
          </w:p>
        </w:tc>
        <w:tc>
          <w:tcPr>
            <w:tcW w:w="8640" w:type="dxa"/>
            <w:vAlign w:val="bottom"/>
            <w:gridSpan w:val="2"/>
          </w:tcPr>
          <w:p>
            <w:pPr>
              <w:jc w:val="center"/>
              <w:ind w:right="2690"/>
              <w:spacing w:after="0"/>
              <w:rPr>
                <w:sz w:val="20"/>
                <w:szCs w:val="20"/>
                <w:color w:val="auto"/>
              </w:rPr>
            </w:pPr>
            <w:r>
              <w:rPr>
                <w:rFonts w:ascii="Arial" w:cs="Arial" w:eastAsia="Arial" w:hAnsi="Arial"/>
                <w:sz w:val="18"/>
                <w:szCs w:val="18"/>
                <w:b w:val="1"/>
                <w:bCs w:val="1"/>
                <w:color w:val="auto"/>
              </w:rPr>
              <w:t>UNITED COMMUNITY BANKS, INC.</w:t>
            </w:r>
          </w:p>
        </w:tc>
      </w:tr>
      <w:tr>
        <w:trPr>
          <w:trHeight w:val="216"/>
        </w:trPr>
        <w:tc>
          <w:tcPr>
            <w:tcW w:w="2780" w:type="dxa"/>
            <w:vAlign w:val="bottom"/>
          </w:tcPr>
          <w:p>
            <w:pPr>
              <w:spacing w:after="0"/>
              <w:rPr>
                <w:sz w:val="18"/>
                <w:szCs w:val="18"/>
                <w:color w:val="auto"/>
              </w:rPr>
            </w:pPr>
          </w:p>
        </w:tc>
        <w:tc>
          <w:tcPr>
            <w:tcW w:w="864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w w:val="99"/>
              </w:rPr>
              <w:t>AMENDED AND RESTATED</w:t>
            </w:r>
          </w:p>
        </w:tc>
      </w:tr>
      <w:tr>
        <w:trPr>
          <w:trHeight w:val="234"/>
        </w:trPr>
        <w:tc>
          <w:tcPr>
            <w:tcW w:w="2780" w:type="dxa"/>
            <w:vAlign w:val="bottom"/>
          </w:tcPr>
          <w:p>
            <w:pPr>
              <w:spacing w:after="0"/>
              <w:rPr>
                <w:sz w:val="20"/>
                <w:szCs w:val="20"/>
                <w:color w:val="auto"/>
              </w:rPr>
            </w:pPr>
          </w:p>
        </w:tc>
        <w:tc>
          <w:tcPr>
            <w:tcW w:w="864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rPr>
              <w:t>2000 KEY EMPLOYEE STOCK OPTION PLAN</w:t>
            </w:r>
          </w:p>
        </w:tc>
      </w:tr>
      <w:tr>
        <w:trPr>
          <w:trHeight w:val="414"/>
        </w:trPr>
        <w:tc>
          <w:tcPr>
            <w:tcW w:w="2780" w:type="dxa"/>
            <w:vAlign w:val="bottom"/>
          </w:tcPr>
          <w:p>
            <w:pPr>
              <w:spacing w:after="0"/>
              <w:rPr>
                <w:sz w:val="24"/>
                <w:szCs w:val="24"/>
                <w:color w:val="auto"/>
              </w:rPr>
            </w:pPr>
          </w:p>
        </w:tc>
        <w:tc>
          <w:tcPr>
            <w:tcW w:w="864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rPr>
              <w:t>STOCK OPTION AGREEMENT</w:t>
            </w:r>
          </w:p>
        </w:tc>
      </w:tr>
      <w:tr>
        <w:trPr>
          <w:trHeight w:val="234"/>
        </w:trPr>
        <w:tc>
          <w:tcPr>
            <w:tcW w:w="2780" w:type="dxa"/>
            <w:vAlign w:val="bottom"/>
          </w:tcPr>
          <w:p>
            <w:pPr>
              <w:spacing w:after="0"/>
              <w:rPr>
                <w:sz w:val="20"/>
                <w:szCs w:val="20"/>
                <w:color w:val="auto"/>
              </w:rPr>
            </w:pPr>
          </w:p>
        </w:tc>
        <w:tc>
          <w:tcPr>
            <w:tcW w:w="8640" w:type="dxa"/>
            <w:vAlign w:val="bottom"/>
            <w:gridSpan w:val="2"/>
          </w:tcPr>
          <w:p>
            <w:pPr>
              <w:jc w:val="center"/>
              <w:ind w:right="2690"/>
              <w:spacing w:after="0"/>
              <w:rPr>
                <w:sz w:val="20"/>
                <w:szCs w:val="20"/>
                <w:color w:val="auto"/>
              </w:rPr>
            </w:pPr>
            <w:r>
              <w:rPr>
                <w:rFonts w:ascii="Arial" w:cs="Arial" w:eastAsia="Arial" w:hAnsi="Arial"/>
                <w:sz w:val="18"/>
                <w:szCs w:val="18"/>
                <w:b w:val="1"/>
                <w:bCs w:val="1"/>
                <w:color w:val="auto"/>
                <w:w w:val="91"/>
              </w:rPr>
              <w:t>(Incentive Stock Option – Executive Officer)</w:t>
            </w:r>
          </w:p>
        </w:tc>
      </w:tr>
      <w:tr>
        <w:trPr>
          <w:trHeight w:val="466"/>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55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556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89"/>
              </w:rPr>
              <w:t>____________________________ Shares</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Exercise Price:</w:t>
            </w:r>
          </w:p>
        </w:tc>
        <w:tc>
          <w:tcPr>
            <w:tcW w:w="556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 __________ per Share</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55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56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Per attached Optionee Statement</w:t>
            </w:r>
          </w:p>
        </w:tc>
      </w:tr>
      <w:tr>
        <w:trPr>
          <w:trHeight w:val="230"/>
        </w:trPr>
        <w:tc>
          <w:tcPr>
            <w:tcW w:w="27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556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99"/>
              </w:rPr>
              <w:t>Any county and any contiguous county</w:t>
            </w:r>
          </w:p>
        </w:tc>
      </w:tr>
      <w:tr>
        <w:trPr>
          <w:trHeight w:val="216"/>
        </w:trPr>
        <w:tc>
          <w:tcPr>
            <w:tcW w:w="27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99"/>
              </w:rPr>
              <w:t>and any metropolitan statistical area in</w:t>
            </w:r>
          </w:p>
        </w:tc>
      </w:tr>
      <w:tr>
        <w:trPr>
          <w:trHeight w:val="216"/>
        </w:trPr>
        <w:tc>
          <w:tcPr>
            <w:tcW w:w="27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98"/>
              </w:rPr>
              <w:t>which any of the Company’s subsidiary</w:t>
            </w:r>
          </w:p>
        </w:tc>
      </w:tr>
      <w:tr>
        <w:trPr>
          <w:trHeight w:val="230"/>
        </w:trPr>
        <w:tc>
          <w:tcPr>
            <w:tcW w:w="27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w w:val="92"/>
              </w:rPr>
              <w:t>banks has an office as of the date hereof.</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7"/>
          <w:szCs w:val="17"/>
          <w:b w:val="1"/>
          <w:bCs w:val="1"/>
          <w:color w:val="auto"/>
        </w:rPr>
        <w:t xml:space="preserve">THIS OPTION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 ____ day of ______________, _______, by and between</w:t>
      </w:r>
      <w:r>
        <w:rPr>
          <w:rFonts w:ascii="Arial" w:cs="Arial" w:eastAsia="Arial" w:hAnsi="Arial"/>
          <w:sz w:val="17"/>
          <w:szCs w:val="17"/>
          <w:b w:val="1"/>
          <w:bCs w:val="1"/>
          <w:color w:val="auto"/>
        </w:rPr>
        <w:t xml:space="preserve"> UNITED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w:t>
      </w:r>
    </w:p>
    <w:p>
      <w:pPr>
        <w:spacing w:after="0" w:line="234" w:lineRule="exact"/>
        <w:rPr>
          <w:sz w:val="20"/>
          <w:szCs w:val="20"/>
          <w:color w:val="auto"/>
        </w:rPr>
      </w:pPr>
    </w:p>
    <w:p>
      <w:pPr>
        <w:jc w:val="both"/>
        <w:ind w:firstLine="59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United Community Banks, Inc. Amended and Restated 2000 Key Employee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was adopted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effective March 15, 2007;</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Optionee performs valuable services for the Company, a Subsidiary or one of their affiliates; and</w:t>
      </w:r>
    </w:p>
    <w:p>
      <w:pPr>
        <w:spacing w:after="0" w:line="252" w:lineRule="exact"/>
        <w:rPr>
          <w:sz w:val="20"/>
          <w:szCs w:val="20"/>
          <w:color w:val="auto"/>
        </w:rPr>
      </w:pPr>
    </w:p>
    <w:p>
      <w:pPr>
        <w:jc w:val="both"/>
        <w:ind w:right="20" w:firstLine="45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the committee responsible for the administration of the Plan has determined to grant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Optionee as provided herein;</w:t>
      </w:r>
    </w:p>
    <w:p>
      <w:pPr>
        <w:spacing w:after="0" w:line="189" w:lineRule="exact"/>
        <w:rPr>
          <w:sz w:val="20"/>
          <w:szCs w:val="20"/>
          <w:color w:val="auto"/>
        </w:rPr>
      </w:pPr>
    </w:p>
    <w:p>
      <w:pPr>
        <w:jc w:val="both"/>
        <w:ind w:right="20" w:firstLine="51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is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the Option</w:t>
      </w:r>
      <w:r>
        <w:rPr>
          <w:rFonts w:ascii="Arial" w:cs="Arial" w:eastAsia="Arial" w:hAnsi="Arial"/>
          <w:sz w:val="18"/>
          <w:szCs w:val="18"/>
          <w:b w:val="1"/>
          <w:bCs w:val="1"/>
          <w:color w:val="auto"/>
        </w:rPr>
        <w:t>.</w:t>
      </w:r>
    </w:p>
    <w:p>
      <w:pPr>
        <w:spacing w:after="0" w:line="252" w:lineRule="exact"/>
        <w:rPr>
          <w:sz w:val="20"/>
          <w:szCs w:val="20"/>
          <w:color w:val="auto"/>
        </w:rPr>
      </w:pPr>
    </w:p>
    <w:p>
      <w:pPr>
        <w:ind w:firstLine="531"/>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shares of the Company’s Common Stock, par value $1.00 per share (the “Shares”), is hereby granted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67" w:name="page68"/>
    <w:bookmarkEnd w:id="67"/>
    <w:p>
      <w:pPr>
        <w:ind w:left="460"/>
        <w:spacing w:after="0"/>
        <w:tabs>
          <w:tab w:leader="none" w:pos="11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that the Optionee can purchase upon exercise of the Option is set forth above.</w:t>
      </w:r>
    </w:p>
    <w:p>
      <w:pPr>
        <w:spacing w:after="0" w:line="25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u w:val="single" w:color="auto"/>
          <w:color w:val="auto"/>
        </w:rPr>
        <w:t>Option Exercise Price</w:t>
      </w:r>
      <w:r>
        <w:rPr>
          <w:rFonts w:ascii="Arial" w:cs="Arial" w:eastAsia="Arial" w:hAnsi="Arial"/>
          <w:sz w:val="16"/>
          <w:szCs w:val="16"/>
          <w:color w:val="auto"/>
        </w:rPr>
        <w:t>. The price the Optionee must pay to exercise the Option (the “</w:t>
      </w: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is set forth above.</w:t>
      </w:r>
    </w:p>
    <w:p>
      <w:pPr>
        <w:spacing w:after="0" w:line="25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that the Option is granted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is set forth above.</w:t>
      </w:r>
    </w:p>
    <w:p>
      <w:pPr>
        <w:spacing w:after="0" w:line="252" w:lineRule="exact"/>
        <w:rPr>
          <w:sz w:val="20"/>
          <w:szCs w:val="20"/>
          <w:color w:val="auto"/>
        </w:rPr>
      </w:pPr>
    </w:p>
    <w:p>
      <w:pPr>
        <w:jc w:val="both"/>
        <w:ind w:firstLine="531"/>
        <w:spacing w:after="0" w:line="261"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u w:val="single" w:color="auto"/>
          <w:color w:val="auto"/>
        </w:rPr>
        <w:t>Type of Option</w:t>
      </w:r>
      <w:r>
        <w:rPr>
          <w:rFonts w:ascii="Arial" w:cs="Arial" w:eastAsia="Arial" w:hAnsi="Arial"/>
          <w:sz w:val="18"/>
          <w:szCs w:val="18"/>
          <w:color w:val="auto"/>
        </w:rPr>
        <w:t>. The Option is intended to qualify as an Incentive Stock Option within the meaning of Section 422 of the Code;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nothing in this Agreement shall be interpreted as a representation, guarantee or other undertaking on the part of the Company that the Option is or will be determined to be an Incentive Stock Option within the meaning of Section 422 of the Code. To the extent this Option is not treated as an Incentive Stock Option, it will be treated as a Nonqualified Stock Option.</w:t>
      </w:r>
    </w:p>
    <w:p>
      <w:pPr>
        <w:spacing w:after="0" w:line="207" w:lineRule="exact"/>
        <w:rPr>
          <w:sz w:val="20"/>
          <w:szCs w:val="20"/>
          <w:color w:val="auto"/>
        </w:rPr>
      </w:pPr>
    </w:p>
    <w:p>
      <w:pPr>
        <w:jc w:val="both"/>
        <w:ind w:firstLine="477"/>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in accordance and consistent with, and subject to, the provisions of the Plan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incorporated herein by reference) and, except as otherwise expressly set forth herein, the capitalized terms used in this Agreement shall have the same definitions as set forth in the Plan.</w:t>
      </w:r>
    </w:p>
    <w:p>
      <w:pPr>
        <w:spacing w:after="0" w:line="203" w:lineRule="exact"/>
        <w:rPr>
          <w:sz w:val="20"/>
          <w:szCs w:val="20"/>
          <w:color w:val="auto"/>
        </w:rPr>
      </w:pPr>
    </w:p>
    <w:p>
      <w:pPr>
        <w:jc w:val="both"/>
        <w:ind w:right="20" w:firstLine="463"/>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Option is evidenced by this Agreement. If the Optionee does not execute this Agreement within thirty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of receiving the Agreement, the Committee may in its discretion cancel the Option and this Agreement.</w:t>
      </w:r>
    </w:p>
    <w:p>
      <w:pPr>
        <w:spacing w:after="0" w:line="18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firstLine="534"/>
        <w:spacing w:after="0" w:line="277" w:lineRule="auto"/>
        <w:rPr>
          <w:sz w:val="20"/>
          <w:szCs w:val="20"/>
          <w:color w:val="auto"/>
        </w:rPr>
      </w:pPr>
      <w:r>
        <w:rPr>
          <w:rFonts w:ascii="Arial" w:cs="Arial" w:eastAsia="Arial" w:hAnsi="Arial"/>
          <w:sz w:val="18"/>
          <w:szCs w:val="18"/>
          <w:color w:val="auto"/>
        </w:rPr>
        <w:t>The Option shall be exercisable to the extent and in the manner provided herein for a period of ten (10) years from the Date of Grant (the “</w:t>
      </w:r>
      <w:r>
        <w:rPr>
          <w:rFonts w:ascii="Arial" w:cs="Arial" w:eastAsia="Arial" w:hAnsi="Arial"/>
          <w:sz w:val="18"/>
          <w:szCs w:val="18"/>
          <w:b w:val="1"/>
          <w:bCs w:val="1"/>
          <w:i w:val="1"/>
          <w:i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provided, however, that the Exercise Term may end earlier as provided in Sections 5 and 13 hereof.</w:t>
      </w:r>
    </w:p>
    <w:p>
      <w:pPr>
        <w:spacing w:after="0" w:line="19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56" w:lineRule="exact"/>
        <w:rPr>
          <w:sz w:val="20"/>
          <w:szCs w:val="20"/>
          <w:color w:val="auto"/>
        </w:rPr>
      </w:pPr>
    </w:p>
    <w:p>
      <w:pPr>
        <w:ind w:firstLine="463"/>
        <w:spacing w:after="0" w:line="277" w:lineRule="auto"/>
        <w:rPr>
          <w:sz w:val="20"/>
          <w:szCs w:val="20"/>
          <w:color w:val="auto"/>
        </w:rPr>
      </w:pPr>
      <w:r>
        <w:rPr>
          <w:rFonts w:ascii="Arial" w:cs="Arial" w:eastAsia="Arial" w:hAnsi="Arial"/>
          <w:sz w:val="18"/>
          <w:szCs w:val="18"/>
          <w:color w:val="auto"/>
        </w:rPr>
        <w:t xml:space="preserve">The Option shall vest and become exercisable in accordance with the vesting schedule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The Optionee may exercise the Option to the extent it is vested during the Exercise Term, subject to any limitations on exercise contained in Section 7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8" w:name="page69"/>
    <w:bookmarkEnd w:id="68"/>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 and Payment</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477"/>
        <w:spacing w:after="0" w:line="268"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u w:val="single" w:color="auto"/>
          <w:color w:val="auto"/>
        </w:rPr>
        <w:t>Delivery</w:t>
      </w:r>
      <w:r>
        <w:rPr>
          <w:rFonts w:ascii="Arial" w:cs="Arial" w:eastAsia="Arial" w:hAnsi="Arial"/>
          <w:sz w:val="17"/>
          <w:szCs w:val="17"/>
          <w:color w:val="auto"/>
        </w:rPr>
        <w:t>. To exercise the Option, the Optionee must deliver a completed copy of the Option Exercise Form,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herein by reference, to the address indicated on such Form or such other address designated by the Company from time to time. The Committee may establish a minimum number of Shares (e.g., 100) for which the Option may be exercised at a particular time. Contemporaneously with the delivery of the Option Exercise Form, the Optionee shall tender to the Company the aggregate Option Exercise Price for the Shares as to which the Optionee is exercising the Option by (i) cash, check, or wire transfer, (ii) delivering or properly attesting to ownership of Shares with a Fair Market Value at the date of exercise equal to the aggregate Option Exercise Price for the Shares as to which the Optionee is exercising the Option, (iii) a broker-assisted cashless exercise transaction through a brokerage firm designated by the Optionee, or (iv) or by such other method of payment as may be acceptable to the Committee pursuant to the Plan. The Company shall deliver to the Optionee certificates evidencing the Shares as to which the Option was exercised within thirty (30) days of the date on which the Optionee delivers the Option Exercise Form and makes payment of the aggregate Option Exercise Price to the Company or shall make such Shares available for electronic delivery in the U.S. to an account the Optionee designates in writing within three (3) business days after the date on which the Optionee delivers the Option Exercise Form and makes payment of the aggregate Option Exercise Price to the Company, and in either case such Shares shall be free and clear of all liens, security interests, pledges or other claims or charges, except those provided in this Agreement or the Plan, or any other agreement affecting the Shares. Notwithstanding the foregoing, if the Optionee is a non-exempt employee for purposes of the Fair Labor Standards Act of 1938, the Optionee may not exercise any Option prior to the date that is six (6) months after the Date of Grant unless the Optionee’s employment has terminated due to death, Disability, or Retirement after the Date of Grant.</w:t>
      </w:r>
    </w:p>
    <w:p>
      <w:pPr>
        <w:spacing w:after="0" w:line="210"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The Optionee shall not be deemed to be the holder of, or to have any of the rights of a holder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 (iii) the Optionee’s name shall have been entered as a shareholder of record on the books of the Company, whereupon the Optionee shall have full voting and other ownership rights with respect to such Shares, subject to divestment pursuant to Section 13.</w:t>
      </w:r>
    </w:p>
    <w:p>
      <w:pPr>
        <w:spacing w:after="0" w:line="195"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2" w:lineRule="exact"/>
        <w:rPr>
          <w:sz w:val="20"/>
          <w:szCs w:val="20"/>
          <w:color w:val="auto"/>
        </w:rPr>
      </w:pPr>
    </w:p>
    <w:p>
      <w:pPr>
        <w:jc w:val="both"/>
        <w:ind w:firstLine="490"/>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the Optionee’s employment is terminated by the Company for Cause, the outstanding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immediately, and the Optionee’s right to exercise the outstanding Option (whether vested or not vested) shall terminate immediately upon the date of the Optionee’s termination of employment.</w:t>
      </w:r>
    </w:p>
    <w:p>
      <w:pPr>
        <w:spacing w:after="0" w:line="20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6" w:lineRule="exact"/>
        <w:rPr>
          <w:sz w:val="20"/>
          <w:szCs w:val="20"/>
          <w:color w:val="auto"/>
        </w:rPr>
      </w:pPr>
    </w:p>
    <w:p>
      <w:pPr>
        <w:jc w:val="both"/>
        <w:ind w:firstLine="1256"/>
        <w:spacing w:after="0" w:line="297" w:lineRule="auto"/>
        <w:tabs>
          <w:tab w:leader="none" w:pos="193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Optionee’s employment with the Company and any Subsidiary is terminated involuntarily by the Company without Cause or is terminated by the Optionee for Good Reason (as defined in subsection (2) below), the Option shall continue to vest in accordance with the original vesting schedule set forth in this Agreement (just as if the Optionee had remained employed) and shall remain exercisable at any time prior to the expiration of the term of the Option. In the event of the Optionee’s death after a termination covered by this subsection 5.2, the Option shall continue to vest and be exercisable in accordance with this subsection 5.2 as if the Optionee had lived and the Option shall be exercisable by the persons described in Section 5.4.</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jc w:val="both"/>
        <w:ind w:firstLine="1212"/>
        <w:spacing w:after="0" w:line="312" w:lineRule="auto"/>
        <w:tabs>
          <w:tab w:leader="none" w:pos="1915"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purposes of this Option, the Optionee shall be entitled to terminate his employment with the Company for Good Reason in the event, without the Optionee’s express written consent, of any one of the following acts by the Company, or failures by the Company to act, unless, in the case of any act or failure to act described in paragraphs (i), (iii), or (iv) below, such act or failure to act is corrected prior to the Optionee’s date of termination:</w:t>
      </w:r>
    </w:p>
    <w:p>
      <w:pPr>
        <w:spacing w:after="0" w:line="146" w:lineRule="exact"/>
        <w:rPr>
          <w:rFonts w:ascii="Arial" w:cs="Arial" w:eastAsia="Arial" w:hAnsi="Arial"/>
          <w:sz w:val="16"/>
          <w:szCs w:val="16"/>
          <w:color w:val="auto"/>
        </w:rPr>
      </w:pPr>
    </w:p>
    <w:p>
      <w:pPr>
        <w:ind w:left="2340" w:hanging="617"/>
        <w:spacing w:after="0"/>
        <w:tabs>
          <w:tab w:leader="none" w:pos="2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material reduction in the Optionee’s responsibilities at the Company; or</w:t>
      </w:r>
    </w:p>
    <w:p>
      <w:pPr>
        <w:spacing w:after="0" w:line="225" w:lineRule="exact"/>
        <w:rPr>
          <w:rFonts w:ascii="Arial" w:cs="Arial" w:eastAsia="Arial" w:hAnsi="Arial"/>
          <w:sz w:val="18"/>
          <w:szCs w:val="18"/>
          <w:color w:val="auto"/>
        </w:rPr>
      </w:pPr>
    </w:p>
    <w:p>
      <w:pPr>
        <w:ind w:left="2340" w:hanging="617"/>
        <w:spacing w:after="0"/>
        <w:tabs>
          <w:tab w:leader="none" w:pos="2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required relocation of the Optionee’s employment to a location outside of the market area of the Company; or</w:t>
      </w:r>
    </w:p>
    <w:p>
      <w:pPr>
        <w:spacing w:after="0" w:line="225" w:lineRule="exact"/>
        <w:rPr>
          <w:rFonts w:ascii="Arial" w:cs="Arial" w:eastAsia="Arial" w:hAnsi="Arial"/>
          <w:sz w:val="18"/>
          <w:szCs w:val="18"/>
          <w:color w:val="auto"/>
        </w:rPr>
      </w:pPr>
    </w:p>
    <w:p>
      <w:pPr>
        <w:ind w:left="1040" w:firstLine="793"/>
        <w:spacing w:after="0" w:line="277" w:lineRule="auto"/>
        <w:tabs>
          <w:tab w:leader="none" w:pos="2513" w:val="left"/>
        </w:tabs>
        <w:numPr>
          <w:ilvl w:val="3"/>
          <w:numId w:val="68"/>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Optionee under the Company’s director and officer liability insurance policy or indemnification commitments; or</w:t>
      </w:r>
    </w:p>
    <w:p>
      <w:pPr>
        <w:spacing w:after="0" w:line="170" w:lineRule="exact"/>
        <w:rPr>
          <w:rFonts w:ascii="Arial" w:cs="Arial" w:eastAsia="Arial" w:hAnsi="Arial"/>
          <w:sz w:val="18"/>
          <w:szCs w:val="18"/>
          <w:color w:val="auto"/>
        </w:rPr>
      </w:pPr>
    </w:p>
    <w:p>
      <w:pPr>
        <w:jc w:val="both"/>
        <w:ind w:left="1040" w:firstLine="742"/>
        <w:spacing w:after="0" w:line="312" w:lineRule="auto"/>
        <w:tabs>
          <w:tab w:leader="none" w:pos="2425" w:val="left"/>
        </w:tabs>
        <w:numPr>
          <w:ilvl w:val="2"/>
          <w:numId w:val="68"/>
        </w:numPr>
        <w:rPr>
          <w:rFonts w:ascii="Arial" w:cs="Arial" w:eastAsia="Arial" w:hAnsi="Arial"/>
          <w:sz w:val="16"/>
          <w:szCs w:val="16"/>
          <w:color w:val="auto"/>
        </w:rPr>
      </w:pPr>
      <w:r>
        <w:rPr>
          <w:rFonts w:ascii="Arial" w:cs="Arial" w:eastAsia="Arial" w:hAnsi="Arial"/>
          <w:sz w:val="16"/>
          <w:szCs w:val="16"/>
          <w:color w:val="auto"/>
        </w:rPr>
        <w:t>a substantial reduction in the Optionee’s base salary, a material reduction in his incentive compensation or the taking of any action by the Company which would, directly or indirectly, materially reduce any of the benefits provided to the Optionee under any of the Company’s pension, 401(k) deferred compensation, life insurance, medical, accident or disability plans in which the Optionee is participating.</w:t>
      </w:r>
    </w:p>
    <w:p>
      <w:pPr>
        <w:spacing w:after="0" w:line="174" w:lineRule="exact"/>
        <w:rPr>
          <w:sz w:val="20"/>
          <w:szCs w:val="20"/>
          <w:color w:val="auto"/>
        </w:rPr>
      </w:pPr>
    </w:p>
    <w:p>
      <w:pPr>
        <w:jc w:val="both"/>
        <w:ind w:firstLine="1206"/>
        <w:spacing w:after="0" w:line="264" w:lineRule="auto"/>
        <w:rPr>
          <w:sz w:val="20"/>
          <w:szCs w:val="20"/>
          <w:color w:val="auto"/>
        </w:rPr>
      </w:pPr>
      <w:r>
        <w:rPr>
          <w:rFonts w:ascii="Arial" w:cs="Arial" w:eastAsia="Arial" w:hAnsi="Arial"/>
          <w:sz w:val="18"/>
          <w:szCs w:val="18"/>
          <w:color w:val="auto"/>
        </w:rPr>
        <w:t>The Optionee’s right to terminate employment for Good Reason shall not be affected by the Optionee’s incapacity due to physical or mental illness, except for a Disability as defined in the Plan. The Optionee’s continued employment shall not constitute consent to, or a waiver of rights with respect to, any act or failure to act constituting Good Reason hereunder.</w:t>
      </w:r>
    </w:p>
    <w:p>
      <w:pPr>
        <w:spacing w:after="0" w:line="204" w:lineRule="exact"/>
        <w:rPr>
          <w:sz w:val="20"/>
          <w:szCs w:val="20"/>
          <w:color w:val="auto"/>
        </w:rPr>
      </w:pPr>
    </w:p>
    <w:p>
      <w:pPr>
        <w:jc w:val="both"/>
        <w:ind w:firstLine="1202"/>
        <w:spacing w:after="0" w:line="31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Termination of Employment Following a Change in Control When Eligible for Retirement</w:t>
      </w:r>
      <w:r>
        <w:rPr>
          <w:rFonts w:ascii="Arial" w:cs="Arial" w:eastAsia="Arial" w:hAnsi="Arial"/>
          <w:sz w:val="16"/>
          <w:szCs w:val="16"/>
          <w:color w:val="auto"/>
        </w:rPr>
        <w:t>. If the Optionee’s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terminated following a Change in Control and the Optionee is eligible for Retirement as of the date of such termination, the outstanding unvested portion of the Option shall immediately vest and the Option shall remain exercisable at any time prior to the expiration of the term of the Option.</w:t>
      </w:r>
    </w:p>
    <w:p>
      <w:pPr>
        <w:spacing w:after="0" w:line="169" w:lineRule="exact"/>
        <w:rPr>
          <w:sz w:val="20"/>
          <w:szCs w:val="20"/>
          <w:color w:val="auto"/>
        </w:rPr>
      </w:pPr>
    </w:p>
    <w:p>
      <w:pPr>
        <w:jc w:val="both"/>
        <w:ind w:firstLine="1148"/>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Termination of Employment Due to Death</w:t>
      </w:r>
      <w:r>
        <w:rPr>
          <w:rFonts w:ascii="Arial" w:cs="Arial" w:eastAsia="Arial" w:hAnsi="Arial"/>
          <w:sz w:val="18"/>
          <w:szCs w:val="18"/>
          <w:color w:val="auto"/>
        </w:rPr>
        <w:t>. If the Optionee dies while actively employed by the Company, the outstanding unvested</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Option shall immediately vest, and thereafter the Option shall remain exercisable at any time prior to its expiration date or for one (1) year after the date of death, whichever period is shorter, (i) by such person(s) who have acquired the Optionee’s rights by will or the laws of descent and distribution, or (ii) if no such person in (i) exists, by the executor or representative of the Optionee’s estate.</w:t>
      </w:r>
    </w:p>
    <w:p>
      <w:pPr>
        <w:spacing w:after="0" w:line="207" w:lineRule="exact"/>
        <w:rPr>
          <w:sz w:val="20"/>
          <w:szCs w:val="20"/>
          <w:color w:val="auto"/>
        </w:rPr>
      </w:pPr>
    </w:p>
    <w:p>
      <w:pPr>
        <w:jc w:val="both"/>
        <w:ind w:firstLine="1229"/>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Termination of Employment by Disability</w:t>
      </w:r>
      <w:r>
        <w:rPr>
          <w:rFonts w:ascii="Arial" w:cs="Arial" w:eastAsia="Arial" w:hAnsi="Arial"/>
          <w:sz w:val="18"/>
          <w:szCs w:val="18"/>
          <w:color w:val="auto"/>
        </w:rPr>
        <w:t>. In the event the employment of the Optionee is terminated by reason of Disability,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unvested portion of the Option shall expire as of the date the Committee determines the definition of Disability to have been satisfied by the Optionee, and the outstanding vested portion of the Option as of that date shall remain exercisable at any time prior to its expiration date, or for one (1) year after the Committee’s determination of Disability, whichever period is shorter.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jc w:val="both"/>
        <w:ind w:firstLine="450"/>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Voluntary Termination of Employment or Retirement</w:t>
      </w:r>
      <w:r>
        <w:rPr>
          <w:rFonts w:ascii="Arial" w:cs="Arial" w:eastAsia="Arial" w:hAnsi="Arial"/>
          <w:sz w:val="18"/>
          <w:szCs w:val="18"/>
          <w:color w:val="auto"/>
        </w:rPr>
        <w:t>. If the Optionee voluntarily terminates his or her employment with the Company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Good Reason), including upon Retirement that does not follow a Change in Control, the outstanding unvested portion of the Option shall expire as of the date of termination of employment, and the vested portion of the Option as of the date of termination of employment shall remain exercisable (i) if the Optionee is not eligible for Retirement as of the date of such termination, at any time prior to its expiration date or for three (3) months after the date of termination of employment, whichever period is shorter, or (ii) if the Optionee is eligible for Retirement as of the date of such termination, at any time prior to its expiration date.</w:t>
      </w:r>
    </w:p>
    <w:p>
      <w:pPr>
        <w:spacing w:after="0" w:line="215"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7"/>
          <w:szCs w:val="17"/>
          <w:b w:val="1"/>
          <w:bCs w:val="1"/>
          <w:color w:val="auto"/>
        </w:rPr>
        <w:t xml:space="preserve">5.7 </w:t>
      </w:r>
      <w:r>
        <w:rPr>
          <w:rFonts w:ascii="Arial" w:cs="Arial" w:eastAsia="Arial" w:hAnsi="Arial"/>
          <w:sz w:val="17"/>
          <w:szCs w:val="17"/>
          <w:u w:val="single" w:color="auto"/>
          <w:color w:val="auto"/>
        </w:rPr>
        <w:t>Employment by Subsidiary</w:t>
      </w:r>
      <w:r>
        <w:rPr>
          <w:rFonts w:ascii="Arial" w:cs="Arial" w:eastAsia="Arial" w:hAnsi="Arial"/>
          <w:sz w:val="17"/>
          <w:szCs w:val="17"/>
          <w:color w:val="auto"/>
        </w:rPr>
        <w:t>. For purposes of this Section and Sections 8 and 13, employment with the Company includes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Subsidiary or service as a member of the Board of Directors of the Company or a Subsidiary. A change of employment between the Company and any Subsidiary or between Subsidiaries or a change in the nature of the Optionee’s service relationship with the Company and the Subsidiaries (e.g., from employee to Director) without any interruption in the Optionee’s provision of services is not a termination of employment under this Agreement.</w:t>
      </w:r>
    </w:p>
    <w:p>
      <w:pPr>
        <w:spacing w:after="0" w:line="192"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5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Option shall not be transferable other than by will or by the laws of descent and distribution and during the lifetime of the Optionee. The Option shall be exercisable only by the Optionee except as provided in Section 5.4.</w:t>
      </w:r>
    </w:p>
    <w:p>
      <w:pPr>
        <w:spacing w:after="0" w:line="193"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Restrictions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512"/>
        <w:spacing w:after="0" w:line="271" w:lineRule="auto"/>
        <w:rPr>
          <w:sz w:val="20"/>
          <w:szCs w:val="20"/>
          <w:color w:val="auto"/>
        </w:rPr>
      </w:pPr>
      <w:r>
        <w:rPr>
          <w:rFonts w:ascii="Arial" w:cs="Arial" w:eastAsia="Arial" w:hAnsi="Arial"/>
          <w:sz w:val="17"/>
          <w:szCs w:val="17"/>
          <w:color w:val="auto"/>
        </w:rPr>
        <w:t>The Option may not be exercised at any time unless, in the opinion of counsel for the Company, the issuance and sale of the Shares issued upon such exercise is exempt from registration under the Securities Act of 1933, as amended, or any other applicable federal or state securities law, rule or regulation, or the Shares have been duly registered under such laws. The Company intends to register the Shares issuable upon the exercise of the Option; however, until the Shares have been registered under all applicable laws, the Optionee shall represent, warrant and agree, as a condition to the exercise of any Option, that the Shares are being purchased for investment only and without a view to any sale or distribution of such Shares and that such Shares shall not be transferred or disposed of in any manner without registration under such laws, unless it is the opinion of counsel for the Company that such a disposition is exempt from such registration. The Optionee acknowledges that an appropriate legend giving notice of the foregoing restrictions may appear conspicuously on all certificates evidencing the Shares issued upon the exercise of the Option.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1" w:name="page72"/>
    <w:bookmarkEnd w:id="71"/>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716"/>
        <w:spacing w:after="0" w:line="264" w:lineRule="auto"/>
        <w:rPr>
          <w:sz w:val="20"/>
          <w:szCs w:val="20"/>
          <w:color w:val="auto"/>
        </w:rPr>
      </w:pPr>
      <w:r>
        <w:rPr>
          <w:rFonts w:ascii="Arial" w:cs="Arial" w:eastAsia="Arial" w:hAnsi="Arial"/>
          <w:sz w:val="18"/>
          <w:szCs w:val="18"/>
          <w:color w:val="auto"/>
        </w:rPr>
        <w:t>Nothing in this Agreement or the Plan shall be interpreted or construed to confer upon the Optionee any right with respect to continuance of employment by the Company or any Subsidiary, nor shall this Agreement or the Plan interfere in any way with the right of the Company or a Subsidiary to terminate the Optionee’s employment at any time.</w:t>
      </w:r>
    </w:p>
    <w:p>
      <w:pPr>
        <w:spacing w:after="0" w:line="204"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w:t>
      </w:r>
    </w:p>
    <w:p>
      <w:pPr>
        <w:spacing w:after="0" w:line="256" w:lineRule="exact"/>
        <w:rPr>
          <w:sz w:val="20"/>
          <w:szCs w:val="20"/>
          <w:color w:val="auto"/>
        </w:rPr>
      </w:pPr>
    </w:p>
    <w:p>
      <w:pPr>
        <w:ind w:firstLine="544"/>
        <w:spacing w:after="0" w:line="277" w:lineRule="auto"/>
        <w:rPr>
          <w:sz w:val="20"/>
          <w:szCs w:val="20"/>
          <w:color w:val="auto"/>
        </w:rPr>
      </w:pPr>
      <w:r>
        <w:rPr>
          <w:rFonts w:ascii="Arial" w:cs="Arial" w:eastAsia="Arial" w:hAnsi="Arial"/>
          <w:sz w:val="18"/>
          <w:szCs w:val="18"/>
          <w:color w:val="auto"/>
        </w:rPr>
        <w:t>In the event of a change in capitalization, the Committee shall make appropriate adjustments in accordance with the provisions of Section 4.3 of the Plan. The adjustment shall be effective and final, binding and conclusive for all purposes of the Plan and this Agreement.</w:t>
      </w:r>
    </w:p>
    <w:p>
      <w:pPr>
        <w:spacing w:after="0" w:line="193"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508"/>
        <w:spacing w:after="0" w:line="291"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color w:val="auto"/>
        </w:rPr>
        <w:t>Prior to the issuance of Shares to the Optionee upon exercise of the Option, the Optionee shall pay the federal, state, and local income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amounts as may be required by law to be withheld (the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(if any) to the Company in cash or by check or wire transfer. In satisfaction of the Withholding Taxes, the Optionee may make a written election (the “Tax Election”) to satisfy such withholding obligation by a broker-assisted cashless exercise transaction through a brokerage firm designated by the Optionee, by delivering Shares (that have been owned by the Optionee for at least six (6) months or such other period as may be required by the Committee) or by having the Company retain from the Shares to be delivered a number of Shares having an aggregate Fair Market Value equal to the Withholding Taxes, provided that, if the Optionee may be subject to liability under Section 16(b) of the Exchange Act, the election must comply with the requirements applicable to Share transactions by the Optionee. The Company shall have the right to deduct from any amounts payable to the Optionee for salary, bonuses or otherwise an amount equal to Withholding Taxes with respect to the Option.</w:t>
      </w:r>
    </w:p>
    <w:p>
      <w:pPr>
        <w:spacing w:after="0" w:line="187"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color w:val="auto"/>
        </w:rPr>
        <w:t>If the Optionee makes a disposition, within the meaning of Section 424(c) of the Code and regulations promulgated thereunder, of any Share</w:t>
      </w:r>
      <w:r>
        <w:rPr>
          <w:rFonts w:ascii="Arial" w:cs="Arial" w:eastAsia="Arial" w:hAnsi="Arial"/>
          <w:sz w:val="16"/>
          <w:szCs w:val="16"/>
          <w:b w:val="1"/>
          <w:bCs w:val="1"/>
          <w:color w:val="auto"/>
        </w:rPr>
        <w:t xml:space="preserve"> </w:t>
      </w:r>
      <w:r>
        <w:rPr>
          <w:rFonts w:ascii="Arial" w:cs="Arial" w:eastAsia="Arial" w:hAnsi="Arial"/>
          <w:sz w:val="16"/>
          <w:szCs w:val="16"/>
          <w:color w:val="auto"/>
        </w:rPr>
        <w:t>or Shares issued to him pursuant to his exercise of the Option within the two-year period commencing on the day after the Date of Grant or within the one-year period commencing on the day after the date of transfer of such Share or Shares to the Optionee pursuant to such exercise, the Optionee shall, within ten</w:t>
      </w:r>
    </w:p>
    <w:p>
      <w:pPr>
        <w:spacing w:after="0" w:line="2" w:lineRule="exact"/>
        <w:rPr>
          <w:sz w:val="20"/>
          <w:szCs w:val="20"/>
          <w:color w:val="auto"/>
        </w:rPr>
      </w:pPr>
    </w:p>
    <w:p>
      <w:pPr>
        <w:ind w:right="20" w:firstLine="8"/>
        <w:spacing w:after="0" w:line="261" w:lineRule="auto"/>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days of such disposition, notify the Company thereof, by delivery of written notice to the Company at its principal executive office, and immediately deliver to the Company the amount of Withholding Taxes.</w:t>
      </w:r>
    </w:p>
    <w:p>
      <w:pPr>
        <w:spacing w:after="0" w:line="207"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 Bound by the Plan</w:t>
      </w:r>
      <w:r>
        <w:rPr>
          <w:rFonts w:ascii="Arial" w:cs="Arial" w:eastAsia="Arial" w:hAnsi="Arial"/>
          <w:sz w:val="18"/>
          <w:szCs w:val="18"/>
          <w:b w:val="1"/>
          <w:bCs w:val="1"/>
          <w:color w:val="auto"/>
        </w:rPr>
        <w: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Optionee hereby acknowledges receipt of a copy of the Plan and agrees to be bound by all the terms and provisions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2" w:name="page73"/>
    <w:bookmarkEnd w:id="72"/>
    <w:p>
      <w:pPr>
        <w:ind w:left="540" w:hanging="532"/>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firstLine="548"/>
        <w:spacing w:after="0" w:line="277" w:lineRule="auto"/>
        <w:rPr>
          <w:sz w:val="20"/>
          <w:szCs w:val="20"/>
          <w:color w:val="auto"/>
        </w:rPr>
      </w:pPr>
      <w:r>
        <w:rPr>
          <w:rFonts w:ascii="Arial" w:cs="Arial" w:eastAsia="Arial" w:hAnsi="Arial"/>
          <w:sz w:val="18"/>
          <w:szCs w:val="18"/>
          <w:color w:val="auto"/>
        </w:rPr>
        <w:t>Except as expressly otherwise provided herein, this Agreement may not be modified, amended, suspended or terminated, and any terms or conditions may not be waived, except by a written instrument executed by the parties hereto.</w:t>
      </w:r>
    </w:p>
    <w:p>
      <w:pPr>
        <w:spacing w:after="0" w:line="193"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Rescission of Awards; Return of Profits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75"/>
        <w:spacing w:after="0" w:line="25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If, during his employment with the Company or at any time during the one (1) year period after the Date of Termination,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violates the restrictive covenants set forth in Section 13.2 below, then the Committee shall, notwithstanding any other provision in this Agreement to the contrary, (i) cancel any outstanding portion of the Option (whether or not vested), and (ii) repurchase any Shares issued to the Optionee pursuant to exercise of the Option during the period six (6) months prior to and one (1) year after the Date of Termination at a per Share repurchase price equal to the Option Exercise Price, and require the Optionee to pay to the Company any gain realized by Optionee from the sale of Shares issued to the Optionee pursuant to exercise of the Option during such period.</w:t>
      </w:r>
    </w:p>
    <w:p>
      <w:pPr>
        <w:spacing w:after="0" w:line="215"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Optionee will not directly or indirectly, individually, or on behalf of any Person other than the Company or a Subsidiary:</w:t>
      </w:r>
    </w:p>
    <w:p>
      <w:pPr>
        <w:spacing w:after="0" w:line="256" w:lineRule="exact"/>
        <w:rPr>
          <w:sz w:val="20"/>
          <w:szCs w:val="20"/>
          <w:color w:val="auto"/>
        </w:rPr>
      </w:pPr>
    </w:p>
    <w:p>
      <w:pPr>
        <w:ind w:left="1840" w:hanging="617"/>
        <w:spacing w:after="0"/>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solicit any Customers for the purpose of providing services identical to or reasonably substitutable for the Company’s Business;</w:t>
      </w:r>
    </w:p>
    <w:p>
      <w:pPr>
        <w:spacing w:after="0" w:line="263" w:lineRule="exact"/>
        <w:rPr>
          <w:rFonts w:ascii="Arial" w:cs="Arial" w:eastAsia="Arial" w:hAnsi="Arial"/>
          <w:sz w:val="17"/>
          <w:szCs w:val="17"/>
          <w:color w:val="auto"/>
        </w:rPr>
      </w:pPr>
    </w:p>
    <w:p>
      <w:pPr>
        <w:ind w:firstLine="1351"/>
        <w:spacing w:after="0" w:line="277" w:lineRule="auto"/>
        <w:tabs>
          <w:tab w:leader="none" w:pos="2011" w:val="left"/>
        </w:tabs>
        <w:numPr>
          <w:ilvl w:val="1"/>
          <w:numId w:val="78"/>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sz w:val="20"/>
          <w:szCs w:val="20"/>
          <w:color w:val="auto"/>
        </w:rPr>
      </w:pPr>
    </w:p>
    <w:p>
      <w:pPr>
        <w:ind w:left="1860" w:hanging="637"/>
        <w:spacing w:after="0"/>
        <w:tabs>
          <w:tab w:leader="none" w:pos="1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1840" w:hanging="617"/>
        <w:spacing w:after="0"/>
        <w:tabs>
          <w:tab w:leader="none" w:pos="18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sz w:val="20"/>
          <w:szCs w:val="20"/>
          <w:color w:val="auto"/>
        </w:rPr>
      </w:pPr>
    </w:p>
    <w:p>
      <w:pPr>
        <w:jc w:val="both"/>
        <w:ind w:firstLine="1264"/>
        <w:spacing w:after="0" w:line="264" w:lineRule="auto"/>
        <w:tabs>
          <w:tab w:leader="none" w:pos="1884" w:val="left"/>
        </w:tabs>
        <w:numPr>
          <w:ilvl w:val="0"/>
          <w:numId w:val="80"/>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Optionee further agrees that he or she will not, except as necessary to carry out his duties as an employee of the Company, disclose or use Confidential Information. The Optionee further agrees that, upon termination or expiration of employment with the Company for any reason whatsoever or at any time, the Optionee will upon request by the Company deliver promptly to the Company all materials (including electronically-stored materials), documents, plans, records, notes, or other papers, and any copies in the Optionee’s possession or control, relating in any way to the Company’s Business, which at all times shall be the property of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3" w:name="page74"/>
    <w:bookmarkEnd w:id="73"/>
    <w:p>
      <w:pPr>
        <w:ind w:left="460"/>
        <w:spacing w:after="0"/>
        <w:tabs>
          <w:tab w:leader="none" w:pos="10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For purposes of this Section 13, the following terms shall have the meanings specified below:</w:t>
      </w:r>
    </w:p>
    <w:p>
      <w:pPr>
        <w:spacing w:after="0" w:line="256" w:lineRule="exact"/>
        <w:rPr>
          <w:sz w:val="20"/>
          <w:szCs w:val="20"/>
          <w:color w:val="auto"/>
        </w:rPr>
      </w:pPr>
    </w:p>
    <w:p>
      <w:pPr>
        <w:ind w:right="20" w:firstLine="1217"/>
        <w:spacing w:after="0" w:line="277" w:lineRule="auto"/>
        <w:tabs>
          <w:tab w:leader="none" w:pos="1844"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firstLine="1278"/>
        <w:spacing w:after="0" w:line="254" w:lineRule="auto"/>
        <w:tabs>
          <w:tab w:leader="none" w:pos="193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information, without regard to form, relating to the Company’s or any Subsidiary’s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19" w:lineRule="exact"/>
        <w:rPr>
          <w:rFonts w:ascii="Arial" w:cs="Arial" w:eastAsia="Arial" w:hAnsi="Arial"/>
          <w:sz w:val="18"/>
          <w:szCs w:val="18"/>
          <w:color w:val="auto"/>
        </w:rPr>
      </w:pPr>
    </w:p>
    <w:p>
      <w:pPr>
        <w:jc w:val="both"/>
        <w:ind w:firstLine="1281"/>
        <w:spacing w:after="0" w:line="286" w:lineRule="auto"/>
        <w:tabs>
          <w:tab w:leader="none" w:pos="1935" w:val="left"/>
        </w:tabs>
        <w:numPr>
          <w:ilvl w:val="1"/>
          <w:numId w:val="81"/>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all Persons that (1) the Optionee serviced or solicited on behalf of the Company or any Subsidiary, (2) whose</w:t>
      </w:r>
      <w:r>
        <w:rPr>
          <w:rFonts w:ascii="Arial" w:cs="Arial" w:eastAsia="Arial" w:hAnsi="Arial"/>
          <w:sz w:val="17"/>
          <w:szCs w:val="17"/>
          <w:i w:val="1"/>
          <w:iCs w:val="1"/>
          <w:color w:val="auto"/>
        </w:rPr>
        <w:t xml:space="preserve"> </w:t>
      </w:r>
      <w:r>
        <w:rPr>
          <w:rFonts w:ascii="Arial" w:cs="Arial" w:eastAsia="Arial" w:hAnsi="Arial"/>
          <w:sz w:val="17"/>
          <w:szCs w:val="17"/>
          <w:color w:val="auto"/>
        </w:rPr>
        <w:t>dealings with the Company or any Subsidiary were coordinated or supervised, in whole or in part, by the Optionee, or (3) about whom the Optionee obtained Confidential Information, in each case during the term of this Agreement or while otherwise employed by the Company.</w:t>
      </w:r>
    </w:p>
    <w:p>
      <w:pPr>
        <w:spacing w:after="0" w:line="193" w:lineRule="exact"/>
        <w:rPr>
          <w:sz w:val="20"/>
          <w:szCs w:val="20"/>
          <w:color w:val="auto"/>
        </w:rPr>
      </w:pPr>
    </w:p>
    <w:p>
      <w:pPr>
        <w:ind w:left="1800" w:hanging="622"/>
        <w:spacing w:after="0"/>
        <w:tabs>
          <w:tab w:leader="none" w:pos="180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Date of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date upon which the Optionee’s employment with the Company ceases for any reason.</w:t>
      </w:r>
    </w:p>
    <w:p>
      <w:pPr>
        <w:spacing w:after="0" w:line="264" w:lineRule="exact"/>
        <w:rPr>
          <w:sz w:val="20"/>
          <w:szCs w:val="20"/>
          <w:color w:val="auto"/>
        </w:rPr>
      </w:pPr>
    </w:p>
    <w:p>
      <w:pPr>
        <w:ind w:firstLine="1209"/>
        <w:spacing w:after="0" w:line="277" w:lineRule="auto"/>
        <w:tabs>
          <w:tab w:leader="none" w:pos="17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individual, corporation, bank, partnership, joint venture, association, joint-stock company,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or other entity.</w:t>
      </w:r>
    </w:p>
    <w:p>
      <w:pPr>
        <w:spacing w:after="0" w:line="197" w:lineRule="exact"/>
        <w:rPr>
          <w:rFonts w:ascii="Arial" w:cs="Arial" w:eastAsia="Arial" w:hAnsi="Arial"/>
          <w:sz w:val="18"/>
          <w:szCs w:val="18"/>
          <w:color w:val="auto"/>
        </w:rPr>
      </w:pPr>
    </w:p>
    <w:p>
      <w:pPr>
        <w:ind w:firstLine="1209"/>
        <w:spacing w:after="0" w:line="277" w:lineRule="auto"/>
        <w:tabs>
          <w:tab w:leader="none" w:pos="183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sz w:val="20"/>
          <w:szCs w:val="20"/>
          <w:color w:val="auto"/>
        </w:rPr>
      </w:pPr>
    </w:p>
    <w:p>
      <w:pPr>
        <w:ind w:left="540" w:hanging="532"/>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93" w:lineRule="exact"/>
        <w:rPr>
          <w:sz w:val="20"/>
          <w:szCs w:val="20"/>
          <w:color w:val="auto"/>
        </w:rPr>
      </w:pPr>
    </w:p>
    <w:p>
      <w:pPr>
        <w:ind w:left="540" w:hanging="532"/>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56" w:lineRule="exact"/>
        <w:rPr>
          <w:sz w:val="20"/>
          <w:szCs w:val="20"/>
          <w:color w:val="auto"/>
        </w:rPr>
      </w:pPr>
    </w:p>
    <w:p>
      <w:pPr>
        <w:ind w:firstLine="605"/>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United States and the laws of the State of Georgia without giving effect to the conflicts of laws principles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p>
      <w:pPr>
        <w:ind w:left="540" w:hanging="532"/>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727"/>
        <w:spacing w:after="0" w:line="302" w:lineRule="auto"/>
        <w:rPr>
          <w:sz w:val="20"/>
          <w:szCs w:val="20"/>
          <w:color w:val="auto"/>
        </w:rPr>
      </w:pPr>
      <w:r>
        <w:rPr>
          <w:rFonts w:ascii="Arial" w:cs="Arial" w:eastAsia="Arial" w:hAnsi="Arial"/>
          <w:sz w:val="16"/>
          <w:szCs w:val="16"/>
          <w:color w:val="auto"/>
        </w:rPr>
        <w:t>This Agreement shall be binding upon, and inure to the benefit of, the Company and its successors and assigns, and upon any person acquiring, whether by merger, consolidation, reorganization, purchase of stock or assets, or otherwise, all or substantially all of the Company’s assets and business. This Agreement shall inure to the benefit of the Optionee’s heirs and legal representatives. All obligations imposed upon the Optionee and all rights granted to the Company under this Agreement shall be final, binding and conclusive upon the Optionee’s heirs, executors, administrators and successors.</w:t>
      </w:r>
    </w:p>
    <w:p>
      <w:pPr>
        <w:spacing w:after="0" w:line="177" w:lineRule="exact"/>
        <w:rPr>
          <w:sz w:val="20"/>
          <w:szCs w:val="20"/>
          <w:color w:val="auto"/>
        </w:rPr>
      </w:pPr>
    </w:p>
    <w:p>
      <w:pPr>
        <w:ind w:left="540" w:hanging="532"/>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56" w:lineRule="exact"/>
        <w:rPr>
          <w:sz w:val="20"/>
          <w:szCs w:val="20"/>
          <w:color w:val="auto"/>
        </w:rPr>
      </w:pPr>
    </w:p>
    <w:p>
      <w:pPr>
        <w:ind w:firstLine="599"/>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Resolution of Disputes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Any dispute or disagreement which may arise under, or as a result of, or in any way relate to, the interpretation, construction or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and the Plan shall be determined by the Committee. Any determination made by the Committee shall be final, binding and conclusive on the Optionee and the Company and their successors, assigns, heirs, executors, administrators and legal representatives for all purposes.</w:t>
      </w:r>
    </w:p>
    <w:p>
      <w:pPr>
        <w:spacing w:after="0" w:line="185"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b w:val="1"/>
          <w:bCs w:val="1"/>
          <w:color w:val="auto"/>
        </w:rPr>
        <w:t xml:space="preserve">18.2 </w:t>
      </w:r>
      <w:r>
        <w:rPr>
          <w:rFonts w:ascii="Arial" w:cs="Arial" w:eastAsia="Arial" w:hAnsi="Arial"/>
          <w:sz w:val="17"/>
          <w:szCs w:val="17"/>
          <w:color w:val="auto"/>
        </w:rPr>
        <w:t>To the extent permitted by applicable law, any dispute, disagreement or claim which may arise under, or as a result of, or in any way relate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199" w:lineRule="exact"/>
        <w:rPr>
          <w:sz w:val="20"/>
          <w:szCs w:val="20"/>
          <w:color w:val="auto"/>
        </w:rPr>
      </w:pPr>
    </w:p>
    <w:p>
      <w:pPr>
        <w:jc w:val="both"/>
        <w:ind w:firstLine="666"/>
        <w:spacing w:after="0" w:line="255" w:lineRule="auto"/>
        <w:rPr>
          <w:sz w:val="20"/>
          <w:szCs w:val="20"/>
          <w:color w:val="auto"/>
        </w:rPr>
      </w:pPr>
      <w:r>
        <w:rPr>
          <w:rFonts w:ascii="Arial" w:cs="Arial" w:eastAsia="Arial" w:hAnsi="Arial"/>
          <w:sz w:val="18"/>
          <w:szCs w:val="18"/>
          <w:b w:val="1"/>
          <w:bCs w:val="1"/>
          <w:color w:val="auto"/>
        </w:rPr>
        <w:t>18.3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5" w:name="page76"/>
    <w:bookmarkEnd w:id="75"/>
    <w:p>
      <w:pPr>
        <w:ind w:left="540" w:hanging="532"/>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Construction</w:t>
      </w:r>
      <w:r>
        <w:rPr>
          <w:rFonts w:ascii="Arial" w:cs="Arial" w:eastAsia="Arial" w:hAnsi="Arial"/>
          <w:sz w:val="18"/>
          <w:szCs w:val="18"/>
          <w:b w:val="1"/>
          <w:bCs w:val="1"/>
          <w:color w:val="auto"/>
        </w:rPr>
        <w:t>.</w:t>
      </w:r>
    </w:p>
    <w:p>
      <w:pPr>
        <w:spacing w:after="0" w:line="256" w:lineRule="exact"/>
        <w:rPr>
          <w:sz w:val="20"/>
          <w:szCs w:val="20"/>
          <w:color w:val="auto"/>
        </w:rPr>
      </w:pPr>
    </w:p>
    <w:p>
      <w:pPr>
        <w:ind w:firstLine="673"/>
        <w:spacing w:after="0" w:line="277" w:lineRule="auto"/>
        <w:rPr>
          <w:sz w:val="20"/>
          <w:szCs w:val="20"/>
          <w:color w:val="auto"/>
        </w:rPr>
      </w:pPr>
      <w:r>
        <w:rPr>
          <w:rFonts w:ascii="Arial" w:cs="Arial" w:eastAsia="Arial" w:hAnsi="Arial"/>
          <w:sz w:val="18"/>
          <w:szCs w:val="18"/>
          <w:color w:val="auto"/>
        </w:rPr>
        <w:t>The legal construction and interpretation of this Agreement (including, but not limited to, issues of gender, plural or singular, governing law and severability) shall be governed by the provisions of Article 19 of the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PAGE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UNITED COMMUNITY BANKS,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154940</wp:posOffset>
            </wp:positionV>
            <wp:extent cx="3095625" cy="6089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9562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32"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59" w:lineRule="exact"/>
        <w:rPr>
          <w:sz w:val="20"/>
          <w:szCs w:val="20"/>
          <w:color w:val="auto"/>
        </w:rPr>
      </w:pPr>
    </w:p>
    <w:p>
      <w:pPr>
        <w:jc w:val="both"/>
        <w:ind w:firstLine="480"/>
        <w:spacing w:after="0" w:line="297" w:lineRule="auto"/>
        <w:rPr>
          <w:sz w:val="20"/>
          <w:szCs w:val="20"/>
          <w:color w:val="auto"/>
        </w:rPr>
      </w:pPr>
      <w:r>
        <w:rPr>
          <w:rFonts w:ascii="Arial" w:cs="Arial" w:eastAsia="Arial" w:hAnsi="Arial"/>
          <w:sz w:val="16"/>
          <w:szCs w:val="16"/>
          <w:color w:val="auto"/>
        </w:rPr>
        <w:t>By signing below, the Optionee hereby accepts the Option subject to all its terms and provisions and agrees to be bound by the terms and provisions of this Agreement and the Plan. The Optionee hereby agrees to accept as binding, conclusive and final all decisions or interpretations of the Board of Directors of the Company, or the Compensation Committee or other Committee responsible for the administration of the Plan, upon any questions arising under the Plan. The Optionee authorizes the Company to withhold, in accordance with applicable law, from any compensation payable to him or her, any taxes required to be withheld by federal, state, local or foreign law as a result of the grant, existence or exercise of the Option, or subsequent sale of the Shares.</w:t>
      </w:r>
    </w:p>
    <w:p>
      <w:pPr>
        <w:spacing w:after="0" w:line="154"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2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FOLLOW]</w:t>
      </w:r>
    </w:p>
    <w:p>
      <w:pPr>
        <w:sectPr>
          <w:pgSz w:w="11900" w:h="16838" w:orient="portrait"/>
          <w:cols w:equalWidth="0" w:num="1">
            <w:col w:w="11420"/>
          </w:cols>
          <w:pgMar w:left="240" w:top="513"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580" w:right="100" w:firstLine="9"/>
        <w:spacing w:after="0" w:line="264" w:lineRule="auto"/>
        <w:tabs>
          <w:tab w:leader="none" w:pos="765"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firstLine="9"/>
        <w:spacing w:after="0" w:line="264" w:lineRule="auto"/>
        <w:tabs>
          <w:tab w:leader="none" w:pos="815"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firstLine="9"/>
        <w:spacing w:after="0" w:line="308" w:lineRule="auto"/>
        <w:tabs>
          <w:tab w:leader="none" w:pos="805" w:val="left"/>
        </w:tabs>
        <w:numPr>
          <w:ilvl w:val="1"/>
          <w:numId w:val="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firstLine="9"/>
        <w:spacing w:after="0" w:line="308" w:lineRule="auto"/>
        <w:tabs>
          <w:tab w:leader="none" w:pos="788" w:val="left"/>
        </w:tabs>
        <w:numPr>
          <w:ilvl w:val="1"/>
          <w:numId w:val="9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firstLine="8"/>
        <w:spacing w:after="0" w:line="277" w:lineRule="auto"/>
        <w:tabs>
          <w:tab w:leader="none" w:pos="2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580" w:right="20" w:firstLine="9"/>
        <w:spacing w:after="0" w:line="277" w:lineRule="auto"/>
        <w:tabs>
          <w:tab w:leader="none" w:pos="77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firstLine="9"/>
        <w:spacing w:after="0" w:line="277" w:lineRule="auto"/>
        <w:tabs>
          <w:tab w:leader="none" w:pos="775"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1869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Date: August 7, 2009</w:t>
      </w:r>
    </w:p>
    <w:p>
      <w:pPr>
        <w:sectPr>
          <w:pgSz w:w="11900" w:h="16838" w:orient="portrait"/>
          <w:cols w:equalWidth="0" w:num="1">
            <w:col w:w="11420"/>
          </w:cols>
          <w:pgMar w:left="240" w:top="243"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580" w:firstLine="9"/>
        <w:spacing w:after="0" w:line="264" w:lineRule="auto"/>
        <w:tabs>
          <w:tab w:leader="none" w:pos="77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firstLine="9"/>
        <w:spacing w:after="0" w:line="264" w:lineRule="auto"/>
        <w:tabs>
          <w:tab w:leader="none" w:pos="815"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firstLine="9"/>
        <w:spacing w:after="0" w:line="308" w:lineRule="auto"/>
        <w:tabs>
          <w:tab w:leader="none" w:pos="805"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firstLine="9"/>
        <w:spacing w:after="0" w:line="308" w:lineRule="auto"/>
        <w:tabs>
          <w:tab w:leader="none" w:pos="788" w:val="left"/>
        </w:tabs>
        <w:numPr>
          <w:ilvl w:val="1"/>
          <w:numId w:val="9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firstLine="8"/>
        <w:spacing w:after="0" w:line="277" w:lineRule="auto"/>
        <w:tabs>
          <w:tab w:leader="none" w:pos="2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580" w:right="20" w:firstLine="9"/>
        <w:spacing w:after="0" w:line="277" w:lineRule="auto"/>
        <w:tabs>
          <w:tab w:leader="none" w:pos="77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firstLine="9"/>
        <w:spacing w:after="0" w:line="277" w:lineRule="auto"/>
        <w:tabs>
          <w:tab w:leader="none" w:pos="77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14605</wp:posOffset>
            </wp:positionV>
            <wp:extent cx="216090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Date: August 7, 2009</w:t>
      </w:r>
    </w:p>
    <w:p>
      <w:pPr>
        <w:sectPr>
          <w:pgSz w:w="11900" w:h="16838" w:orient="portrait"/>
          <w:cols w:equalWidth="0" w:num="1">
            <w:col w:w="11420"/>
          </w:cols>
          <w:pgMar w:left="240" w:top="243"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2009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1000" w:hanging="492"/>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492"/>
        <w:spacing w:after="0"/>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1780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1780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August 7, 2009</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1)"/>
      <w:numFmt w:val="decimal"/>
      <w:start w:val="3"/>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decimal"/>
      <w:start w:val="32"/>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2"/>
    </w:lvl>
  </w:abstractNum>
  <w:abstractNum w:abstractNumId="13">
    <w:nsid w:val="70C6A529"/>
    <w:multiLevelType w:val="hybridMultilevel"/>
    <w:lvl w:ilvl="0">
      <w:lvlJc w:val="left"/>
      <w:lvlText w:val="%1."/>
      <w:numFmt w:val="decimal"/>
      <w:start w:val="3"/>
    </w:lvl>
  </w:abstractNum>
  <w:abstractNum w:abstractNumId="14">
    <w:nsid w:val="520EEDD1"/>
    <w:multiLevelType w:val="hybridMultilevel"/>
    <w:lvl w:ilvl="0">
      <w:lvlJc w:val="left"/>
      <w:lvlText w:val="%1."/>
      <w:numFmt w:val="decimal"/>
      <w:start w:val="4"/>
    </w:lvl>
  </w:abstractNum>
  <w:abstractNum w:abstractNumId="15">
    <w:nsid w:val="374A3FE6"/>
    <w:multiLevelType w:val="hybridMultilevel"/>
    <w:lvl w:ilvl="0">
      <w:lvlJc w:val="left"/>
      <w:lvlText w:val="%1."/>
      <w:numFmt w:val="decimal"/>
      <w:start w:val="5"/>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3"/>
    </w:lvl>
    <w:lvl w:ilvl="3">
      <w:lvlJc w:val="left"/>
      <w:lvlText w:val="(%4)"/>
      <w:numFmt w:val="lowerRoman"/>
      <w:start w:val="4"/>
    </w:lvl>
  </w:abstractNum>
  <w:abstractNum w:abstractNumId="18">
    <w:nsid w:val="649BB77C"/>
    <w:multiLevelType w:val="hybridMultilevel"/>
    <w:lvl w:ilvl="0">
      <w:lvlJc w:val="left"/>
      <w:lvlText w:val="%1."/>
      <w:numFmt w:val="decimal"/>
      <w:start w:val="6"/>
    </w:lvl>
  </w:abstractNum>
  <w:abstractNum w:abstractNumId="19">
    <w:nsid w:val="275AC794"/>
    <w:multiLevelType w:val="hybridMultilevel"/>
    <w:lvl w:ilvl="0">
      <w:lvlJc w:val="left"/>
      <w:lvlText w:val="%1."/>
      <w:numFmt w:val="decimal"/>
      <w:start w:val="7"/>
    </w:lvl>
  </w:abstractNum>
  <w:abstractNum w:abstractNumId="20">
    <w:nsid w:val="39386575"/>
    <w:multiLevelType w:val="hybridMultilevel"/>
    <w:lvl w:ilvl="0">
      <w:lvlJc w:val="left"/>
      <w:lvlText w:val="%1."/>
      <w:numFmt w:val="decimal"/>
      <w:start w:val="8"/>
    </w:lvl>
  </w:abstractNum>
  <w:abstractNum w:abstractNumId="21">
    <w:nsid w:val="1CF10FD8"/>
    <w:multiLevelType w:val="hybridMultilevel"/>
    <w:lvl w:ilvl="0">
      <w:lvlJc w:val="left"/>
      <w:lvlText w:val="%1."/>
      <w:numFmt w:val="decimal"/>
      <w:start w:val="9"/>
    </w:lvl>
  </w:abstractNum>
  <w:abstractNum w:abstractNumId="22">
    <w:nsid w:val="180115BE"/>
    <w:multiLevelType w:val="hybridMultilevel"/>
    <w:lvl w:ilvl="0">
      <w:lvlJc w:val="left"/>
      <w:lvlText w:val="%1."/>
      <w:numFmt w:val="decimal"/>
      <w:start w:val="10"/>
    </w:lvl>
  </w:abstractNum>
  <w:abstractNum w:abstractNumId="23">
    <w:nsid w:val="235BA861"/>
    <w:multiLevelType w:val="hybridMultilevel"/>
    <w:lvl w:ilvl="0">
      <w:lvlJc w:val="left"/>
      <w:lvlText w:val="%1."/>
      <w:numFmt w:val="decimal"/>
      <w:start w:val="11"/>
    </w:lvl>
  </w:abstractNum>
  <w:abstractNum w:abstractNumId="24">
    <w:nsid w:val="47398C89"/>
    <w:multiLevelType w:val="hybridMultilevel"/>
    <w:lvl w:ilvl="0">
      <w:lvlJc w:val="left"/>
      <w:lvlText w:val="%1."/>
      <w:numFmt w:val="decimal"/>
      <w:start w:val="12"/>
    </w:lvl>
  </w:abstractNum>
  <w:abstractNum w:abstractNumId="25">
    <w:nsid w:val="354FE9F9"/>
    <w:multiLevelType w:val="hybridMultilevel"/>
    <w:lvl w:ilvl="0">
      <w:lvlJc w:val="left"/>
      <w:lvlText w:val="%1."/>
      <w:numFmt w:val="decimal"/>
      <w:start w:val="13"/>
    </w:lvl>
  </w:abstractNum>
  <w:abstractNum w:abstractNumId="26">
    <w:nsid w:val="15B5AF5C"/>
    <w:multiLevelType w:val="hybridMultilevel"/>
    <w:lvl w:ilvl="0">
      <w:lvlJc w:val="left"/>
      <w:lvlText w:val="(%1)"/>
      <w:numFmt w:val="lowerRoman"/>
      <w:start w:val="1"/>
    </w:lvl>
    <w:lvl w:ilvl="1">
      <w:lvlJc w:val="left"/>
      <w:lvlText w:val="(%2)"/>
      <w:numFmt w:val="lowerRoman"/>
      <w:start w:val="2"/>
    </w:lvl>
  </w:abstractNum>
  <w:abstractNum w:abstractNumId="27">
    <w:nsid w:val="741226BB"/>
    <w:multiLevelType w:val="hybridMultilevel"/>
    <w:lvl w:ilvl="0">
      <w:lvlJc w:val="left"/>
      <w:lvlText w:val="(%1)"/>
      <w:numFmt w:val="lowerRoman"/>
      <w:start w:val="3"/>
    </w:lvl>
  </w:abstractNum>
  <w:abstractNum w:abstractNumId="28">
    <w:nsid w:val="D34B6A8"/>
    <w:multiLevelType w:val="hybridMultilevel"/>
    <w:lvl w:ilvl="0">
      <w:lvlJc w:val="left"/>
      <w:lvlText w:val="(%1)"/>
      <w:numFmt w:val="lowerRoman"/>
      <w:start w:val="5"/>
    </w:lvl>
  </w:abstractNum>
  <w:abstractNum w:abstractNumId="29">
    <w:nsid w:val="10233C99"/>
    <w:multiLevelType w:val="hybridMultilevel"/>
    <w:lvl w:ilvl="0">
      <w:lvlJc w:val="left"/>
      <w:lvlText w:val="(%1)"/>
      <w:numFmt w:val="lowerRoman"/>
      <w:start w:val="1"/>
    </w:lvl>
  </w:abstractNum>
  <w:abstractNum w:abstractNumId="30">
    <w:nsid w:val="3F6AB60F"/>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lowerRoman"/>
      <w:start w:val="2"/>
    </w:lvl>
  </w:abstractNum>
  <w:abstractNum w:abstractNumId="31">
    <w:nsid w:val="61574095"/>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5"/>
    </w:lvl>
    <w:lvl w:ilvl="3">
      <w:lvlJc w:val="left"/>
      <w:lvlText w:val="%4"/>
      <w:numFmt w:val="lowerRoman"/>
      <w:start w:val="1"/>
    </w:lvl>
  </w:abstractNum>
  <w:abstractNum w:abstractNumId="32">
    <w:nsid w:val="7E0C57B1"/>
    <w:multiLevelType w:val="hybridMultilevel"/>
    <w:lvl w:ilvl="0">
      <w:lvlJc w:val="left"/>
      <w:lvlText w:val="%1."/>
      <w:numFmt w:val="decimal"/>
      <w:start w:val="14"/>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33">
    <w:nsid w:val="77AE35EB"/>
    <w:multiLevelType w:val="hybridMultilevel"/>
    <w:lvl w:ilvl="0">
      <w:lvlJc w:val="left"/>
      <w:lvlText w:val="%1."/>
      <w:numFmt w:val="decimal"/>
      <w:start w:val="15"/>
    </w:lvl>
  </w:abstractNum>
  <w:abstractNum w:abstractNumId="34">
    <w:nsid w:val="579BE4F1"/>
    <w:multiLevelType w:val="hybridMultilevel"/>
    <w:lvl w:ilvl="0">
      <w:lvlJc w:val="left"/>
      <w:lvlText w:val="%1."/>
      <w:numFmt w:val="decimal"/>
      <w:start w:val="16"/>
    </w:lvl>
  </w:abstractNum>
  <w:abstractNum w:abstractNumId="35">
    <w:nsid w:val="310C50B3"/>
    <w:multiLevelType w:val="hybridMultilevel"/>
    <w:lvl w:ilvl="0">
      <w:lvlJc w:val="left"/>
      <w:lvlText w:val="%1."/>
      <w:numFmt w:val="decimal"/>
      <w:start w:val="17"/>
    </w:lvl>
  </w:abstractNum>
  <w:abstractNum w:abstractNumId="36">
    <w:nsid w:val="5FF87E05"/>
    <w:multiLevelType w:val="hybridMultilevel"/>
    <w:lvl w:ilvl="0">
      <w:lvlJc w:val="left"/>
      <w:lvlText w:val="%1."/>
      <w:numFmt w:val="decimal"/>
      <w:start w:val="18"/>
    </w:lvl>
  </w:abstractNum>
  <w:abstractNum w:abstractNumId="37">
    <w:nsid w:val="2F305DEF"/>
    <w:multiLevelType w:val="hybridMultilevel"/>
    <w:lvl w:ilvl="0">
      <w:lvlJc w:val="left"/>
      <w:lvlText w:val="%1."/>
      <w:numFmt w:val="decimal"/>
      <w:start w:val="19"/>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2"/>
    </w:lvl>
  </w:abstractNum>
  <w:abstractNum w:abstractNumId="40">
    <w:nsid w:val="4AD084E9"/>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41">
    <w:nsid w:val="1F48EAA1"/>
    <w:multiLevelType w:val="hybridMultilevel"/>
    <w:lvl w:ilvl="0">
      <w:lvlJc w:val="left"/>
      <w:lvlText w:val="%1"/>
      <w:numFmt w:val="lowerRoman"/>
      <w:start w:val="1"/>
    </w:lvl>
    <w:lvl w:ilvl="1">
      <w:lvlJc w:val="left"/>
      <w:lvlText w:val="(%2)"/>
      <w:numFmt w:val="lowerRoman"/>
      <w:start w:val="3"/>
    </w:lvl>
  </w:abstractNum>
  <w:abstractNum w:abstractNumId="42">
    <w:nsid w:val="1381823A"/>
    <w:multiLevelType w:val="hybridMultilevel"/>
    <w:lvl w:ilvl="0">
      <w:lvlJc w:val="left"/>
      <w:lvlText w:val="(%1)"/>
      <w:numFmt w:val="lowerRoman"/>
      <w:start w:val="4"/>
    </w:lvl>
    <w:lvl w:ilvl="1">
      <w:lvlJc w:val="left"/>
      <w:lvlText w:val="%2"/>
      <w:numFmt w:val="lowerRoman"/>
      <w:start w:val="1"/>
    </w:lvl>
  </w:abstractNum>
  <w:abstractNum w:abstractNumId="43">
    <w:nsid w:val="5DB70AE5"/>
    <w:multiLevelType w:val="hybridMultilevel"/>
    <w:lvl w:ilvl="0">
      <w:lvlJc w:val="left"/>
      <w:lvlText w:val="%1."/>
      <w:numFmt w:val="decimal"/>
      <w:start w:val="3"/>
    </w:lvl>
  </w:abstractNum>
  <w:abstractNum w:abstractNumId="44">
    <w:nsid w:val="100F8FCA"/>
    <w:multiLevelType w:val="hybridMultilevel"/>
    <w:lvl w:ilvl="0">
      <w:lvlJc w:val="left"/>
      <w:lvlText w:val="%1."/>
      <w:numFmt w:val="decimal"/>
      <w:start w:val="4"/>
    </w:lvl>
  </w:abstractNum>
  <w:abstractNum w:abstractNumId="45">
    <w:nsid w:val="6590700B"/>
    <w:multiLevelType w:val="hybridMultilevel"/>
    <w:lvl w:ilvl="0">
      <w:lvlJc w:val="left"/>
      <w:lvlText w:val="%1."/>
      <w:numFmt w:val="decimal"/>
      <w:start w:val="5"/>
    </w:lvl>
  </w:abstractNum>
  <w:abstractNum w:abstractNumId="46">
    <w:nsid w:val="15014ACB"/>
    <w:multiLevelType w:val="hybridMultilevel"/>
    <w:lvl w:ilvl="0">
      <w:lvlJc w:val="left"/>
      <w:lvlText w:val="%1."/>
      <w:numFmt w:val="decimal"/>
      <w:start w:val="6"/>
    </w:lvl>
  </w:abstractNum>
  <w:abstractNum w:abstractNumId="47">
    <w:nsid w:val="5F5E7FD0"/>
    <w:multiLevelType w:val="hybridMultilevel"/>
    <w:lvl w:ilvl="0">
      <w:lvlJc w:val="left"/>
      <w:lvlText w:val="%1."/>
      <w:numFmt w:val="decimal"/>
      <w:start w:val="7"/>
    </w:lvl>
  </w:abstractNum>
  <w:abstractNum w:abstractNumId="48">
    <w:nsid w:val="98A3148"/>
    <w:multiLevelType w:val="hybridMultilevel"/>
    <w:lvl w:ilvl="0">
      <w:lvlJc w:val="left"/>
      <w:lvlText w:val="%1."/>
      <w:numFmt w:val="decimal"/>
      <w:start w:val="8"/>
    </w:lvl>
  </w:abstractNum>
  <w:abstractNum w:abstractNumId="49">
    <w:nsid w:val="799D0247"/>
    <w:multiLevelType w:val="hybridMultilevel"/>
    <w:lvl w:ilvl="0">
      <w:lvlJc w:val="left"/>
      <w:lvlText w:val="(%1)"/>
      <w:numFmt w:val="lowerRoman"/>
      <w:start w:val="1"/>
    </w:lvl>
  </w:abstractNum>
  <w:abstractNum w:abstractNumId="50">
    <w:nsid w:val="6B94764"/>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51">
    <w:nsid w:val="42C296BD"/>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1"/>
    </w:lvl>
  </w:abstractNum>
  <w:abstractNum w:abstractNumId="52">
    <w:nsid w:val="168E121F"/>
    <w:multiLevelType w:val="hybridMultilevel"/>
    <w:lvl w:ilvl="0">
      <w:lvlJc w:val="left"/>
      <w:lvlText w:val="(%1)"/>
      <w:numFmt w:val="lowerRoman"/>
      <w:start w:val="1"/>
    </w:lvl>
  </w:abstractNum>
  <w:abstractNum w:abstractNumId="53">
    <w:nsid w:val="1EBA5D2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lowerRoman"/>
      <w:start w:val="1"/>
    </w:lvl>
    <w:lvl w:ilvl="5">
      <w:lvlJc w:val="left"/>
      <w:lvlText w:val="%6"/>
      <w:numFmt w:val="lowerRoman"/>
      <w:start w:val="1"/>
    </w:lvl>
  </w:abstractNum>
  <w:abstractNum w:abstractNumId="54">
    <w:nsid w:val="661E3F1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lvl w:ilvl="3">
      <w:lvlJc w:val="left"/>
      <w:lvlText w:val="%4"/>
      <w:numFmt w:val="lowerRoman"/>
      <w:start w:val="1"/>
    </w:lvl>
    <w:lvl w:ilvl="4">
      <w:lvlJc w:val="left"/>
      <w:lvlText w:val="%5"/>
      <w:numFmt w:val="lowerRoman"/>
      <w:start w:val="1"/>
    </w:lvl>
    <w:lvl w:ilvl="5">
      <w:lvlJc w:val="left"/>
      <w:lvlText w:val="%6"/>
      <w:numFmt w:val="lowerRoman"/>
      <w:start w:val="1"/>
    </w:lvl>
  </w:abstractNum>
  <w:abstractNum w:abstractNumId="55">
    <w:nsid w:val="5DC79EA8"/>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1"/>
    </w:lvl>
    <w:lvl w:ilvl="3">
      <w:lvlJc w:val="left"/>
      <w:lvlText w:val="%4"/>
      <w:numFmt w:val="lowerRoman"/>
      <w:start w:val="1"/>
    </w:lvl>
    <w:lvl w:ilvl="4">
      <w:lvlJc w:val="left"/>
      <w:lvlText w:val="(%5)"/>
      <w:numFmt w:val="lowerRoman"/>
      <w:start w:val="5"/>
    </w:lvl>
    <w:lvl w:ilvl="5">
      <w:lvlJc w:val="left"/>
      <w:lvlText w:val="(%6)"/>
      <w:numFmt w:val="lowerRoman"/>
      <w:start w:val="5"/>
    </w:lvl>
  </w:abstractNum>
  <w:abstractNum w:abstractNumId="56">
    <w:nsid w:val="540A471C"/>
    <w:multiLevelType w:val="hybridMultilevel"/>
    <w:lvl w:ilvl="0">
      <w:lvlJc w:val="left"/>
      <w:lvlText w:val="%1."/>
      <w:numFmt w:val="decimal"/>
      <w:start w:val="9"/>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1"/>
    </w:lvl>
    <w:lvl w:ilvl="5">
      <w:lvlJc w:val="left"/>
      <w:lvlText w:val="%6"/>
      <w:numFmt w:val="lowerRoman"/>
      <w:start w:val="1"/>
    </w:lvl>
  </w:abstractNum>
  <w:abstractNum w:abstractNumId="57">
    <w:nsid w:val="7BD3EE7B"/>
    <w:multiLevelType w:val="hybridMultilevel"/>
    <w:lvl w:ilvl="0">
      <w:lvlJc w:val="left"/>
      <w:lvlText w:val="%1."/>
      <w:numFmt w:val="decimal"/>
      <w:start w:val="10"/>
    </w:lvl>
  </w:abstractNum>
  <w:abstractNum w:abstractNumId="58">
    <w:nsid w:val="51D9C564"/>
    <w:multiLevelType w:val="hybridMultilevel"/>
    <w:lvl w:ilvl="0">
      <w:lvlJc w:val="left"/>
      <w:lvlText w:val="%1."/>
      <w:numFmt w:val="decimal"/>
      <w:start w:val="11"/>
    </w:lvl>
  </w:abstractNum>
  <w:abstractNum w:abstractNumId="59">
    <w:nsid w:val="613EFDC5"/>
    <w:multiLevelType w:val="hybridMultilevel"/>
    <w:lvl w:ilvl="0">
      <w:lvlJc w:val="left"/>
      <w:lvlText w:val="%1."/>
      <w:numFmt w:val="decimal"/>
      <w:start w:val="12"/>
    </w:lvl>
  </w:abstractNum>
  <w:abstractNum w:abstractNumId="60">
    <w:nsid w:val="BF72B14"/>
    <w:multiLevelType w:val="hybridMultilevel"/>
    <w:lvl w:ilvl="0">
      <w:lvlJc w:val="left"/>
      <w:lvlText w:val="%1."/>
      <w:numFmt w:val="decimal"/>
      <w:start w:val="13"/>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decimal"/>
      <w:start w:val="2"/>
    </w:lvl>
  </w:abstractNum>
  <w:abstractNum w:abstractNumId="63">
    <w:nsid w:val="A0382C5"/>
    <w:multiLevelType w:val="hybridMultilevel"/>
    <w:lvl w:ilvl="0">
      <w:lvlJc w:val="left"/>
      <w:lvlText w:val="%1."/>
      <w:numFmt w:val="decimal"/>
      <w:start w:val="3"/>
    </w:lvl>
  </w:abstractNum>
  <w:abstractNum w:abstractNumId="64">
    <w:nsid w:val="8F2B15E"/>
    <w:multiLevelType w:val="hybridMultilevel"/>
    <w:lvl w:ilvl="0">
      <w:lvlJc w:val="left"/>
      <w:lvlText w:val="%1."/>
      <w:numFmt w:val="decimal"/>
      <w:start w:val="4"/>
    </w:lvl>
  </w:abstractNum>
  <w:abstractNum w:abstractNumId="65">
    <w:nsid w:val="1A32234B"/>
    <w:multiLevelType w:val="hybridMultilevel"/>
    <w:lvl w:ilvl="0">
      <w:lvlJc w:val="left"/>
      <w:lvlText w:val="%1."/>
      <w:numFmt w:val="decimal"/>
      <w:start w:val="5"/>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3"/>
    </w:lvl>
    <w:lvl w:ilvl="3">
      <w:lvlJc w:val="left"/>
      <w:lvlText w:val="(%4)"/>
      <w:numFmt w:val="lowerRoman"/>
      <w:start w:val="3"/>
    </w:lvl>
  </w:abstractNum>
  <w:abstractNum w:abstractNumId="68">
    <w:nsid w:val="4962813B"/>
    <w:multiLevelType w:val="hybridMultilevel"/>
    <w:lvl w:ilvl="0">
      <w:lvlJc w:val="left"/>
      <w:lvlText w:val="%1."/>
      <w:numFmt w:val="decimal"/>
      <w:start w:val="6"/>
    </w:lvl>
  </w:abstractNum>
  <w:abstractNum w:abstractNumId="69">
    <w:nsid w:val="60B6DF70"/>
    <w:multiLevelType w:val="hybridMultilevel"/>
    <w:lvl w:ilvl="0">
      <w:lvlJc w:val="left"/>
      <w:lvlText w:val="%1."/>
      <w:numFmt w:val="decimal"/>
      <w:start w:val="7"/>
    </w:lvl>
  </w:abstractNum>
  <w:abstractNum w:abstractNumId="70">
    <w:nsid w:val="6A5EE64"/>
    <w:multiLevelType w:val="hybridMultilevel"/>
    <w:lvl w:ilvl="0">
      <w:lvlJc w:val="left"/>
      <w:lvlText w:val="%1."/>
      <w:numFmt w:val="decimal"/>
      <w:start w:val="8"/>
    </w:lvl>
  </w:abstractNum>
  <w:abstractNum w:abstractNumId="71">
    <w:nsid w:val="14330624"/>
    <w:multiLevelType w:val="hybridMultilevel"/>
    <w:lvl w:ilvl="0">
      <w:lvlJc w:val="left"/>
      <w:lvlText w:val="%1."/>
      <w:numFmt w:val="decimal"/>
      <w:start w:val="9"/>
    </w:lvl>
  </w:abstractNum>
  <w:abstractNum w:abstractNumId="72">
    <w:nsid w:val="7FFFCA11"/>
    <w:multiLevelType w:val="hybridMultilevel"/>
    <w:lvl w:ilvl="0">
      <w:lvlJc w:val="left"/>
      <w:lvlText w:val="%1."/>
      <w:numFmt w:val="decimal"/>
      <w:start w:val="10"/>
    </w:lvl>
  </w:abstractNum>
  <w:abstractNum w:abstractNumId="73">
    <w:nsid w:val="1A27709E"/>
    <w:multiLevelType w:val="hybridMultilevel"/>
    <w:lvl w:ilvl="0">
      <w:lvlJc w:val="left"/>
      <w:lvlText w:val="(%1)"/>
      <w:numFmt w:val="decimal"/>
      <w:start w:val="10"/>
    </w:lvl>
  </w:abstractNum>
  <w:abstractNum w:abstractNumId="74">
    <w:nsid w:val="71EA1109"/>
    <w:multiLevelType w:val="hybridMultilevel"/>
    <w:lvl w:ilvl="0">
      <w:lvlJc w:val="left"/>
      <w:lvlText w:val="%1."/>
      <w:numFmt w:val="decimal"/>
      <w:start w:val="11"/>
    </w:lvl>
  </w:abstractNum>
  <w:abstractNum w:abstractNumId="75">
    <w:nsid w:val="100F59DC"/>
    <w:multiLevelType w:val="hybridMultilevel"/>
    <w:lvl w:ilvl="0">
      <w:lvlJc w:val="left"/>
      <w:lvlText w:val="%1."/>
      <w:numFmt w:val="decimal"/>
      <w:start w:val="12"/>
    </w:lvl>
  </w:abstractNum>
  <w:abstractNum w:abstractNumId="76">
    <w:nsid w:val="7FB7E0AA"/>
    <w:multiLevelType w:val="hybridMultilevel"/>
    <w:lvl w:ilvl="0">
      <w:lvlJc w:val="left"/>
      <w:lvlText w:val="%1."/>
      <w:numFmt w:val="decimal"/>
      <w:start w:val="13"/>
    </w:lvl>
  </w:abstractNum>
  <w:abstractNum w:abstractNumId="77">
    <w:nsid w:val="6EB5BD4"/>
    <w:multiLevelType w:val="hybridMultilevel"/>
    <w:lvl w:ilvl="0">
      <w:lvlJc w:val="left"/>
      <w:lvlText w:val="(%1)"/>
      <w:numFmt w:val="lowerRoman"/>
      <w:start w:val="1"/>
    </w:lvl>
    <w:lvl w:ilvl="1">
      <w:lvlJc w:val="left"/>
      <w:lvlText w:val="(%2)"/>
      <w:numFmt w:val="lowerRoman"/>
      <w:start w:val="2"/>
    </w:lvl>
  </w:abstractNum>
  <w:abstractNum w:abstractNumId="78">
    <w:nsid w:val="6F6DD9AC"/>
    <w:multiLevelType w:val="hybridMultilevel"/>
    <w:lvl w:ilvl="0">
      <w:lvlJc w:val="left"/>
      <w:lvlText w:val="(%1)"/>
      <w:numFmt w:val="lowerRoman"/>
      <w:start w:val="3"/>
    </w:lvl>
  </w:abstractNum>
  <w:abstractNum w:abstractNumId="79">
    <w:nsid w:val="94211F2"/>
    <w:multiLevelType w:val="hybridMultilevel"/>
    <w:lvl w:ilvl="0">
      <w:lvlJc w:val="left"/>
      <w:lvlText w:val="(%1)"/>
      <w:numFmt w:val="lowerRoman"/>
      <w:start w:val="5"/>
    </w:lvl>
  </w:abstractNum>
  <w:abstractNum w:abstractNumId="80">
    <w:nsid w:val="885E1B"/>
    <w:multiLevelType w:val="hybridMultilevel"/>
    <w:lvl w:ilvl="0">
      <w:lvlJc w:val="left"/>
      <w:lvlText w:val="(%1)"/>
      <w:numFmt w:val="lowerRoman"/>
      <w:start w:val="1"/>
    </w:lvl>
    <w:lvl w:ilvl="1">
      <w:lvlJc w:val="left"/>
      <w:lvlText w:val="(%2)"/>
      <w:numFmt w:val="lowerRoman"/>
      <w:start w:val="2"/>
    </w:lvl>
  </w:abstractNum>
  <w:abstractNum w:abstractNumId="81">
    <w:nsid w:val="76272110"/>
    <w:multiLevelType w:val="hybridMultilevel"/>
    <w:lvl w:ilvl="0">
      <w:lvlJc w:val="left"/>
      <w:lvlText w:val="(%1)"/>
      <w:numFmt w:val="lowerRoman"/>
      <w:start w:val="4"/>
    </w:lvl>
  </w:abstractNum>
  <w:abstractNum w:abstractNumId="82">
    <w:nsid w:val="4C04A8AF"/>
    <w:multiLevelType w:val="hybridMultilevel"/>
    <w:lvl w:ilvl="0">
      <w:lvlJc w:val="left"/>
      <w:lvlText w:val="(%1)"/>
      <w:numFmt w:val="lowerRoman"/>
      <w:start w:val="5"/>
    </w:lvl>
  </w:abstractNum>
  <w:abstractNum w:abstractNumId="83">
    <w:nsid w:val="1716703B"/>
    <w:multiLevelType w:val="hybridMultilevel"/>
    <w:lvl w:ilvl="0">
      <w:lvlJc w:val="left"/>
      <w:lvlText w:val="%1."/>
      <w:numFmt w:val="decimal"/>
      <w:start w:val="14"/>
    </w:lvl>
  </w:abstractNum>
  <w:abstractNum w:abstractNumId="84">
    <w:nsid w:val="14E17E33"/>
    <w:multiLevelType w:val="hybridMultilevel"/>
    <w:lvl w:ilvl="0">
      <w:lvlJc w:val="left"/>
      <w:lvlText w:val="%1."/>
      <w:numFmt w:val="decimal"/>
      <w:start w:val="15"/>
    </w:lvl>
  </w:abstractNum>
  <w:abstractNum w:abstractNumId="85">
    <w:nsid w:val="3222E7CD"/>
    <w:multiLevelType w:val="hybridMultilevel"/>
    <w:lvl w:ilvl="0">
      <w:lvlJc w:val="left"/>
      <w:lvlText w:val="%1."/>
      <w:numFmt w:val="decimal"/>
      <w:start w:val="16"/>
    </w:lvl>
  </w:abstractNum>
  <w:abstractNum w:abstractNumId="86">
    <w:nsid w:val="74DE0EE3"/>
    <w:multiLevelType w:val="hybridMultilevel"/>
    <w:lvl w:ilvl="0">
      <w:lvlJc w:val="left"/>
      <w:lvlText w:val="%1."/>
      <w:numFmt w:val="decimal"/>
      <w:start w:val="17"/>
    </w:lvl>
  </w:abstractNum>
  <w:abstractNum w:abstractNumId="87">
    <w:nsid w:val="68EBC550"/>
    <w:multiLevelType w:val="hybridMultilevel"/>
    <w:lvl w:ilvl="0">
      <w:lvlJc w:val="left"/>
      <w:lvlText w:val="%1."/>
      <w:numFmt w:val="decimal"/>
      <w:start w:val="18"/>
    </w:lvl>
  </w:abstractNum>
  <w:abstractNum w:abstractNumId="88">
    <w:nsid w:val="2DF6D648"/>
    <w:multiLevelType w:val="hybridMultilevel"/>
    <w:lvl w:ilvl="0">
      <w:lvlJc w:val="left"/>
      <w:lvlText w:val="%1."/>
      <w:numFmt w:val="decimal"/>
      <w:start w:val="19"/>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2019-12-10T09:35:54Z</dcterms:created>
  <dcterms:modified xsi:type="dcterms:W3CDTF">2019-12-10T09:35:54Z</dcterms:modified>
</cp:coreProperties>
</file>