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35"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12"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2" w:lineRule="exact"/>
        <w:rPr>
          <w:sz w:val="24"/>
          <w:szCs w:val="24"/>
          <w:color w:val="auto"/>
        </w:rPr>
      </w:pPr>
    </w:p>
    <w:tbl>
      <w:tblPr>
        <w:tblLayout w:type="fixed"/>
        <w:tblInd w:w="7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5980" w:type="dxa"/>
            <w:vAlign w:val="bottom"/>
            <w:gridSpan w:val="2"/>
          </w:tcPr>
          <w:p>
            <w:pPr>
              <w:jc w:val="center"/>
              <w:ind w:left="2159"/>
              <w:spacing w:after="0"/>
              <w:rPr>
                <w:sz w:val="20"/>
                <w:szCs w:val="20"/>
                <w:color w:val="auto"/>
              </w:rPr>
            </w:pPr>
            <w:r>
              <w:rPr>
                <w:rFonts w:ascii="Arial" w:cs="Arial" w:eastAsia="Arial" w:hAnsi="Arial"/>
                <w:sz w:val="16"/>
                <w:szCs w:val="16"/>
                <w:b w:val="1"/>
                <w:bCs w:val="1"/>
                <w:color w:val="auto"/>
                <w:w w:val="91"/>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1"/>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125 Highway 515 East</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Blairsville, Georgia</w:t>
            </w:r>
          </w:p>
        </w:tc>
        <w:tc>
          <w:tcPr>
            <w:tcW w:w="5980" w:type="dxa"/>
            <w:vAlign w:val="bottom"/>
            <w:gridSpan w:val="2"/>
          </w:tcPr>
          <w:p>
            <w:pPr>
              <w:jc w:val="center"/>
              <w:ind w:left="2179"/>
              <w:spacing w:after="0"/>
              <w:rPr>
                <w:sz w:val="20"/>
                <w:szCs w:val="20"/>
                <w:color w:val="auto"/>
              </w:rPr>
            </w:pPr>
            <w:r>
              <w:rPr>
                <w:rFonts w:ascii="Arial" w:cs="Arial" w:eastAsia="Arial" w:hAnsi="Arial"/>
                <w:sz w:val="16"/>
                <w:szCs w:val="16"/>
                <w:b w:val="1"/>
                <w:bCs w:val="1"/>
                <w:color w:val="auto"/>
                <w:w w:val="89"/>
              </w:rPr>
              <w:t>30512</w:t>
            </w:r>
          </w:p>
        </w:tc>
      </w:tr>
      <w:tr>
        <w:trPr>
          <w:trHeight w:val="207"/>
        </w:trPr>
        <w:tc>
          <w:tcPr>
            <w:tcW w:w="2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(Zip code)</w:t>
            </w:r>
          </w:p>
        </w:tc>
      </w:tr>
      <w:tr>
        <w:trPr>
          <w:trHeight w:val="29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Arial" w:cs="Arial" w:eastAsia="Arial" w:hAnsi="Arial"/>
                <w:sz w:val="16"/>
                <w:szCs w:val="16"/>
                <w:b w:val="1"/>
                <w:bCs w:val="1"/>
                <w:color w:val="auto"/>
              </w:rPr>
              <w:t>(706) 781-2265</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1"/>
              </w:rPr>
              <w:t>Title of Each Class</w:t>
            </w:r>
          </w:p>
        </w:tc>
        <w:tc>
          <w:tcPr>
            <w:tcW w:w="26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2"/>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UCBI</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65"/>
        </w:trPr>
        <w:tc>
          <w:tcPr>
            <w:tcW w:w="4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Depositary shares, each representing 1/1000th interest in a share of</w:t>
            </w:r>
          </w:p>
        </w:tc>
        <w:tc>
          <w:tcPr>
            <w:tcW w:w="280" w:type="dxa"/>
            <w:vAlign w:val="bottom"/>
          </w:tcPr>
          <w:p>
            <w:pPr>
              <w:spacing w:after="0"/>
              <w:rPr>
                <w:sz w:val="14"/>
                <w:szCs w:val="14"/>
                <w:color w:val="auto"/>
              </w:rPr>
            </w:pPr>
          </w:p>
        </w:tc>
        <w:tc>
          <w:tcPr>
            <w:tcW w:w="2340" w:type="dxa"/>
            <w:vAlign w:val="bottom"/>
            <w:gridSpan w:val="2"/>
            <w:vMerge w:val="restart"/>
          </w:tcPr>
          <w:p>
            <w:pPr>
              <w:jc w:val="center"/>
              <w:ind w:right="1200"/>
              <w:spacing w:after="0"/>
              <w:rPr>
                <w:sz w:val="20"/>
                <w:szCs w:val="20"/>
                <w:color w:val="auto"/>
              </w:rPr>
            </w:pPr>
            <w:r>
              <w:rPr>
                <w:rFonts w:ascii="Arial" w:cs="Arial" w:eastAsia="Arial" w:hAnsi="Arial"/>
                <w:sz w:val="14"/>
                <w:szCs w:val="14"/>
                <w:b w:val="1"/>
                <w:bCs w:val="1"/>
                <w:color w:val="auto"/>
              </w:rPr>
              <w:t>UCBIO</w:t>
            </w: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86"/>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4"/>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6" w:lineRule="exact"/>
        <w:rPr>
          <w:sz w:val="24"/>
          <w:szCs w:val="24"/>
          <w:color w:val="auto"/>
        </w:rPr>
      </w:pPr>
    </w:p>
    <w:p>
      <w:pPr>
        <w:jc w:val="both"/>
        <w:spacing w:after="0" w:line="256"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ind w:right="20"/>
        <w:spacing w:after="0" w:line="277"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 w:lineRule="exact"/>
        <w:rPr>
          <w:sz w:val="24"/>
          <w:szCs w:val="24"/>
          <w:color w:val="auto"/>
        </w:rPr>
      </w:pPr>
    </w:p>
    <w:p>
      <w:pPr>
        <w:spacing w:after="0" w:line="231"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There were 118,979,851 shares of the registrant’s common stock, par value $1 per share, outstanding as of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0000FF"/>
              </w:rPr>
              <w:t>Glossary of Defined Terms</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FF"/>
              </w:rPr>
              <w:t>3</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Cautionary Note Regarding Forward-looking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4"/>
            <w:shd w:val="clear" w:color="auto" w:fill="CCEEFF"/>
          </w:tcPr>
          <w:p>
            <w:pPr>
              <w:jc w:val="center"/>
              <w:ind w:right="4200"/>
              <w:spacing w:after="0" w:line="189" w:lineRule="exact"/>
              <w:rPr>
                <w:sz w:val="20"/>
                <w:szCs w:val="20"/>
                <w:color w:val="auto"/>
              </w:rPr>
            </w:pPr>
            <w:r>
              <w:rPr>
                <w:rFonts w:ascii="Arial" w:cs="Arial" w:eastAsia="Arial" w:hAnsi="Arial"/>
                <w:sz w:val="18"/>
                <w:szCs w:val="18"/>
                <w:b w:val="1"/>
                <w:bCs w:val="1"/>
                <w:color w:val="0000FF"/>
                <w:w w:val="94"/>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Item 1.</w:t>
            </w:r>
          </w:p>
        </w:tc>
        <w:tc>
          <w:tcPr>
            <w:tcW w:w="2840" w:type="dxa"/>
            <w:vAlign w:val="bottom"/>
            <w:tcBorders>
              <w:top w:val="single" w:sz="8" w:color="CCEEFF"/>
            </w:tcBorders>
            <w:gridSpan w:val="6"/>
          </w:tcPr>
          <w:p>
            <w:pPr>
              <w:spacing w:after="0"/>
              <w:rPr>
                <w:sz w:val="20"/>
                <w:szCs w:val="20"/>
                <w:color w:val="auto"/>
              </w:rPr>
            </w:pPr>
            <w:r>
              <w:rPr>
                <w:rFonts w:ascii="Arial" w:cs="Arial" w:eastAsia="Arial" w:hAnsi="Arial"/>
                <w:sz w:val="18"/>
                <w:szCs w:val="18"/>
                <w:b w:val="1"/>
                <w:bCs w:val="1"/>
                <w:color w:val="auto"/>
              </w:rPr>
              <w:t>Financial Statements</w:t>
            </w:r>
          </w:p>
        </w:tc>
        <w:tc>
          <w:tcPr>
            <w:tcW w:w="2440" w:type="dxa"/>
            <w:vAlign w:val="bottom"/>
            <w:tcBorders>
              <w:top w:val="single" w:sz="8" w:color="0000FF"/>
            </w:tcBorders>
            <w:gridSpan w:val="11"/>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2.</w:t>
            </w: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3.</w:t>
            </w: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4.</w:t>
            </w: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4"/>
          </w:tcPr>
          <w:p>
            <w:pPr>
              <w:jc w:val="center"/>
              <w:ind w:right="4200"/>
              <w:spacing w:after="0" w:line="189" w:lineRule="exact"/>
              <w:rPr>
                <w:sz w:val="20"/>
                <w:szCs w:val="20"/>
                <w:color w:val="auto"/>
              </w:rPr>
            </w:pPr>
            <w:r>
              <w:rPr>
                <w:rFonts w:ascii="Arial" w:cs="Arial" w:eastAsia="Arial" w:hAnsi="Arial"/>
                <w:sz w:val="18"/>
                <w:szCs w:val="18"/>
                <w:b w:val="1"/>
                <w:bCs w:val="1"/>
                <w:color w:val="0000FF"/>
                <w:w w:val="96"/>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1.</w:t>
            </w: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Legal Proceedings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1A.</w:t>
            </w: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Risk Factors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2.</w:t>
            </w: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Unregistered Sales of Equity Securities and Use of Proceeds.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Arial" w:cs="Arial" w:eastAsia="Arial" w:hAnsi="Arial"/>
                <w:sz w:val="18"/>
                <w:szCs w:val="18"/>
                <w:b w:val="1"/>
                <w:bCs w:val="1"/>
                <w:color w:val="0000FF"/>
                <w:w w:val="91"/>
              </w:rPr>
              <w:t>Item 6.</w:t>
            </w:r>
          </w:p>
        </w:tc>
        <w:tc>
          <w:tcPr>
            <w:tcW w:w="440" w:type="dxa"/>
            <w:vAlign w:val="bottom"/>
            <w:gridSpan w:val="2"/>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Exhibits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62</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2022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United’s Annual Report on Form 10-K for the year ended December 31, 2022 filed with the SEC on February 24,</w:t>
            </w: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ACL</w:t>
            </w:r>
          </w:p>
        </w:tc>
        <w:tc>
          <w:tcPr>
            <w:tcW w:w="85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ALCO</w:t>
            </w:r>
          </w:p>
        </w:tc>
        <w:tc>
          <w:tcPr>
            <w:tcW w:w="8580" w:type="dxa"/>
            <w:vAlign w:val="bottom"/>
          </w:tcPr>
          <w:p>
            <w:pPr>
              <w:ind w:left="20"/>
              <w:spacing w:after="0"/>
              <w:rPr>
                <w:sz w:val="20"/>
                <w:szCs w:val="20"/>
                <w:color w:val="auto"/>
              </w:rPr>
            </w:pPr>
            <w:r>
              <w:rPr>
                <w:rFonts w:ascii="Arial" w:cs="Arial" w:eastAsia="Arial" w:hAnsi="Arial"/>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ARR</w:t>
            </w:r>
          </w:p>
        </w:tc>
        <w:tc>
          <w:tcPr>
            <w:tcW w:w="8580" w:type="dxa"/>
            <w:vAlign w:val="bottom"/>
          </w:tcPr>
          <w:p>
            <w:pPr>
              <w:ind w:left="20"/>
              <w:spacing w:after="0"/>
              <w:rPr>
                <w:sz w:val="20"/>
                <w:szCs w:val="20"/>
                <w:color w:val="auto"/>
              </w:rPr>
            </w:pPr>
            <w:r>
              <w:rPr>
                <w:rFonts w:ascii="Arial" w:cs="Arial" w:eastAsia="Arial" w:hAnsi="Arial"/>
                <w:sz w:val="18"/>
                <w:szCs w:val="18"/>
                <w:color w:val="auto"/>
              </w:rPr>
              <w:t>Alternative reference rate</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Bank</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Board</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Board of Directors</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BOLI</w:t>
            </w:r>
          </w:p>
        </w:tc>
        <w:tc>
          <w:tcPr>
            <w:tcW w:w="8580" w:type="dxa"/>
            <w:vAlign w:val="bottom"/>
          </w:tcPr>
          <w:p>
            <w:pPr>
              <w:ind w:left="20"/>
              <w:spacing w:after="0"/>
              <w:rPr>
                <w:sz w:val="20"/>
                <w:szCs w:val="20"/>
                <w:color w:val="auto"/>
              </w:rPr>
            </w:pPr>
            <w:r>
              <w:rPr>
                <w:rFonts w:ascii="Arial" w:cs="Arial" w:eastAsia="Arial" w:hAnsi="Arial"/>
                <w:sz w:val="18"/>
                <w:szCs w:val="18"/>
                <w:color w:val="auto"/>
              </w:rPr>
              <w:t>Bank-owned life insurance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CECL</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expected credit loss</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CET1</w:t>
            </w:r>
          </w:p>
        </w:tc>
        <w:tc>
          <w:tcPr>
            <w:tcW w:w="8580" w:type="dxa"/>
            <w:vAlign w:val="bottom"/>
          </w:tcPr>
          <w:p>
            <w:pPr>
              <w:ind w:left="20"/>
              <w:spacing w:after="0"/>
              <w:rPr>
                <w:sz w:val="20"/>
                <w:szCs w:val="20"/>
                <w:color w:val="auto"/>
              </w:rPr>
            </w:pPr>
            <w:r>
              <w:rPr>
                <w:rFonts w:ascii="Arial" w:cs="Arial" w:eastAsia="Arial" w:hAnsi="Arial"/>
                <w:sz w:val="18"/>
                <w:szCs w:val="18"/>
                <w:color w:val="auto"/>
              </w:rPr>
              <w:t>Common equity tier 1</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CME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Chicago Mercantile Exchange</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(interchangeable with "United" below)</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CVA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valuation adjustment</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Deposit Insurance Corporation</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FDM</w:t>
            </w:r>
          </w:p>
        </w:tc>
        <w:tc>
          <w:tcPr>
            <w:tcW w:w="8580" w:type="dxa"/>
            <w:vAlign w:val="bottom"/>
          </w:tcPr>
          <w:p>
            <w:pPr>
              <w:ind w:left="20"/>
              <w:spacing w:after="0"/>
              <w:rPr>
                <w:sz w:val="20"/>
                <w:szCs w:val="20"/>
                <w:color w:val="auto"/>
              </w:rPr>
            </w:pPr>
            <w:r>
              <w:rPr>
                <w:rFonts w:ascii="Arial" w:cs="Arial" w:eastAsia="Arial" w:hAnsi="Arial"/>
                <w:sz w:val="18"/>
                <w:szCs w:val="18"/>
                <w:color w:val="auto"/>
              </w:rPr>
              <w:t>Modification made to borrowers experiencing financial difficulty</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Reserve System</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First Miami</w:t>
            </w:r>
          </w:p>
        </w:tc>
        <w:tc>
          <w:tcPr>
            <w:tcW w:w="8580" w:type="dxa"/>
            <w:vAlign w:val="bottom"/>
          </w:tcPr>
          <w:p>
            <w:pPr>
              <w:ind w:left="20"/>
              <w:spacing w:after="0"/>
              <w:rPr>
                <w:sz w:val="20"/>
                <w:szCs w:val="20"/>
                <w:color w:val="auto"/>
              </w:rPr>
            </w:pPr>
            <w:r>
              <w:rPr>
                <w:rFonts w:ascii="Arial" w:cs="Arial" w:eastAsia="Arial" w:hAnsi="Arial"/>
                <w:sz w:val="18"/>
                <w:szCs w:val="18"/>
                <w:color w:val="auto"/>
              </w:rPr>
              <w:t>First Miami Bancorp, Inc. and its wholly-owned subsidiary, First National Bank of South Miami</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Home Loan Bank</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FOMC</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Reserve’s Federal Open Markets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FTE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Fully taxable equivalent</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GAAP</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Holding Company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on an unconsolidated basis</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HTM</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Held-to-maturity</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20"/>
              <w:spacing w:after="0"/>
              <w:rPr>
                <w:sz w:val="20"/>
                <w:szCs w:val="20"/>
                <w:color w:val="auto"/>
              </w:rPr>
            </w:pPr>
            <w:r>
              <w:rPr>
                <w:rFonts w:ascii="Arial" w:cs="Arial" w:eastAsia="Arial" w:hAnsi="Arial"/>
                <w:sz w:val="18"/>
                <w:szCs w:val="18"/>
                <w:color w:val="auto"/>
              </w:rPr>
              <w:t>London Interbank Offered Rate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LIHTC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 income housing tax credit</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MD&amp;A</w:t>
            </w:r>
          </w:p>
        </w:tc>
        <w:tc>
          <w:tcPr>
            <w:tcW w:w="858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MBS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NOW</w:t>
            </w:r>
          </w:p>
        </w:tc>
        <w:tc>
          <w:tcPr>
            <w:tcW w:w="8580" w:type="dxa"/>
            <w:vAlign w:val="bottom"/>
          </w:tcPr>
          <w:p>
            <w:pPr>
              <w:ind w:left="20"/>
              <w:spacing w:after="0"/>
              <w:rPr>
                <w:sz w:val="20"/>
                <w:szCs w:val="20"/>
                <w:color w:val="auto"/>
              </w:rPr>
            </w:pPr>
            <w:r>
              <w:rPr>
                <w:rFonts w:ascii="Arial" w:cs="Arial" w:eastAsia="Arial" w:hAnsi="Arial"/>
                <w:sz w:val="18"/>
                <w:szCs w:val="18"/>
                <w:color w:val="auto"/>
              </w:rPr>
              <w:t>Negotiable order of withdrawal</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NPA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Nonperforming asset</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OCI</w:t>
            </w:r>
          </w:p>
        </w:tc>
        <w:tc>
          <w:tcPr>
            <w:tcW w:w="85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OREO</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real estate owned</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PCD</w:t>
            </w:r>
          </w:p>
        </w:tc>
        <w:tc>
          <w:tcPr>
            <w:tcW w:w="8580" w:type="dxa"/>
            <w:vAlign w:val="bottom"/>
          </w:tcPr>
          <w:p>
            <w:pPr>
              <w:ind w:left="20"/>
              <w:spacing w:after="0"/>
              <w:rPr>
                <w:sz w:val="20"/>
                <w:szCs w:val="20"/>
                <w:color w:val="auto"/>
              </w:rPr>
            </w:pPr>
            <w:r>
              <w:rPr>
                <w:rFonts w:ascii="Arial" w:cs="Arial" w:eastAsia="Arial" w:hAnsi="Arial"/>
                <w:sz w:val="18"/>
                <w:szCs w:val="18"/>
                <w:color w:val="auto"/>
              </w:rPr>
              <w:t>Purchased credit deteriorated</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Progress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Progress Financial Corporation and its wholly-owned subsidiary, Progress Bank &amp; Trust</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Reliant</w:t>
            </w:r>
          </w:p>
        </w:tc>
        <w:tc>
          <w:tcPr>
            <w:tcW w:w="8580" w:type="dxa"/>
            <w:vAlign w:val="bottom"/>
          </w:tcPr>
          <w:p>
            <w:pPr>
              <w:ind w:left="20"/>
              <w:spacing w:after="0"/>
              <w:rPr>
                <w:sz w:val="20"/>
                <w:szCs w:val="20"/>
                <w:color w:val="auto"/>
              </w:rPr>
            </w:pPr>
            <w:r>
              <w:rPr>
                <w:rFonts w:ascii="Arial" w:cs="Arial" w:eastAsia="Arial" w:hAnsi="Arial"/>
                <w:sz w:val="18"/>
                <w:szCs w:val="18"/>
                <w:color w:val="auto"/>
              </w:rPr>
              <w:t>Reliant Bancorp, Inc. and its wholly-owned subsidiary, Reliant Bank</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Report on Form 10-Q for the quarterly period ending September 30, 2023</w:t>
            </w: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SBA</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Small Business Administration</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SOFR</w:t>
            </w:r>
          </w:p>
        </w:tc>
        <w:tc>
          <w:tcPr>
            <w:tcW w:w="8580" w:type="dxa"/>
            <w:vAlign w:val="bottom"/>
          </w:tcPr>
          <w:p>
            <w:pPr>
              <w:ind w:left="2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TDR</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Troubled debt restructuring</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Department of the Treasury</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and its direct and indirect subsidiaries</w:t>
            </w: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USDA</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Department of Agriculture</w:t>
            </w: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interest entity</w:t>
            </w:r>
          </w:p>
        </w:tc>
      </w:tr>
    </w:tbl>
    <w:p>
      <w:pPr>
        <w:spacing w:after="0" w:line="200" w:lineRule="exact"/>
        <w:rPr>
          <w:sz w:val="20"/>
          <w:szCs w:val="20"/>
          <w:color w:val="auto"/>
        </w:rPr>
      </w:pPr>
    </w:p>
    <w:p>
      <w:pPr>
        <w:sectPr>
          <w:pgSz w:w="11900" w:h="16838" w:orient="portrait"/>
          <w:cols w:equalWidth="0" w:num="1">
            <w:col w:w="11200"/>
          </w:cols>
          <w:pgMar w:left="320" w:top="931" w:right="3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184"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loan underwriting, credit review or loss policies associated with economic conditions, examination conclusions or regulatory developments;</w:t>
      </w:r>
    </w:p>
    <w:p>
      <w:pPr>
        <w:spacing w:after="0" w:line="20" w:lineRule="exact"/>
        <w:rPr>
          <w:rFonts w:ascii="Arial" w:cs="Arial" w:eastAsia="Arial" w:hAnsi="Arial"/>
          <w:sz w:val="16"/>
          <w:szCs w:val="16"/>
          <w:color w:val="auto"/>
        </w:rPr>
      </w:pPr>
    </w:p>
    <w:p>
      <w:pPr>
        <w:ind w:left="340" w:right="20" w:hanging="332"/>
        <w:spacing w:after="0" w:line="23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pandemics or public health conditions on the economic and business environments in which we operate, including the impact of actions taken by governmental authorities to address these situations;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fluctuations or unanticipated changes in the interest rate environment, including interest rate changes made by the Federal Reserve, replacements of LIBOR and replacement or reform of other interest rate benchmarks,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unanticipated or greater than anticipated adverse conditions in the national or local economies in which we operate;</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our ability to identify and complete future mergers or acquisitions as well as our ability to successfully expand and integrate those businesses and operations that we acquire;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4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and access to capital, particularly if there were to be increased capital requirements or enhanced regulatory supervision;</w:t>
      </w:r>
    </w:p>
    <w:p>
      <w:pPr>
        <w:spacing w:after="0" w:line="1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ACL resulting from the CECL methodology, either alone or as that may be affected by conditions affecting our business;</w:t>
      </w:r>
    </w:p>
    <w:p>
      <w:pPr>
        <w:spacing w:after="0" w:line="9" w:lineRule="exact"/>
        <w:rPr>
          <w:rFonts w:ascii="Arial" w:cs="Arial" w:eastAsia="Arial" w:hAnsi="Arial"/>
          <w:sz w:val="18"/>
          <w:szCs w:val="18"/>
          <w:color w:val="auto"/>
        </w:rPr>
      </w:pPr>
    </w:p>
    <w:p>
      <w:pPr>
        <w:ind w:left="340" w:right="20" w:hanging="332"/>
        <w:spacing w:after="0" w:line="26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 such as goodwill;</w:t>
      </w:r>
    </w:p>
    <w:p>
      <w:pPr>
        <w:spacing w:after="0" w:line="9" w:lineRule="exact"/>
        <w:rPr>
          <w:rFonts w:ascii="Arial" w:cs="Arial" w:eastAsia="Arial" w:hAnsi="Arial"/>
          <w:sz w:val="18"/>
          <w:szCs w:val="18"/>
          <w:color w:val="auto"/>
        </w:rPr>
      </w:pPr>
    </w:p>
    <w:p>
      <w:pPr>
        <w:ind w:left="340" w:hanging="332"/>
        <w:spacing w:after="0" w:line="24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 w:lineRule="exact"/>
        <w:rPr>
          <w:rFonts w:ascii="Arial" w:cs="Arial" w:eastAsia="Arial" w:hAnsi="Arial"/>
          <w:sz w:val="18"/>
          <w:szCs w:val="18"/>
          <w:color w:val="auto"/>
        </w:rPr>
      </w:pPr>
    </w:p>
    <w:p>
      <w:pPr>
        <w:ind w:left="340" w:right="540" w:hanging="332"/>
        <w:spacing w:after="0" w:line="239"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events beyond our control that may have a destabilizing effect on financial markets and the economy, such as inflation or recession, terrorist activities, wars and other foreign conflicts, climate change, disruptions in our customers’ supply chains, disruptions in transportation, essential utility outages or trade disputes and related tariffs; and</w:t>
      </w:r>
    </w:p>
    <w:p>
      <w:pPr>
        <w:ind w:left="340" w:hanging="332"/>
        <w:spacing w:after="0" w:line="26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2022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center"/>
        <w:ind w:right="60"/>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195,771</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Interest-bearing deposits in banks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566,779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316,082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funds and other short-term investments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0" w:type="dxa"/>
            <w:vAlign w:val="bottom"/>
          </w:tcPr>
          <w:p>
            <w:pPr>
              <w:spacing w:after="0"/>
              <w:rPr>
                <w:sz w:val="1"/>
                <w:szCs w:val="1"/>
                <w:color w:val="auto"/>
              </w:rPr>
            </w:pPr>
          </w:p>
        </w:tc>
      </w:tr>
      <w:tr>
        <w:trPr>
          <w:trHeight w:val="207"/>
        </w:trPr>
        <w:tc>
          <w:tcPr>
            <w:tcW w:w="84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759,505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646,853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securities available-for-sale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3,614,333</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Debt securities held-to-maturity (fair value $1,992,364 and $2,191,073, respectively)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2,518,773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2,613,648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held for 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Loans and leases held for investment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18,202,807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15,334,627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allowance for credit losses - loans and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(159,357)</w:t>
            </w:r>
          </w:p>
        </w:tc>
        <w:tc>
          <w:tcPr>
            <w:tcW w:w="0" w:type="dxa"/>
            <w:vAlign w:val="bottom"/>
          </w:tcPr>
          <w:p>
            <w:pPr>
              <w:spacing w:after="0"/>
              <w:rPr>
                <w:sz w:val="1"/>
                <w:szCs w:val="1"/>
                <w:color w:val="auto"/>
              </w:rPr>
            </w:pPr>
          </w:p>
        </w:tc>
      </w:tr>
      <w:tr>
        <w:trPr>
          <w:trHeight w:val="206"/>
        </w:trPr>
        <w:tc>
          <w:tcPr>
            <w:tcW w:w="8440" w:type="dxa"/>
            <w:vAlign w:val="bottom"/>
          </w:tcPr>
          <w:p>
            <w:pPr>
              <w:ind w:left="260"/>
              <w:spacing w:after="0"/>
              <w:rPr>
                <w:sz w:val="20"/>
                <w:szCs w:val="20"/>
                <w:color w:val="auto"/>
              </w:rPr>
            </w:pPr>
            <w:r>
              <w:rPr>
                <w:rFonts w:ascii="Arial" w:cs="Arial" w:eastAsia="Arial" w:hAnsi="Arial"/>
                <w:sz w:val="16"/>
                <w:szCs w:val="16"/>
                <w:color w:val="auto"/>
              </w:rPr>
              <w:t>Loans and leases, net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18,001,250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15,175,270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Premises and equipment,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298,456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Bank owned life insurance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344,647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299,297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other intangible assets,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779,248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660,233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568,179</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26,869,207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24,008,884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Noninterest-bearing demand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6,782,031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7,643,081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Interest-bearing deposits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16,075,837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12,233,426</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deposits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22,857,868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19,876,507</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Short-term borrowings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37,348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158,933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324,663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465,381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398,107</w:t>
            </w:r>
          </w:p>
        </w:tc>
        <w:tc>
          <w:tcPr>
            <w:tcW w:w="0" w:type="dxa"/>
            <w:vAlign w:val="bottom"/>
          </w:tcPr>
          <w:p>
            <w:pPr>
              <w:spacing w:after="0"/>
              <w:rPr>
                <w:sz w:val="1"/>
                <w:szCs w:val="1"/>
                <w:color w:val="auto"/>
              </w:rPr>
            </w:pPr>
          </w:p>
        </w:tc>
      </w:tr>
      <w:tr>
        <w:trPr>
          <w:trHeight w:val="206"/>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23,685,383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21,308,210</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40" w:type="dxa"/>
            <w:vAlign w:val="bottom"/>
          </w:tcPr>
          <w:p>
            <w:pPr>
              <w:ind w:left="140"/>
              <w:spacing w:after="0" w:line="166" w:lineRule="exact"/>
              <w:rPr>
                <w:sz w:val="20"/>
                <w:szCs w:val="20"/>
                <w:color w:val="auto"/>
              </w:rPr>
            </w:pPr>
            <w:r>
              <w:rPr>
                <w:rFonts w:ascii="Arial" w:cs="Arial" w:eastAsia="Arial" w:hAnsi="Arial"/>
                <w:sz w:val="16"/>
                <w:szCs w:val="16"/>
                <w:color w:val="auto"/>
              </w:rPr>
              <w:t>Preferred stock, $1 par value: 10,000,000 shares authorized; 3,745 and 4,000 shares Series I issued and</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90,283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09"/>
        </w:trPr>
        <w:tc>
          <w:tcPr>
            <w:tcW w:w="8440" w:type="dxa"/>
            <w:vAlign w:val="bottom"/>
          </w:tcPr>
          <w:p>
            <w:pPr>
              <w:ind w:left="220"/>
              <w:spacing w:after="0"/>
              <w:rPr>
                <w:sz w:val="20"/>
                <w:szCs w:val="20"/>
                <w:color w:val="auto"/>
              </w:rPr>
            </w:pPr>
            <w:r>
              <w:rPr>
                <w:rFonts w:ascii="Arial" w:cs="Arial" w:eastAsia="Arial" w:hAnsi="Arial"/>
                <w:sz w:val="16"/>
                <w:szCs w:val="16"/>
                <w:color w:val="auto"/>
              </w:rPr>
              <w:t>outstanding, respectively; $25,000 per share liquidation preference</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Common stock, $1 par value: 200,000,000 shares authorized,</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118,976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106,223</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118,975,652 and 106,222,758 shares issued and outstanding, respectively</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Common stock issuable: 608,646 and 607,128 shares, respectively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12,307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2,697,671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2,306,366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596,617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508,844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(329,488)</w:t>
            </w:r>
          </w:p>
        </w:tc>
        <w:tc>
          <w:tcPr>
            <w:tcW w:w="0" w:type="dxa"/>
            <w:vAlign w:val="bottom"/>
          </w:tcPr>
          <w:p>
            <w:pPr>
              <w:spacing w:after="0"/>
              <w:rPr>
                <w:sz w:val="1"/>
                <w:szCs w:val="1"/>
                <w:color w:val="auto"/>
              </w:rPr>
            </w:pPr>
          </w:p>
        </w:tc>
      </w:tr>
      <w:tr>
        <w:trPr>
          <w:trHeight w:val="206"/>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3,183,824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2,700,674</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26,869,207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24,008,884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6" w:right="27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88"/>
              <w:spacing w:after="0"/>
              <w:rPr>
                <w:sz w:val="20"/>
                <w:szCs w:val="20"/>
                <w:color w:val="auto"/>
              </w:rPr>
            </w:pPr>
            <w:r>
              <w:rPr>
                <w:rFonts w:ascii="Arial" w:cs="Arial" w:eastAsia="Arial" w:hAnsi="Arial"/>
                <w:sz w:val="15"/>
                <w:szCs w:val="15"/>
                <w:b w:val="1"/>
                <w:bCs w:val="1"/>
                <w:color w:val="auto"/>
              </w:rPr>
              <w:t>Nine Months Ended</w:t>
            </w:r>
          </w:p>
        </w:tc>
      </w:tr>
      <w:tr>
        <w:trPr>
          <w:trHeight w:val="210"/>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198"/>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w w:val="89"/>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w w:val="95"/>
              </w:rPr>
              <w:t>2022</w:t>
            </w:r>
          </w:p>
        </w:tc>
      </w:tr>
      <w:tr>
        <w:trPr>
          <w:trHeight w:val="175"/>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Interest revenue: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6"/>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including fees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273,781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174,065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760,696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476,072</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w w:val="98"/>
              </w:rPr>
              <w:t>Investment securities, including tax exempt of $1,722, $2,568, $5,563 and $7,762, respectively</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44,729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125,775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91,043</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Deposits in banks and short-term investments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11,938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5,209</w:t>
            </w:r>
          </w:p>
        </w:tc>
      </w:tr>
      <w:tr>
        <w:trPr>
          <w:trHeight w:val="176"/>
        </w:trPr>
        <w:tc>
          <w:tcPr>
            <w:tcW w:w="5920" w:type="dxa"/>
            <w:vAlign w:val="bottom"/>
          </w:tcPr>
          <w:p>
            <w:pPr>
              <w:ind w:left="360"/>
              <w:spacing w:after="0"/>
              <w:rPr>
                <w:sz w:val="20"/>
                <w:szCs w:val="20"/>
                <w:color w:val="auto"/>
              </w:rPr>
            </w:pPr>
            <w:r>
              <w:rPr>
                <w:rFonts w:ascii="Arial" w:cs="Arial" w:eastAsia="Arial" w:hAnsi="Arial"/>
                <w:sz w:val="14"/>
                <w:szCs w:val="14"/>
                <w:color w:val="auto"/>
              </w:rPr>
              <w:t>Total interest revenue</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323,147</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213,887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898,409</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572,324</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5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4"/>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1"/>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116,733</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263,811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17,313</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Federal Home Loan Bank advances</w:t>
            </w: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11,339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12,515</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interest expense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120,591</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284,097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29,855</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Net interest revenue</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202,556</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199,774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614,312</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542,469</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30,268</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15,392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74,804</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44,082</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Net interest revenue after provision for credit losses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172,288</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184,382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539,508</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498,387</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5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4"/>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1"/>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Service charges and fees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10,315</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9,569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28,791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28,644</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Mortgage loan gains and other related fees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6,159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17,264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29,420</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Wealth management fees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17,759</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Gains from sales of other loans, net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6,909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9,226</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Lending and loan servicing fees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7,518</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Securities losses, net</w:t>
            </w:r>
          </w:p>
        </w:tc>
        <w:tc>
          <w:tcPr>
            <w:tcW w:w="2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(3,688)</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3,379</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19,499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15,474</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Total noninterest income</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31,977</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31,922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98,573</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104,353</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204,265</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216,304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638,081</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602,740</w:t>
            </w:r>
          </w:p>
        </w:tc>
      </w:tr>
      <w:tr>
        <w:trPr>
          <w:trHeight w:val="182"/>
        </w:trPr>
        <w:tc>
          <w:tcPr>
            <w:tcW w:w="59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Salaries and employee benefits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81,173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67,823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236,121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208,062</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Communications and equipment</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10,902</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31,654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27,718</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10,941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27,381</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Advertising and public relations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6,332</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Postage, printing and supplies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2,386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7,305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6,308</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7,006</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19,670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14,670</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Lending and loan servicing expense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7,746</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Outside services - electronic banking</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8,629</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FDIC assessments and other regulatory charges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12,457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6,796</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Amortization of intangibles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5,207</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Merger-related and other charges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9,168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21,444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17,905</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6,904</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22,785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16,066</w:t>
            </w:r>
          </w:p>
        </w:tc>
      </w:tr>
      <w:tr>
        <w:trPr>
          <w:trHeight w:val="176"/>
        </w:trPr>
        <w:tc>
          <w:tcPr>
            <w:tcW w:w="5920" w:type="dxa"/>
            <w:vAlign w:val="bottom"/>
          </w:tcPr>
          <w:p>
            <w:pPr>
              <w:ind w:left="220"/>
              <w:spacing w:after="0"/>
              <w:rPr>
                <w:sz w:val="20"/>
                <w:szCs w:val="20"/>
                <w:color w:val="auto"/>
              </w:rPr>
            </w:pPr>
            <w:r>
              <w:rPr>
                <w:rFonts w:ascii="Arial" w:cs="Arial" w:eastAsia="Arial" w:hAnsi="Arial"/>
                <w:sz w:val="14"/>
                <w:szCs w:val="14"/>
                <w:color w:val="auto"/>
              </w:rPr>
              <w:t>Total noninterest expenses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144,474</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112,755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416,686</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352,820</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6"/>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Income before income taxes</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59,791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103,549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221,395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249,920</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11,925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47,941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53,898</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1"/>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47,866</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81,161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173,454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196,022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8"/>
        </w:trPr>
        <w:tc>
          <w:tcPr>
            <w:tcW w:w="5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168,245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189,858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0.39</w:t>
            </w:r>
          </w:p>
        </w:tc>
        <w:tc>
          <w:tcPr>
            <w:tcW w:w="12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2"/>
        </w:trPr>
        <w:tc>
          <w:tcPr>
            <w:tcW w:w="592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119,506</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106,687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116,925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106,616</w:t>
            </w: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119,624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106,800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117,084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106,732</w:t>
            </w:r>
          </w:p>
        </w:tc>
      </w:tr>
    </w:tbl>
    <w:p>
      <w:pPr>
        <w:spacing w:after="0" w:line="9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Comprehensive Income (Loss) </w:t>
      </w:r>
      <w:r>
        <w:rPr>
          <w:rFonts w:ascii="Arial" w:cs="Arial" w:eastAsia="Arial" w:hAnsi="Arial"/>
          <w:sz w:val="16"/>
          <w:szCs w:val="16"/>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3"/>
              <w:spacing w:after="0"/>
              <w:rPr>
                <w:sz w:val="20"/>
                <w:szCs w:val="20"/>
                <w:color w:val="auto"/>
              </w:rPr>
            </w:pPr>
            <w:r>
              <w:rPr>
                <w:rFonts w:ascii="Arial" w:cs="Arial" w:eastAsia="Arial" w:hAnsi="Arial"/>
                <w:sz w:val="16"/>
                <w:szCs w:val="16"/>
                <w:b w:val="1"/>
                <w:bCs w:val="1"/>
                <w:color w:val="auto"/>
                <w:w w:val="91"/>
              </w:rPr>
              <w:t>Three Months Ended September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3"/>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3"/>
              </w:rPr>
              <w:t>Net of Tax</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860" w:type="dxa"/>
            <w:vAlign w:val="bottom"/>
            <w:gridSpan w:val="2"/>
            <w:vMerge w:val="restart"/>
          </w:tcPr>
          <w:p>
            <w:pPr>
              <w:jc w:val="right"/>
              <w:ind w:right="3"/>
              <w:spacing w:after="0"/>
              <w:rPr>
                <w:sz w:val="20"/>
                <w:szCs w:val="20"/>
                <w:color w:val="auto"/>
              </w:rPr>
            </w:pPr>
            <w:r>
              <w:rPr>
                <w:rFonts w:ascii="Arial" w:cs="Arial" w:eastAsia="Arial" w:hAnsi="Arial"/>
                <w:sz w:val="16"/>
                <w:szCs w:val="16"/>
                <w:b w:val="1"/>
                <w:bCs w:val="1"/>
                <w:color w:val="auto"/>
                <w:w w:val="98"/>
              </w:rPr>
              <w:t>Net of Tax</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(Expense)</w:t>
            </w:r>
          </w:p>
        </w:tc>
        <w:tc>
          <w:tcPr>
            <w:tcW w:w="9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(Expense)</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740" w:type="dxa"/>
            <w:vAlign w:val="bottom"/>
          </w:tcPr>
          <w:p>
            <w:pPr>
              <w:jc w:val="right"/>
              <w:ind w:right="6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59,791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173,454</w:t>
            </w:r>
          </w:p>
        </w:tc>
        <w:tc>
          <w:tcPr>
            <w:tcW w:w="0" w:type="dxa"/>
            <w:vAlign w:val="bottom"/>
          </w:tcPr>
          <w:p>
            <w:pPr>
              <w:spacing w:after="0"/>
              <w:rPr>
                <w:sz w:val="1"/>
                <w:szCs w:val="1"/>
                <w:color w:val="auto"/>
              </w:rPr>
            </w:pPr>
          </w:p>
        </w:tc>
      </w:tr>
      <w:tr>
        <w:trPr>
          <w:trHeight w:val="198"/>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Other comprehensive income: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Unrealized losses on available-for-sale securities: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gridSpan w:val="2"/>
          </w:tcPr>
          <w:p>
            <w:pPr>
              <w:ind w:left="240"/>
              <w:spacing w:after="0"/>
              <w:rPr>
                <w:sz w:val="20"/>
                <w:szCs w:val="20"/>
                <w:color w:val="auto"/>
              </w:rPr>
            </w:pPr>
            <w:r>
              <w:rPr>
                <w:rFonts w:ascii="Arial" w:cs="Arial" w:eastAsia="Arial" w:hAnsi="Arial"/>
                <w:sz w:val="15"/>
                <w:szCs w:val="15"/>
                <w:color w:val="auto"/>
              </w:rPr>
              <w:t>Unrealized holding losses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(38,209)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(29,309)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(14,683)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3,398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(11,285)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Reclassification adjustment for losses included in net income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w:t>
            </w:r>
          </w:p>
        </w:tc>
        <w:tc>
          <w:tcPr>
            <w:tcW w:w="0" w:type="dxa"/>
            <w:vAlign w:val="bottom"/>
          </w:tcPr>
          <w:p>
            <w:pPr>
              <w:spacing w:after="0"/>
              <w:rPr>
                <w:sz w:val="1"/>
                <w:szCs w:val="1"/>
                <w:color w:val="auto"/>
              </w:rPr>
            </w:pPr>
          </w:p>
        </w:tc>
      </w:tr>
      <w:tr>
        <w:trPr>
          <w:trHeight w:val="192"/>
        </w:trPr>
        <w:tc>
          <w:tcPr>
            <w:tcW w:w="5660" w:type="dxa"/>
            <w:vAlign w:val="bottom"/>
            <w:gridSpan w:val="2"/>
          </w:tcPr>
          <w:p>
            <w:pPr>
              <w:ind w:left="360"/>
              <w:spacing w:after="0"/>
              <w:rPr>
                <w:sz w:val="20"/>
                <w:szCs w:val="20"/>
                <w:color w:val="auto"/>
              </w:rPr>
            </w:pPr>
            <w:r>
              <w:rPr>
                <w:rFonts w:ascii="Arial" w:cs="Arial" w:eastAsia="Arial" w:hAnsi="Arial"/>
                <w:sz w:val="15"/>
                <w:szCs w:val="15"/>
                <w:color w:val="auto"/>
              </w:rPr>
              <w:t>Net unrealized losses</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(38,209)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8,900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(29,309)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(13,039)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3,024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(10,015)</w:t>
            </w:r>
          </w:p>
        </w:tc>
        <w:tc>
          <w:tcPr>
            <w:tcW w:w="0" w:type="dxa"/>
            <w:vAlign w:val="bottom"/>
          </w:tcPr>
          <w:p>
            <w:pPr>
              <w:spacing w:after="0"/>
              <w:rPr>
                <w:sz w:val="1"/>
                <w:szCs w:val="1"/>
                <w:color w:val="auto"/>
              </w:rPr>
            </w:pPr>
          </w:p>
        </w:tc>
      </w:tr>
      <w:tr>
        <w:trPr>
          <w:trHeight w:val="153"/>
        </w:trPr>
        <w:tc>
          <w:tcPr>
            <w:tcW w:w="566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5"/>
                <w:szCs w:val="15"/>
                <w:color w:val="auto"/>
              </w:rPr>
              <w:t>Amortization of unrealized losses on held-to-maturity securities transferred from</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available-for-sale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6,047</w:t>
            </w:r>
          </w:p>
        </w:tc>
        <w:tc>
          <w:tcPr>
            <w:tcW w:w="0" w:type="dxa"/>
            <w:vAlign w:val="bottom"/>
          </w:tcPr>
          <w:p>
            <w:pPr>
              <w:spacing w:after="0"/>
              <w:rPr>
                <w:sz w:val="1"/>
                <w:szCs w:val="1"/>
                <w:color w:val="auto"/>
              </w:rPr>
            </w:pPr>
          </w:p>
        </w:tc>
      </w:tr>
      <w:tr>
        <w:trPr>
          <w:trHeight w:val="198"/>
        </w:trPr>
        <w:tc>
          <w:tcPr>
            <w:tcW w:w="5660" w:type="dxa"/>
            <w:vAlign w:val="bottom"/>
            <w:gridSpan w:val="2"/>
          </w:tcPr>
          <w:p>
            <w:pPr>
              <w:ind w:left="140"/>
              <w:spacing w:after="0"/>
              <w:rPr>
                <w:sz w:val="20"/>
                <w:szCs w:val="20"/>
                <w:color w:val="auto"/>
              </w:rPr>
            </w:pPr>
            <w:r>
              <w:rPr>
                <w:rFonts w:ascii="Arial" w:cs="Arial" w:eastAsia="Arial" w:hAnsi="Arial"/>
                <w:sz w:val="15"/>
                <w:szCs w:val="15"/>
                <w:color w:val="auto"/>
              </w:rPr>
              <w:t>Derivative instruments designated as cash flow hedges: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Unrealized holding gains on derivatives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2,377</w:t>
            </w:r>
          </w:p>
        </w:tc>
        <w:tc>
          <w:tcPr>
            <w:tcW w:w="0" w:type="dxa"/>
            <w:vAlign w:val="bottom"/>
          </w:tcPr>
          <w:p>
            <w:pPr>
              <w:spacing w:after="0"/>
              <w:rPr>
                <w:sz w:val="1"/>
                <w:szCs w:val="1"/>
                <w:color w:val="auto"/>
              </w:rPr>
            </w:pPr>
          </w:p>
        </w:tc>
      </w:tr>
      <w:tr>
        <w:trPr>
          <w:trHeight w:val="199"/>
        </w:trPr>
        <w:tc>
          <w:tcPr>
            <w:tcW w:w="5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color w:val="auto"/>
              </w:rPr>
              <w:t>Gains on derivative instruments realized in net income</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(1,562)</w:t>
            </w:r>
          </w:p>
        </w:tc>
        <w:tc>
          <w:tcPr>
            <w:tcW w:w="0" w:type="dxa"/>
            <w:vAlign w:val="bottom"/>
          </w:tcPr>
          <w:p>
            <w:pPr>
              <w:spacing w:after="0"/>
              <w:rPr>
                <w:sz w:val="1"/>
                <w:szCs w:val="1"/>
                <w:color w:val="auto"/>
              </w:rPr>
            </w:pPr>
          </w:p>
        </w:tc>
      </w:tr>
      <w:tr>
        <w:trPr>
          <w:trHeight w:val="200"/>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Net cash flow hedge activity</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Amortization of defined benefit pension plan net periodic pension cost components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0"/>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other comprehensive loss</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(34,621)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(26,598)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(3,017)</w:t>
            </w:r>
          </w:p>
        </w:tc>
        <w:tc>
          <w:tcPr>
            <w:tcW w:w="0" w:type="dxa"/>
            <w:vAlign w:val="bottom"/>
          </w:tcPr>
          <w:p>
            <w:pPr>
              <w:spacing w:after="0"/>
              <w:rPr>
                <w:sz w:val="1"/>
                <w:szCs w:val="1"/>
                <w:color w:val="auto"/>
              </w:rPr>
            </w:pPr>
          </w:p>
        </w:tc>
      </w:tr>
      <w:tr>
        <w:trPr>
          <w:trHeight w:val="169"/>
        </w:trPr>
        <w:tc>
          <w:tcPr>
            <w:tcW w:w="566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Comprehensive income</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
              <w:spacing w:after="0" w:line="169" w:lineRule="exact"/>
              <w:rPr>
                <w:sz w:val="20"/>
                <w:szCs w:val="20"/>
                <w:color w:val="auto"/>
              </w:rPr>
            </w:pPr>
            <w:r>
              <w:rPr>
                <w:rFonts w:ascii="Arial" w:cs="Arial" w:eastAsia="Arial" w:hAnsi="Arial"/>
                <w:sz w:val="15"/>
                <w:szCs w:val="15"/>
                <w:color w:val="auto"/>
              </w:rPr>
              <w:t>25,170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(3,902)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21,268</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217,597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(47,160)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170,437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60" w:type="dxa"/>
            <w:vAlign w:val="bottom"/>
            <w:tcBorders>
              <w:bottom w:val="single" w:sz="8" w:color="auto"/>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2022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103,549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(22,388)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81,161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249,920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(53,898)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196,022</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gridSpan w:val="2"/>
          </w:tcPr>
          <w:p>
            <w:pPr>
              <w:ind w:left="140"/>
              <w:spacing w:after="0"/>
              <w:rPr>
                <w:sz w:val="20"/>
                <w:szCs w:val="20"/>
                <w:color w:val="auto"/>
              </w:rPr>
            </w:pPr>
            <w:r>
              <w:rPr>
                <w:rFonts w:ascii="Arial" w:cs="Arial" w:eastAsia="Arial" w:hAnsi="Arial"/>
                <w:sz w:val="15"/>
                <w:szCs w:val="15"/>
                <w:color w:val="auto"/>
              </w:rPr>
              <w:t>Unrealized losses on available-for-sale securities: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Unrealized holding losses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(429,607)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101,269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(328,338)</w:t>
            </w:r>
          </w:p>
        </w:tc>
        <w:tc>
          <w:tcPr>
            <w:tcW w:w="0" w:type="dxa"/>
            <w:vAlign w:val="bottom"/>
          </w:tcPr>
          <w:p>
            <w:pPr>
              <w:spacing w:after="0"/>
              <w:rPr>
                <w:sz w:val="1"/>
                <w:szCs w:val="1"/>
                <w:color w:val="auto"/>
              </w:rPr>
            </w:pPr>
          </w:p>
        </w:tc>
      </w:tr>
      <w:tr>
        <w:trPr>
          <w:trHeight w:val="198"/>
        </w:trPr>
        <w:tc>
          <w:tcPr>
            <w:tcW w:w="5660" w:type="dxa"/>
            <w:vAlign w:val="bottom"/>
            <w:gridSpan w:val="2"/>
          </w:tcPr>
          <w:p>
            <w:pPr>
              <w:ind w:left="240"/>
              <w:spacing w:after="0"/>
              <w:rPr>
                <w:sz w:val="20"/>
                <w:szCs w:val="20"/>
                <w:color w:val="auto"/>
              </w:rPr>
            </w:pPr>
            <w:r>
              <w:rPr>
                <w:rFonts w:ascii="Arial" w:cs="Arial" w:eastAsia="Arial" w:hAnsi="Arial"/>
                <w:sz w:val="15"/>
                <w:szCs w:val="15"/>
                <w:color w:val="auto"/>
              </w:rPr>
              <w:t>Reclassification of securities from available-for-sale to held-to-maturity</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87,444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66,674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Reclassification adjustment for losses included in net income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2,709</w:t>
            </w:r>
          </w:p>
        </w:tc>
        <w:tc>
          <w:tcPr>
            <w:tcW w:w="0" w:type="dxa"/>
            <w:vAlign w:val="bottom"/>
          </w:tcPr>
          <w:p>
            <w:pPr>
              <w:spacing w:after="0"/>
              <w:rPr>
                <w:sz w:val="1"/>
                <w:szCs w:val="1"/>
                <w:color w:val="auto"/>
              </w:rPr>
            </w:pPr>
          </w:p>
        </w:tc>
      </w:tr>
      <w:tr>
        <w:trPr>
          <w:trHeight w:val="192"/>
        </w:trPr>
        <w:tc>
          <w:tcPr>
            <w:tcW w:w="5660" w:type="dxa"/>
            <w:vAlign w:val="bottom"/>
            <w:gridSpan w:val="2"/>
          </w:tcPr>
          <w:p>
            <w:pPr>
              <w:ind w:left="360"/>
              <w:spacing w:after="0"/>
              <w:rPr>
                <w:sz w:val="20"/>
                <w:szCs w:val="20"/>
                <w:color w:val="auto"/>
              </w:rPr>
            </w:pPr>
            <w:r>
              <w:rPr>
                <w:rFonts w:ascii="Arial" w:cs="Arial" w:eastAsia="Arial" w:hAnsi="Arial"/>
                <w:sz w:val="15"/>
                <w:szCs w:val="15"/>
                <w:color w:val="auto"/>
              </w:rPr>
              <w:t>Net unrealized losses</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(104,754)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24,495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(80,259)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(338,475)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79,520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(258,955)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Unrealized losses on held-to-maturity securities transferred from available-for-sale: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gridSpan w:val="2"/>
          </w:tcPr>
          <w:p>
            <w:pPr>
              <w:ind w:left="220"/>
              <w:spacing w:after="0"/>
              <w:rPr>
                <w:sz w:val="20"/>
                <w:szCs w:val="20"/>
                <w:color w:val="auto"/>
              </w:rPr>
            </w:pPr>
            <w:r>
              <w:rPr>
                <w:rFonts w:ascii="Arial" w:cs="Arial" w:eastAsia="Arial" w:hAnsi="Arial"/>
                <w:sz w:val="15"/>
                <w:szCs w:val="15"/>
                <w:color w:val="auto"/>
              </w:rPr>
              <w:t>Reclassification of unrealized losses</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(87,444)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20,770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(66,674)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Amortization of unrealized losses</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4,473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4,747</w:t>
            </w:r>
          </w:p>
        </w:tc>
        <w:tc>
          <w:tcPr>
            <w:tcW w:w="0" w:type="dxa"/>
            <w:vAlign w:val="bottom"/>
          </w:tcPr>
          <w:p>
            <w:pPr>
              <w:spacing w:after="0"/>
              <w:rPr>
                <w:sz w:val="1"/>
                <w:szCs w:val="1"/>
                <w:color w:val="auto"/>
              </w:rPr>
            </w:pPr>
          </w:p>
        </w:tc>
      </w:tr>
      <w:tr>
        <w:trPr>
          <w:trHeight w:val="192"/>
        </w:trPr>
        <w:tc>
          <w:tcPr>
            <w:tcW w:w="5660" w:type="dxa"/>
            <w:vAlign w:val="bottom"/>
            <w:gridSpan w:val="2"/>
          </w:tcPr>
          <w:p>
            <w:pPr>
              <w:ind w:left="360"/>
              <w:spacing w:after="0"/>
              <w:rPr>
                <w:sz w:val="20"/>
                <w:szCs w:val="20"/>
                <w:color w:val="auto"/>
              </w:rPr>
            </w:pPr>
            <w:r>
              <w:rPr>
                <w:rFonts w:ascii="Arial" w:cs="Arial" w:eastAsia="Arial" w:hAnsi="Arial"/>
                <w:sz w:val="15"/>
                <w:szCs w:val="15"/>
                <w:color w:val="auto"/>
              </w:rPr>
              <w:t>Net activity</w:t>
            </w:r>
          </w:p>
        </w:tc>
        <w:tc>
          <w:tcPr>
            <w:tcW w:w="10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4,473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(81,202)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19,275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(61,927)</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Derivative instruments designated as cash flow hedges: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gridSpan w:val="2"/>
          </w:tcPr>
          <w:p>
            <w:pPr>
              <w:ind w:left="260"/>
              <w:spacing w:after="0"/>
              <w:rPr>
                <w:sz w:val="20"/>
                <w:szCs w:val="20"/>
                <w:color w:val="auto"/>
              </w:rPr>
            </w:pPr>
            <w:r>
              <w:rPr>
                <w:rFonts w:ascii="Arial" w:cs="Arial" w:eastAsia="Arial" w:hAnsi="Arial"/>
                <w:sz w:val="15"/>
                <w:szCs w:val="15"/>
                <w:color w:val="auto"/>
              </w:rPr>
              <w:t>Unrealized holding gains on derivatives</w:t>
            </w:r>
          </w:p>
        </w:tc>
        <w:tc>
          <w:tcPr>
            <w:tcW w:w="1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5,034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12,914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9,615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Losses on derivative instruments realized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92"/>
        </w:trPr>
        <w:tc>
          <w:tcPr>
            <w:tcW w:w="5660" w:type="dxa"/>
            <w:vAlign w:val="bottom"/>
            <w:gridSpan w:val="2"/>
          </w:tcPr>
          <w:p>
            <w:pPr>
              <w:ind w:left="360"/>
              <w:spacing w:after="0"/>
              <w:rPr>
                <w:sz w:val="20"/>
                <w:szCs w:val="20"/>
                <w:color w:val="auto"/>
              </w:rPr>
            </w:pPr>
            <w:r>
              <w:rPr>
                <w:rFonts w:ascii="Arial" w:cs="Arial" w:eastAsia="Arial" w:hAnsi="Arial"/>
                <w:sz w:val="15"/>
                <w:szCs w:val="15"/>
                <w:color w:val="auto"/>
              </w:rPr>
              <w:t>Net cash flow hedge activity</w:t>
            </w:r>
          </w:p>
        </w:tc>
        <w:tc>
          <w:tcPr>
            <w:tcW w:w="10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5,082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9,835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Amortization of defined benefit pension plan net periodic pension cost components</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other comprehensive loss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(95,030)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22,081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(72,949)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(405,958)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95,291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(310,667)</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8,519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8,212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(156,038)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41,393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(114,645)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Consolidated Statement of Changes in Shareholders’ Equity </w:t>
      </w:r>
      <w:r>
        <w:rPr>
          <w:rFonts w:ascii="Arial" w:cs="Arial" w:eastAsia="Arial" w:hAnsi="Arial"/>
          <w:sz w:val="14"/>
          <w:szCs w:val="14"/>
          <w:i w:val="1"/>
          <w:iCs w:val="1"/>
          <w:color w:val="auto"/>
        </w:rPr>
        <w:t>(Unaudited)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2022</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stock dividends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dividends ($0.22 per share)</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Impact of equity-based compensation awards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Impact of other United sponsored equity plans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September 30, 2022</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Shares of</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Issuable</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Surplus</w:t>
            </w: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106,033,960</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106,034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11,448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2,304,608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396,970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(264,194)</w:t>
            </w:r>
          </w:p>
        </w:tc>
        <w:tc>
          <w:tcPr>
            <w:tcW w:w="14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2,651,288</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81,161</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(72,949)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(72,949)</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(23,624)</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Arial" w:cs="Arial" w:eastAsia="Arial" w:hAnsi="Arial"/>
                <w:sz w:val="14"/>
                <w:szCs w:val="14"/>
                <w:color w:val="auto"/>
              </w:rPr>
              <w:t>126,400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980" w:type="dxa"/>
            <w:vAlign w:val="bottom"/>
          </w:tcPr>
          <w:p>
            <w:pPr>
              <w:jc w:val="right"/>
              <w:spacing w:after="0"/>
              <w:rPr>
                <w:sz w:val="20"/>
                <w:szCs w:val="20"/>
                <w:color w:val="auto"/>
              </w:rPr>
            </w:pPr>
            <w:r>
              <w:rPr>
                <w:rFonts w:ascii="Arial" w:cs="Arial" w:eastAsia="Arial" w:hAnsi="Arial"/>
                <w:sz w:val="14"/>
                <w:szCs w:val="14"/>
                <w:color w:val="auto"/>
              </w:rPr>
              <w:t>106,162,861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106,163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11,966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2,304,514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452,788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(337,143)</w:t>
            </w:r>
          </w:p>
        </w:tc>
        <w:tc>
          <w:tcPr>
            <w:tcW w:w="1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2,634,710</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-1079500</wp:posOffset>
            </wp:positionV>
            <wp:extent cx="70980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-814070</wp:posOffset>
            </wp:positionV>
            <wp:extent cx="70980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-556895</wp:posOffset>
            </wp:positionV>
            <wp:extent cx="709803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-299720</wp:posOffset>
            </wp:positionV>
            <wp:extent cx="709803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00" w:space="340"/>
            <w:col w:w="8160"/>
          </w:cols>
          <w:pgMar w:left="340" w:top="976" w:right="359" w:bottom="1440" w:gutter="0" w:footer="0" w:header="0"/>
          <w:type w:val="continuous"/>
        </w:sectPr>
      </w:pPr>
    </w:p>
    <w:tbl>
      <w:tblPr>
        <w:tblLayout w:type="fixed"/>
        <w:tblInd w:w="20" w:type="dxa"/>
        <w:tblCellMar>
          <w:top w:w="0" w:type="dxa"/>
          <w:left w:w="0" w:type="dxa"/>
          <w:bottom w:w="0" w:type="dxa"/>
          <w:right w:w="0" w:type="dxa"/>
        </w:tblCellMar>
      </w:tblPr>
      <w:tr>
        <w:trPr>
          <w:trHeight w:val="209"/>
        </w:trPr>
        <w:tc>
          <w:tcPr>
            <w:tcW w:w="3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4"/>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980" w:type="dxa"/>
            <w:vAlign w:val="bottom"/>
          </w:tcPr>
          <w:p>
            <w:pPr>
              <w:jc w:val="right"/>
              <w:spacing w:after="0"/>
              <w:rPr>
                <w:sz w:val="20"/>
                <w:szCs w:val="20"/>
                <w:color w:val="auto"/>
              </w:rPr>
            </w:pPr>
            <w:r>
              <w:rPr>
                <w:rFonts w:ascii="Arial" w:cs="Arial" w:eastAsia="Arial" w:hAnsi="Arial"/>
                <w:sz w:val="14"/>
                <w:szCs w:val="14"/>
                <w:color w:val="auto"/>
              </w:rPr>
              <w:t>115,265,912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tcPr>
          <w:p>
            <w:pPr>
              <w:ind w:left="140"/>
              <w:spacing w:after="0"/>
              <w:rPr>
                <w:sz w:val="20"/>
                <w:szCs w:val="20"/>
                <w:color w:val="auto"/>
              </w:rPr>
            </w:pPr>
            <w:r>
              <w:rPr>
                <w:rFonts w:ascii="Arial" w:cs="Arial" w:eastAsia="Arial" w:hAnsi="Arial"/>
                <w:sz w:val="14"/>
                <w:szCs w:val="14"/>
                <w:color w:val="auto"/>
              </w:rPr>
              <w:t>96,165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115,266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12,228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2,610,523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577,316</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(305,907)</w:t>
            </w: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3,105,591</w:t>
            </w:r>
          </w:p>
        </w:tc>
      </w:tr>
      <w:tr>
        <w:trPr>
          <w:trHeight w:val="191"/>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47,866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47,866</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(26,598)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(26,598)</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acquisitions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3,508,604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84,171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87,679</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Preferred stock dividends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(1,624)</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dividends ($0.23 per share)</w:t>
            </w: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(27,733)</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Purchases of preferred stock</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w w:val="94"/>
              </w:rPr>
              <w:t>(5,882)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(5,090)</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197,700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3,504</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80" w:type="dxa"/>
            <w:vAlign w:val="bottom"/>
          </w:tcPr>
          <w:p>
            <w:pPr>
              <w:jc w:val="right"/>
              <w:spacing w:after="0"/>
              <w:rPr>
                <w:sz w:val="20"/>
                <w:szCs w:val="20"/>
                <w:color w:val="auto"/>
              </w:rPr>
            </w:pPr>
            <w:r>
              <w:rPr>
                <w:rFonts w:ascii="Arial" w:cs="Arial" w:eastAsia="Arial" w:hAnsi="Arial"/>
                <w:sz w:val="14"/>
                <w:szCs w:val="14"/>
                <w:color w:val="auto"/>
              </w:rPr>
              <w:t>3,436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1"/>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118,975,652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90,283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2,697,671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596,617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(332,505)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3,183,824</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89,349,826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96,422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1,721,007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330,654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2,222,245</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196,022</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(310,667)</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(310,667)</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Impact of acquisitions</w:t>
            </w:r>
          </w:p>
        </w:tc>
        <w:tc>
          <w:tcPr>
            <w:tcW w:w="980" w:type="dxa"/>
            <w:vAlign w:val="bottom"/>
          </w:tcPr>
          <w:p>
            <w:pPr>
              <w:jc w:val="right"/>
              <w:spacing w:after="0"/>
              <w:rPr>
                <w:sz w:val="20"/>
                <w:szCs w:val="20"/>
                <w:color w:val="auto"/>
              </w:rPr>
            </w:pPr>
            <w:r>
              <w:rPr>
                <w:rFonts w:ascii="Arial" w:cs="Arial" w:eastAsia="Arial" w:hAnsi="Arial"/>
                <w:sz w:val="14"/>
                <w:szCs w:val="14"/>
                <w:color w:val="auto"/>
              </w:rPr>
              <w:t>16,571,545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579,805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596,376</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Preferred stock dividends</w:t>
            </w: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(5,157)</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Common stock dividends ($0.64 per share)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(68,731)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(68,731)</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175,843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4,904</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80" w:type="dxa"/>
            <w:vAlign w:val="bottom"/>
          </w:tcPr>
          <w:p>
            <w:pPr>
              <w:jc w:val="right"/>
              <w:spacing w:after="0"/>
              <w:rPr>
                <w:sz w:val="20"/>
                <w:szCs w:val="20"/>
                <w:color w:val="auto"/>
              </w:rPr>
            </w:pPr>
            <w:r>
              <w:rPr>
                <w:rFonts w:ascii="Arial" w:cs="Arial" w:eastAsia="Arial" w:hAnsi="Arial"/>
                <w:sz w:val="14"/>
                <w:szCs w:val="14"/>
                <w:color w:val="auto"/>
              </w:rPr>
              <w:t>65,647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1"/>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106,162,861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96,422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2,304,514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452,788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(337,143)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2,634,710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106,222,758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96,422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2,306,366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508,844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(329,488)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2,700,674</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173,454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173,454</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(3,017)</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(3,017)</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Impact of acquisitions</w:t>
            </w:r>
          </w:p>
        </w:tc>
        <w:tc>
          <w:tcPr>
            <w:tcW w:w="980" w:type="dxa"/>
            <w:vAlign w:val="bottom"/>
          </w:tcPr>
          <w:p>
            <w:pPr>
              <w:jc w:val="right"/>
              <w:spacing w:after="0"/>
              <w:rPr>
                <w:sz w:val="20"/>
                <w:szCs w:val="20"/>
                <w:color w:val="auto"/>
              </w:rPr>
            </w:pPr>
            <w:r>
              <w:rPr>
                <w:rFonts w:ascii="Arial" w:cs="Arial" w:eastAsia="Arial" w:hAnsi="Arial"/>
                <w:sz w:val="14"/>
                <w:szCs w:val="14"/>
                <w:color w:val="auto"/>
              </w:rPr>
              <w:t>12,279,135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381,861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394,140</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preferred stock</w:t>
            </w: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w w:val="94"/>
              </w:rPr>
              <w:t>(6,139)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(5,312)</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Preferred stock dividends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(5,062)</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dividends ($0.69 per share)</w:t>
            </w: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(81,411)</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(81,411)</w:t>
            </w: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80" w:type="dxa"/>
            <w:vAlign w:val="bottom"/>
          </w:tcPr>
          <w:p>
            <w:pPr>
              <w:jc w:val="right"/>
              <w:spacing w:after="0"/>
              <w:rPr>
                <w:sz w:val="20"/>
                <w:szCs w:val="20"/>
                <w:color w:val="auto"/>
              </w:rPr>
            </w:pPr>
            <w:r>
              <w:rPr>
                <w:rFonts w:ascii="Arial" w:cs="Arial" w:eastAsia="Arial" w:hAnsi="Arial"/>
                <w:sz w:val="14"/>
                <w:szCs w:val="14"/>
                <w:color w:val="auto"/>
              </w:rPr>
              <w:t>430,002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10,248</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43,757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76"/>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118,975,652</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90,283</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118,976</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12,782</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2,697,671</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596,617</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(332,505)</w:t>
            </w:r>
          </w:p>
        </w:tc>
        <w:tc>
          <w:tcPr>
            <w:tcW w:w="14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3,183,824</w:t>
            </w:r>
          </w:p>
        </w:tc>
      </w:tr>
      <w:tr>
        <w:trPr>
          <w:trHeight w:val="20"/>
        </w:trPr>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6" w:right="3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5"/>
                <w:szCs w:val="15"/>
                <w:b w:val="1"/>
                <w:bCs w:val="1"/>
                <w:color w:val="auto"/>
                <w:w w:val="95"/>
              </w:rPr>
              <w:t>Nine Months Ended September 30,</w:t>
            </w:r>
          </w:p>
        </w:tc>
      </w:tr>
      <w:tr>
        <w:trPr>
          <w:trHeight w:val="198"/>
        </w:trPr>
        <w:tc>
          <w:tcPr>
            <w:tcW w:w="8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2022</w:t>
            </w:r>
          </w:p>
        </w:tc>
      </w:tr>
      <w:tr>
        <w:trPr>
          <w:trHeight w:val="198"/>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173,454</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196,022</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Depreciation, amortization and accretion,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34,027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34,707</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Provision for credit losses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74,804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44,082</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Stock based compensation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6,649</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income tax expense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14,645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6,063</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Securities losses,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3,688</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Gains from sales of other loans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(9,226)</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Changes in assets and liabilities: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(2,072)</w:t>
            </w:r>
          </w:p>
        </w:tc>
      </w:tr>
      <w:tr>
        <w:trPr>
          <w:trHeight w:val="198"/>
        </w:trPr>
        <w:tc>
          <w:tcPr>
            <w:tcW w:w="8360" w:type="dxa"/>
            <w:vAlign w:val="bottom"/>
          </w:tcPr>
          <w:p>
            <w:pPr>
              <w:ind w:left="360"/>
              <w:spacing w:after="0"/>
              <w:rPr>
                <w:sz w:val="20"/>
                <w:szCs w:val="20"/>
                <w:color w:val="auto"/>
              </w:rPr>
            </w:pPr>
            <w:r>
              <w:rPr>
                <w:rFonts w:ascii="Arial" w:cs="Arial" w:eastAsia="Arial" w:hAnsi="Arial"/>
                <w:sz w:val="15"/>
                <w:szCs w:val="15"/>
                <w:color w:val="auto"/>
              </w:rPr>
              <w:t>Accrued expenses and other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11,796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92,084</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Loans held for sale</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(21,423)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136,405</w:t>
            </w:r>
          </w:p>
        </w:tc>
      </w:t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272,196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508,402</w:t>
            </w:r>
          </w:p>
        </w:tc>
      </w:tr>
      <w:tr>
        <w:trPr>
          <w:trHeight w:val="187"/>
        </w:trPr>
        <w:tc>
          <w:tcPr>
            <w:tcW w:w="8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securities held-to-maturity: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100,396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140,253</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(326,494)</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Debt securities available-for-sale: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sales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595,234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281,521</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421,924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493,848</w:t>
            </w:r>
          </w:p>
        </w:tc>
      </w:tr>
      <w:tr>
        <w:trPr>
          <w:trHeight w:val="206"/>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(295,054)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(1,665,466)</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increase in loans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(875,223)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(772,740)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investments, outflows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(29,685)</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Equity investments, inflows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124,056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17,336</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sales of premises and equipment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4,846</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Purchases of premises and equipment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(59,157)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(26,300)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cash received in acquisition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207,566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35,243</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cash paid for whole branch disposal</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(93,613)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investing inflows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3,997</w:t>
            </w:r>
          </w:p>
        </w:tc>
      </w:t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(1,843,641)</w:t>
            </w:r>
          </w:p>
        </w:tc>
      </w:tr>
      <w:tr>
        <w:trPr>
          <w:trHeight w:val="186"/>
        </w:trPr>
        <w:tc>
          <w:tcPr>
            <w:tcW w:w="8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increase (decrease) in deposits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886,440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(423,750)</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decrease in short-term borrowings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(310,267)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FHLB advances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2,225,000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Repayment of FHLB advances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(2,870,000)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dividends on common stock</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(63,256)</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Cash dividends on preferred stock</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(5,157)</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financing inflows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560</w:t>
            </w:r>
          </w:p>
        </w:tc>
      </w:tr>
      <w:tr>
        <w:trPr>
          <w:trHeight w:val="19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financing outflows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(11,340)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(7,648)</w:t>
            </w:r>
          </w:p>
        </w:tc>
      </w:tr>
      <w:tr>
        <w:trPr>
          <w:trHeight w:val="196"/>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(157,176)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(499,251)</w:t>
            </w:r>
          </w:p>
        </w:tc>
      </w:tr>
      <w:tr>
        <w:trPr>
          <w:trHeight w:val="186"/>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(1,834,490)</w:t>
            </w:r>
          </w:p>
        </w:tc>
      </w:tr>
      <w:tr>
        <w:trPr>
          <w:trHeight w:val="203"/>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and cash equivalents,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646,853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2,318,510</w:t>
            </w:r>
          </w:p>
        </w:tc>
      </w:tr>
      <w:tr>
        <w:trPr>
          <w:trHeight w:val="185"/>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end of period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759,505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484,020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Updates to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Presentation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2022 10-K.</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2022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Updates to Significant Accounting Policies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2023, United adopted ASU 2022-02, which updated the guidance on modifications to financing receivables by effectively replacing the concept of troubled debt restructurings with a new concept, loan modifications to borrowers experiencing financial difficulty. See Note 2 for further detail. Below summarizes the policy surrounding FDMs.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FDMs: </w:t>
      </w:r>
      <w:r>
        <w:rPr>
          <w:rFonts w:ascii="Arial" w:cs="Arial" w:eastAsia="Arial" w:hAnsi="Arial"/>
          <w:sz w:val="18"/>
          <w:szCs w:val="18"/>
          <w:color w:val="auto"/>
        </w:rPr>
        <w:t>A loan for which the terms have been modified as a result of the borrower experiencing financial difficulty is generally considered to be a FDM.</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terms that result in a FDM include one or a combination of the following: a reduction of the stated interest rate of the loan, an extension of the term or amortization period, a more than insignificant payment delay or principal forgiveness. The ACL on FDMs is calculated using the same method as other loans held for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Standards Updates and Recently Adopted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update requires that an acquiring entity apply the guidance from</w:t>
      </w:r>
      <w:r>
        <w:rPr>
          <w:rFonts w:ascii="Arial" w:cs="Arial" w:eastAsia="Arial" w:hAnsi="Arial"/>
          <w:sz w:val="18"/>
          <w:szCs w:val="18"/>
          <w:i w:val="1"/>
          <w:iCs w:val="1"/>
          <w:color w:val="auto"/>
        </w:rPr>
        <w:t xml:space="preserve"> Revenue from Contracts with Customers (Topic 606) </w:t>
      </w:r>
      <w:r>
        <w:rPr>
          <w:rFonts w:ascii="Arial" w:cs="Arial" w:eastAsia="Arial" w:hAnsi="Arial"/>
          <w:sz w:val="18"/>
          <w:szCs w:val="18"/>
          <w:color w:val="auto"/>
        </w:rPr>
        <w:t>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and measure contract assets and contract liabilities in a business combination, rather than fair value. Adoption of this update as of January 1, 2023 did not have a material impact on the consolidated financial statements.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March 2022, the FASB issued ASU No. 2022-01, </w:t>
      </w:r>
      <w:r>
        <w:rPr>
          <w:rFonts w:ascii="Arial" w:cs="Arial" w:eastAsia="Arial" w:hAnsi="Arial"/>
          <w:sz w:val="16"/>
          <w:szCs w:val="16"/>
          <w:i w:val="1"/>
          <w:iCs w:val="1"/>
          <w:color w:val="auto"/>
        </w:rPr>
        <w:t>Derivatives and Hedging (Topic 815): Fair Value Hedging - Portfolio Layer Method</w:t>
      </w:r>
      <w:r>
        <w:rPr>
          <w:rFonts w:ascii="Arial" w:cs="Arial" w:eastAsia="Arial" w:hAnsi="Arial"/>
          <w:sz w:val="16"/>
          <w:szCs w:val="16"/>
          <w:color w:val="auto"/>
        </w:rPr>
        <w:t>. The update expands the current last-of-layer method to a portfolio layer method which allows multiple hedged layers of a single closed portfolio and non-prepayable financial assets. In addition, the update specifies that eligible hedging instruments may include spot-starting or forward-starting swaps and that the number of hedged layers corresponds with the number of hedges designated. Finally, the update provides additional guidance on the accounting for and disclosure of hedge basis adjustments. Adoption of this update as of January 1, 2023 did not have a material impact on the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2022, the FASB issued ASU No. 2022-02, </w:t>
      </w:r>
      <w:r>
        <w:rPr>
          <w:rFonts w:ascii="Arial" w:cs="Arial" w:eastAsia="Arial" w:hAnsi="Arial"/>
          <w:sz w:val="18"/>
          <w:szCs w:val="18"/>
          <w:i w:val="1"/>
          <w:iCs w:val="1"/>
          <w:color w:val="auto"/>
        </w:rPr>
        <w:t>Financial Instruments - Credit Losses (Topic 326): 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The update eliminates the previous accounting guidance for TDRs by creditors, while enhancing disclosure requirements for certain loan</w:t>
      </w:r>
      <w:r>
        <w:rPr>
          <w:rFonts w:ascii="Arial" w:cs="Arial" w:eastAsia="Arial" w:hAnsi="Arial"/>
          <w:sz w:val="18"/>
          <w:szCs w:val="18"/>
          <w:i w:val="1"/>
          <w:iCs w:val="1"/>
          <w:color w:val="auto"/>
        </w:rPr>
        <w:t xml:space="preserve"> </w:t>
      </w:r>
      <w:r>
        <w:rPr>
          <w:rFonts w:ascii="Arial" w:cs="Arial" w:eastAsia="Arial" w:hAnsi="Arial"/>
          <w:sz w:val="18"/>
          <w:szCs w:val="18"/>
          <w:color w:val="auto"/>
        </w:rPr>
        <w:t>refinancings and restructurings when a borrower is experiencing financial difficulty. The update also requires that an entity disclose current-period gross charge-offs by year of origination. United adopted this update using a modified retrospective transition method as of January 1, 2023. The quantitative impact of adoption related to the CECL calculation for FDMs was not material; thus, no corresponding cumulative effect adjustment to retained earnings was recorded.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Standards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2023, the FASB issued ASU No 2023-02, </w:t>
      </w:r>
      <w:r>
        <w:rPr>
          <w:rFonts w:ascii="Arial" w:cs="Arial" w:eastAsia="Arial" w:hAnsi="Arial"/>
          <w:sz w:val="16"/>
          <w:szCs w:val="16"/>
          <w:i w:val="1"/>
          <w:iCs w:val="1"/>
          <w:color w:val="auto"/>
        </w:rPr>
        <w:t>Investments - Equity Method and Joint Ventures (Topic 323): Accounting for Investments in Tax Credit</w:t>
      </w:r>
      <w:r>
        <w:rPr>
          <w:rFonts w:ascii="Arial" w:cs="Arial" w:eastAsia="Arial" w:hAnsi="Arial"/>
          <w:sz w:val="16"/>
          <w:szCs w:val="16"/>
          <w:color w:val="auto"/>
        </w:rPr>
        <w:t xml:space="preserve"> </w:t>
      </w:r>
      <w:r>
        <w:rPr>
          <w:rFonts w:ascii="Arial" w:cs="Arial" w:eastAsia="Arial" w:hAnsi="Arial"/>
          <w:sz w:val="16"/>
          <w:szCs w:val="16"/>
          <w:i w:val="1"/>
          <w:iCs w:val="1"/>
          <w:color w:val="auto"/>
        </w:rPr>
        <w:t>Structures Using the Proportional Amortization Method</w:t>
      </w:r>
      <w:r>
        <w:rPr>
          <w:rFonts w:ascii="Arial" w:cs="Arial" w:eastAsia="Arial" w:hAnsi="Arial"/>
          <w:sz w:val="16"/>
          <w:szCs w:val="16"/>
          <w:color w:val="auto"/>
        </w:rPr>
        <w:t>. The update broadens the application of the proportional amortization method to tax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other than LIHTC, providing certain conditions are met. The election to apply the proportional amortization method must be made on a tax-credit-program by tax-credit-program basis rather than at the reporting entity level or to individual investments. The update also requires certain disclosures related to those investments for which the proportional amortization method has been applied. For public entities, this guidance is effective for fiscal years beginning after December 15, 2023. United does not expect the new guidance to have a material impact on its consolidated financial statements.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August 2023, the FASB issued ASU No 2023-05, </w:t>
      </w:r>
      <w:r>
        <w:rPr>
          <w:rFonts w:ascii="Arial" w:cs="Arial" w:eastAsia="Arial" w:hAnsi="Arial"/>
          <w:sz w:val="18"/>
          <w:szCs w:val="18"/>
          <w:i w:val="1"/>
          <w:iCs w:val="1"/>
          <w:color w:val="auto"/>
        </w:rPr>
        <w:t>Business Combinations - Joint Venture Formations (Subtopic 805-60): Recognition and Initial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The update addresses the accounting for contributions made to a joint venture, upon 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 joint venture’s separate financial statements. Specifically, a joint venture must apply a new basis of accounting upon formation and will initially measure its assets and liabilities at fair value. This guidance is effective prospectively for all joint venture formations dated on or after January 1, 2025. United does not expect the new guidance to have a material impact on its consolidated financial statements.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October 2023, the FASB issued ASU No 2023-06, </w:t>
      </w:r>
      <w:r>
        <w:rPr>
          <w:rFonts w:ascii="Arial" w:cs="Arial" w:eastAsia="Arial" w:hAnsi="Arial"/>
          <w:sz w:val="17"/>
          <w:szCs w:val="17"/>
          <w:i w:val="1"/>
          <w:iCs w:val="1"/>
          <w:color w:val="auto"/>
        </w:rPr>
        <w:t>Disclosure Improvements - Codification Amendments in Response to the SEC’s Disclosure Update</w:t>
      </w:r>
      <w:r>
        <w:rPr>
          <w:rFonts w:ascii="Arial" w:cs="Arial" w:eastAsia="Arial" w:hAnsi="Arial"/>
          <w:sz w:val="17"/>
          <w:szCs w:val="17"/>
          <w:color w:val="auto"/>
        </w:rPr>
        <w:t xml:space="preserve"> </w:t>
      </w:r>
      <w:r>
        <w:rPr>
          <w:rFonts w:ascii="Arial" w:cs="Arial" w:eastAsia="Arial" w:hAnsi="Arial"/>
          <w:sz w:val="17"/>
          <w:szCs w:val="17"/>
          <w:i w:val="1"/>
          <w:iCs w:val="1"/>
          <w:color w:val="auto"/>
        </w:rPr>
        <w:t>and Simplification Initiative</w:t>
      </w:r>
      <w:r>
        <w:rPr>
          <w:rFonts w:ascii="Arial" w:cs="Arial" w:eastAsia="Arial" w:hAnsi="Arial"/>
          <w:sz w:val="17"/>
          <w:szCs w:val="17"/>
          <w:color w:val="auto"/>
        </w:rPr>
        <w:t>. The update clarifies or improves disclosure and presentation requirements for a variety of topics, including cash flows from</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instruments, methods used in the diluted earnings per share computation and weighted-average interest rates on short term borrowings, This guidance is effective prospectively from the date on which the SEC’s removal of that related disclosure from Regulation S-X or Regulation S-K becomes effective. United does not expect the new guidance to have a material impact on its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Supplemental Cash Flow Information</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supplemental schedule of significant non-cash investing and financing activities for the nine months ended September 30, 2023 and 2022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8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Significant non-cash investing and financing transactions: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Commitments to fund equity investments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16,410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Transfers of AFS securities to HTM securities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1,288,982</w:t>
            </w: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Assets acquired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3,254,173</w:t>
            </w: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Liabilities assumed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2,527,654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2,657,173</w:t>
            </w: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assets acquired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597,000</w:t>
            </w:r>
          </w:p>
        </w:tc>
      </w:tr>
      <w:tr>
        <w:trPr>
          <w:trHeight w:val="210"/>
        </w:trPr>
        <w:tc>
          <w:tcPr>
            <w:tcW w:w="8220" w:type="dxa"/>
            <w:vAlign w:val="bottom"/>
          </w:tcPr>
          <w:p>
            <w:pPr>
              <w:ind w:left="220"/>
              <w:spacing w:after="0"/>
              <w:rPr>
                <w:sz w:val="20"/>
                <w:szCs w:val="20"/>
                <w:color w:val="auto"/>
              </w:rPr>
            </w:pPr>
            <w:r>
              <w:rPr>
                <w:rFonts w:ascii="Arial" w:cs="Arial" w:eastAsia="Arial" w:hAnsi="Arial"/>
                <w:sz w:val="16"/>
                <w:szCs w:val="16"/>
                <w:color w:val="auto"/>
              </w:rPr>
              <w:t>Common stock issued and options converted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394,140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596,376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First Miami</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July 1, 2023, United acquired all of the outstanding common stock of First Miami in a stock transaction. First Miami operated three branches in the Miami metropolitan area, which facilitated United’s expansion within that market. United’s operating results for the three and nine months ended September 30, 2023 include the operating results of the acquired business for the period subsequent to the acquisition date of July 1, 2023.</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purchased assets and assumed liabilities were recorded at their acquisition date fair values and are summarized in the table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260"/>
              <w:spacing w:after="0"/>
              <w:rPr>
                <w:sz w:val="20"/>
                <w:szCs w:val="20"/>
                <w:color w:val="auto"/>
              </w:rPr>
            </w:pPr>
            <w:r>
              <w:rPr>
                <w:rFonts w:ascii="Arial" w:cs="Arial" w:eastAsia="Arial" w:hAnsi="Arial"/>
                <w:sz w:val="16"/>
                <w:szCs w:val="16"/>
                <w:b w:val="1"/>
                <w:bCs w:val="1"/>
                <w:color w:val="auto"/>
              </w:rPr>
              <w:t>First Miami</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Arial" w:cs="Arial" w:eastAsia="Arial" w:hAnsi="Arial"/>
                <w:sz w:val="16"/>
                <w:szCs w:val="16"/>
                <w:b w:val="1"/>
                <w:bCs w:val="1"/>
                <w:color w:val="auto"/>
              </w:rPr>
              <w:t xml:space="preserve">Fair Value Recorded by United </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July 1, 2023</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150,467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216,703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Loans held for investment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577,183</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Premises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11,905</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Core deposit intangible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17,950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20,909</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assets acquired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995,117</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Deposits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865,387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47,664</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17,581</w:t>
            </w:r>
          </w:p>
        </w:tc>
        <w:tc>
          <w:tcPr>
            <w:tcW w:w="1960" w:type="dxa"/>
            <w:vAlign w:val="bottom"/>
            <w:tcBorders>
              <w:bottom w:val="single" w:sz="8" w:color="CCEEFF"/>
            </w:tcBorders>
          </w:tcPr>
          <w:p>
            <w:pPr>
              <w:spacing w:after="0"/>
              <w:rPr>
                <w:sz w:val="18"/>
                <w:szCs w:val="18"/>
                <w:color w:val="auto"/>
              </w:rPr>
            </w:pPr>
          </w:p>
        </w:tc>
      </w:tr>
      <w:tr>
        <w:trPr>
          <w:trHeight w:val="213"/>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 assumed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930,632</w:t>
            </w:r>
          </w:p>
        </w:tc>
        <w:tc>
          <w:tcPr>
            <w:tcW w:w="1960" w:type="dxa"/>
            <w:vAlign w:val="bottom"/>
            <w:shd w:val="clear" w:color="auto" w:fill="CCEEFF"/>
          </w:tcPr>
          <w:p>
            <w:pPr>
              <w:spacing w:after="0"/>
              <w:rPr>
                <w:sz w:val="18"/>
                <w:szCs w:val="18"/>
                <w:color w:val="auto"/>
              </w:rPr>
            </w:pPr>
          </w:p>
        </w:tc>
      </w:tr>
      <w:tr>
        <w:trPr>
          <w:trHeight w:val="206"/>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identifiable net assets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64,485</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(3,508,604 shares)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87,679</w:t>
            </w:r>
          </w:p>
        </w:tc>
        <w:tc>
          <w:tcPr>
            <w:tcW w:w="1960" w:type="dxa"/>
            <w:vAlign w:val="bottom"/>
            <w:shd w:val="clear" w:color="auto" w:fill="CCEEFF"/>
          </w:tcPr>
          <w:p>
            <w:pPr>
              <w:spacing w:after="0"/>
              <w:rPr>
                <w:sz w:val="19"/>
                <w:szCs w:val="19"/>
                <w:color w:val="auto"/>
              </w:rPr>
            </w:pPr>
          </w:p>
        </w:tc>
      </w:tr>
      <w:tr>
        <w:trPr>
          <w:trHeight w:val="206"/>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87,681</w:t>
            </w:r>
          </w:p>
        </w:tc>
        <w:tc>
          <w:tcPr>
            <w:tcW w:w="1960" w:type="dxa"/>
            <w:vAlign w:val="bottom"/>
            <w:tcBorders>
              <w:bottom w:val="single" w:sz="8" w:color="CCEEFF"/>
            </w:tcBorders>
          </w:tcPr>
          <w:p>
            <w:pPr>
              <w:spacing w:after="0"/>
              <w:rPr>
                <w:sz w:val="17"/>
                <w:szCs w:val="17"/>
                <w:color w:val="auto"/>
              </w:rPr>
            </w:pPr>
          </w:p>
        </w:tc>
      </w:tr>
      <w:tr>
        <w:trPr>
          <w:trHeight w:val="238"/>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23,196</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firstLine="8"/>
        <w:spacing w:after="0" w:line="264" w:lineRule="auto"/>
        <w:tabs>
          <w:tab w:leader="none" w:pos="166"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represents the intangible value of First Miami’s business and reputation within the markets it served and is not expected to be deductible for income tax purposes. The First Miami core deposit intangible will be amortized over its expected useful life of 10 years using the sum-of-the-years-digits method.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First Miami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1, 2023</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Arial" w:cs="Arial" w:eastAsia="Arial" w:hAnsi="Arial"/>
                <w:sz w:val="16"/>
                <w:szCs w:val="16"/>
                <w:b w:val="1"/>
                <w:bCs w:val="1"/>
                <w:color w:val="auto"/>
              </w:rPr>
              <w:t>PCD Loans</w:t>
            </w: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Arial" w:cs="Arial" w:eastAsia="Arial" w:hAnsi="Arial"/>
                <w:sz w:val="16"/>
                <w:szCs w:val="16"/>
                <w:color w:val="auto"/>
              </w:rPr>
              <w:t>Par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94,902</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ACL at acquisition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Arial" w:cs="Arial" w:eastAsia="Arial" w:hAnsi="Arial"/>
                <w:sz w:val="16"/>
                <w:szCs w:val="16"/>
                <w:color w:val="auto"/>
              </w:rPr>
              <w:t>Non-credit discount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(6,607)</w:t>
            </w:r>
          </w:p>
        </w:tc>
        <w:tc>
          <w:tcPr>
            <w:tcW w:w="2300" w:type="dxa"/>
            <w:vAlign w:val="bottom"/>
            <w:tcBorders>
              <w:bottom w:val="single" w:sz="8" w:color="CCEEFF"/>
            </w:tcBorders>
          </w:tcPr>
          <w:p>
            <w:pPr>
              <w:spacing w:after="0"/>
              <w:rPr>
                <w:sz w:val="18"/>
                <w:szCs w:val="18"/>
                <w:color w:val="auto"/>
              </w:rPr>
            </w:pPr>
          </w:p>
        </w:tc>
      </w:tr>
      <w:tr>
        <w:trPr>
          <w:trHeight w:val="238"/>
        </w:trPr>
        <w:tc>
          <w:tcPr>
            <w:tcW w:w="714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Purchase price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84,578</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b w:val="1"/>
                <w:bCs w:val="1"/>
                <w:color w:val="auto"/>
              </w:rPr>
              <w:t>Non- PCD:</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Arial" w:cs="Arial" w:eastAsia="Arial" w:hAnsi="Arial"/>
                <w:sz w:val="16"/>
                <w:szCs w:val="16"/>
                <w:color w:val="auto"/>
              </w:rPr>
              <w:t>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492,605</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Gross contractual amounts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622,181</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Arial" w:cs="Arial" w:eastAsia="Arial" w:hAnsi="Arial"/>
                <w:sz w:val="16"/>
                <w:szCs w:val="16"/>
                <w:color w:val="auto"/>
              </w:rPr>
              <w:t>Estimate of contractual cash flows not expected to be collected</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7,012</w:t>
            </w:r>
          </w:p>
        </w:tc>
        <w:tc>
          <w:tcPr>
            <w:tcW w:w="2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Progress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3, 2023, United acquired all of the outstanding common stock of Progress in a stock transaction. Progress operated 13 offices primarily located in Alabama and the Florida Panhandle, which facilitated United’s growth into those markets. United’s operating results for the three and nine months ended September 30, 2023 include the operating results of the acquired business for the period subsequent to the acquisition date of January 3, 2023.</w:t>
      </w:r>
    </w:p>
    <w:p>
      <w:pPr>
        <w:spacing w:after="0" w:line="182"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 xml:space="preserve">The purchased assets and assumed liabilities were recorded at their acquisition date fair values and are summarized in the table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13"/>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380"/>
              <w:spacing w:after="0"/>
              <w:rPr>
                <w:sz w:val="20"/>
                <w:szCs w:val="20"/>
                <w:color w:val="auto"/>
              </w:rPr>
            </w:pPr>
            <w:r>
              <w:rPr>
                <w:rFonts w:ascii="Arial" w:cs="Arial" w:eastAsia="Arial" w:hAnsi="Arial"/>
                <w:sz w:val="16"/>
                <w:szCs w:val="16"/>
                <w:b w:val="1"/>
                <w:bCs w:val="1"/>
                <w:color w:val="auto"/>
              </w:rPr>
              <w:t>Progress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Arial" w:cs="Arial" w:eastAsia="Arial" w:hAnsi="Arial"/>
                <w:sz w:val="16"/>
                <w:szCs w:val="16"/>
                <w:b w:val="1"/>
                <w:bCs w:val="1"/>
                <w:color w:val="auto"/>
              </w:rPr>
              <w:t xml:space="preserve">Fair Value Recorded by United </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January 3, 2023</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57,548</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111,006</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Loans held for sale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2,087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1,442,959</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Premises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21,118</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Bank-owned life insurance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Core deposit intangible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39,980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42,965</w:t>
            </w:r>
          </w:p>
        </w:tc>
        <w:tc>
          <w:tcPr>
            <w:tcW w:w="1960" w:type="dxa"/>
            <w:vAlign w:val="bottom"/>
            <w:shd w:val="clear" w:color="auto" w:fill="CCEEFF"/>
          </w:tcPr>
          <w:p>
            <w:pPr>
              <w:spacing w:after="0"/>
              <w:rPr>
                <w:sz w:val="19"/>
                <w:szCs w:val="19"/>
                <w:color w:val="auto"/>
              </w:rPr>
            </w:pPr>
          </w:p>
        </w:tc>
      </w:tr>
      <w:tr>
        <w:trPr>
          <w:trHeight w:val="206"/>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assets acquired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1,758,386</w:t>
            </w:r>
          </w:p>
        </w:tc>
        <w:tc>
          <w:tcPr>
            <w:tcW w:w="1960" w:type="dxa"/>
            <w:vAlign w:val="bottom"/>
            <w:tcBorders>
              <w:bottom w:val="single" w:sz="8" w:color="CCEEFF"/>
            </w:tcBorders>
          </w:tcPr>
          <w:p>
            <w:pPr>
              <w:spacing w:after="0"/>
              <w:rPr>
                <w:sz w:val="17"/>
                <w:szCs w:val="17"/>
                <w:color w:val="auto"/>
              </w:rPr>
            </w:pPr>
          </w:p>
        </w:tc>
      </w:tr>
      <w:tr>
        <w:trPr>
          <w:trHeight w:val="199"/>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Deposits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1,334,476</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141,017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Federal Home Loan Bank advances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95,000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26,529</w:t>
            </w:r>
          </w:p>
        </w:tc>
        <w:tc>
          <w:tcPr>
            <w:tcW w:w="1960" w:type="dxa"/>
            <w:vAlign w:val="bottom"/>
            <w:shd w:val="clear" w:color="auto" w:fill="CCEEFF"/>
          </w:tcPr>
          <w:p>
            <w:pPr>
              <w:spacing w:after="0"/>
              <w:rPr>
                <w:sz w:val="19"/>
                <w:szCs w:val="19"/>
                <w:color w:val="auto"/>
              </w:rPr>
            </w:pPr>
          </w:p>
        </w:tc>
      </w:tr>
      <w:tr>
        <w:trPr>
          <w:trHeight w:val="206"/>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liabilities assumed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1,597,022</w:t>
            </w:r>
          </w:p>
        </w:tc>
        <w:tc>
          <w:tcPr>
            <w:tcW w:w="1960" w:type="dxa"/>
            <w:vAlign w:val="bottom"/>
            <w:tcBorders>
              <w:bottom w:val="single" w:sz="8" w:color="CCEEFF"/>
            </w:tcBorders>
          </w:tcPr>
          <w:p>
            <w:pPr>
              <w:spacing w:after="0"/>
              <w:rPr>
                <w:sz w:val="17"/>
                <w:szCs w:val="17"/>
                <w:color w:val="auto"/>
              </w:rPr>
            </w:pPr>
          </w:p>
        </w:tc>
      </w:tr>
      <w:tr>
        <w:trPr>
          <w:trHeight w:val="213"/>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161,364</w:t>
            </w:r>
          </w:p>
        </w:tc>
        <w:tc>
          <w:tcPr>
            <w:tcW w:w="1960" w:type="dxa"/>
            <w:vAlign w:val="bottom"/>
            <w:shd w:val="clear" w:color="auto" w:fill="CCEEFF"/>
          </w:tcPr>
          <w:p>
            <w:pPr>
              <w:spacing w:after="0"/>
              <w:rPr>
                <w:sz w:val="18"/>
                <w:szCs w:val="18"/>
                <w:color w:val="auto"/>
              </w:rPr>
            </w:pPr>
          </w:p>
        </w:tc>
      </w:tr>
      <w:tr>
        <w:trPr>
          <w:trHeight w:val="193"/>
        </w:trPr>
        <w:tc>
          <w:tcPr>
            <w:tcW w:w="19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6"/>
                <w:szCs w:val="16"/>
                <w:color w:val="auto"/>
              </w:rPr>
              <w:t>Common stock issued (8,770,531 shares)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296,444</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converted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10,017</w:t>
            </w:r>
          </w:p>
        </w:tc>
        <w:tc>
          <w:tcPr>
            <w:tcW w:w="1960" w:type="dxa"/>
            <w:vAlign w:val="bottom"/>
            <w:shd w:val="clear" w:color="auto" w:fill="CCEEFF"/>
          </w:tcPr>
          <w:p>
            <w:pPr>
              <w:spacing w:after="0"/>
              <w:rPr>
                <w:sz w:val="19"/>
                <w:szCs w:val="19"/>
                <w:color w:val="auto"/>
              </w:rPr>
            </w:pPr>
          </w:p>
        </w:tc>
      </w:tr>
      <w:tr>
        <w:trPr>
          <w:trHeight w:val="206"/>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306,908</w:t>
            </w:r>
          </w:p>
        </w:tc>
        <w:tc>
          <w:tcPr>
            <w:tcW w:w="1960" w:type="dxa"/>
            <w:vAlign w:val="bottom"/>
            <w:tcBorders>
              <w:bottom w:val="single" w:sz="8" w:color="CCEEFF"/>
            </w:tcBorders>
          </w:tcPr>
          <w:p>
            <w:pPr>
              <w:spacing w:after="0"/>
              <w:rPr>
                <w:sz w:val="17"/>
                <w:szCs w:val="17"/>
                <w:color w:val="auto"/>
              </w:rPr>
            </w:pPr>
          </w:p>
        </w:tc>
      </w:tr>
      <w:tr>
        <w:trPr>
          <w:trHeight w:val="238"/>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145,544</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28" w:lineRule="exact"/>
        <w:rPr>
          <w:sz w:val="20"/>
          <w:szCs w:val="20"/>
          <w:color w:val="auto"/>
        </w:rPr>
      </w:pPr>
    </w:p>
    <w:p>
      <w:pPr>
        <w:ind w:firstLine="8"/>
        <w:spacing w:after="0" w:line="246" w:lineRule="auto"/>
        <w:tabs>
          <w:tab w:leader="none" w:pos="16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Goodwill represents the intangible value of Progress’ business and reputation within the markets it served and is not expected to be deductible for income tax purposes. The Progress core deposit intangible will be amortized over its expected useful life of 10 years using the sum-of-the-years-digits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Progress loan portfolio at the acquisition date </w:t>
      </w:r>
      <w:r>
        <w:rPr>
          <w:rFonts w:ascii="Arial" w:cs="Arial" w:eastAsia="Arial" w:hAnsi="Arial"/>
          <w:sz w:val="18"/>
          <w:szCs w:val="18"/>
          <w:i w:val="1"/>
          <w:iCs w:val="1"/>
          <w:color w:val="auto"/>
        </w:rPr>
        <w:t>(in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 2023</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Arial" w:cs="Arial" w:eastAsia="Arial" w:hAnsi="Arial"/>
                <w:sz w:val="16"/>
                <w:szCs w:val="16"/>
                <w:b w:val="1"/>
                <w:bCs w:val="1"/>
                <w:color w:val="auto"/>
              </w:rPr>
              <w:t>PCD loans: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Arial" w:cs="Arial" w:eastAsia="Arial" w:hAnsi="Arial"/>
                <w:sz w:val="16"/>
                <w:szCs w:val="16"/>
                <w:color w:val="auto"/>
              </w:rPr>
              <w:t>Par value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64,913</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ACL at acquisition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Arial" w:cs="Arial" w:eastAsia="Arial" w:hAnsi="Arial"/>
                <w:sz w:val="16"/>
                <w:szCs w:val="16"/>
                <w:color w:val="auto"/>
              </w:rPr>
              <w:t>Non-credit discount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300" w:type="dxa"/>
            <w:vAlign w:val="bottom"/>
            <w:tcBorders>
              <w:bottom w:val="single" w:sz="8" w:color="CCEEFF"/>
            </w:tcBorders>
          </w:tcPr>
          <w:p>
            <w:pPr>
              <w:spacing w:after="0"/>
              <w:rPr>
                <w:sz w:val="18"/>
                <w:szCs w:val="18"/>
                <w:color w:val="auto"/>
              </w:rPr>
            </w:pPr>
          </w:p>
        </w:tc>
      </w:tr>
      <w:tr>
        <w:trPr>
          <w:trHeight w:val="238"/>
        </w:trPr>
        <w:tc>
          <w:tcPr>
            <w:tcW w:w="714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Purchase price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62,059</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b w:val="1"/>
                <w:bCs w:val="1"/>
                <w:color w:val="auto"/>
              </w:rPr>
              <w:t>Non-PCD loans: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Arial" w:cs="Arial" w:eastAsia="Arial" w:hAnsi="Arial"/>
                <w:sz w:val="16"/>
                <w:szCs w:val="16"/>
                <w:color w:val="auto"/>
              </w:rPr>
              <w:t>Fair value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1,380,900</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Gross contractual amounts receivable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1,626,243</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Arial" w:cs="Arial" w:eastAsia="Arial" w:hAnsi="Arial"/>
                <w:sz w:val="16"/>
                <w:szCs w:val="16"/>
                <w:color w:val="auto"/>
              </w:rPr>
              <w:t>Estimate of contractual cash flows not expected to be collected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9,287</w:t>
            </w:r>
          </w:p>
        </w:tc>
        <w:tc>
          <w:tcPr>
            <w:tcW w:w="2300" w:type="dxa"/>
            <w:vAlign w:val="bottom"/>
          </w:tcPr>
          <w:p>
            <w:pPr>
              <w:spacing w:after="0"/>
              <w:rPr>
                <w:sz w:val="18"/>
                <w:szCs w:val="18"/>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discloses the impact of the First Miami and Progress acquisitions since their respective dates of acquisition. The table also presents certain pro forma information as if First Miami and Progress had been acquired on January 1, 2022 and Reliant had been acquired on January 1, 2021. These results combine the historical results of the acquired entities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acquisitions taken place in earlier years.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Merger-related costs related to the First Miami acquisition for the three and nine months ended September 30, 2023 of $6.53 million and $6.91 million, respectively, have been excluded from the pro forma information for those periods presented below and included in the three and nine months ended September 30, 2022 pro forma information. Merger-related costs related to the Progress acquisition for the three and nine months ended September 30, 2023 of $182,000 and $9.96 million, respectively, have been excluded from the pro forma information for those periods presented below and included in the three and nine months ended September 30, 2022 pro forma information. Merger-related costs related to the Reliant acquisition for the three and nine months ended September 30, 2022 of $760,000 and $14.8 million, respectively, have been excluded from the pro forma information presented below. The actual results and pro forma information were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24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Revenue</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Net Income</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Net Income</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Progress results included in statement of income since acquisition date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12,667</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Actual First Miami results included in statement of income since acquisition date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169"/>
        </w:trPr>
        <w:tc>
          <w:tcPr>
            <w:tcW w:w="5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Supplemental consolidated pro forma as if Progress and First Miami had been acquired</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207,523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55,538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667,155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197,929</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Actual Reliant results included in statement of income since acquisition date</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29,618</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16,516</w:t>
            </w:r>
          </w:p>
        </w:tc>
        <w:tc>
          <w:tcPr>
            <w:tcW w:w="1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72,685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32,931</w:t>
            </w:r>
          </w:p>
        </w:tc>
        <w:tc>
          <w:tcPr>
            <w:tcW w:w="0" w:type="dxa"/>
            <w:vAlign w:val="bottom"/>
          </w:tcPr>
          <w:p>
            <w:pPr>
              <w:spacing w:after="0"/>
              <w:rPr>
                <w:sz w:val="1"/>
                <w:szCs w:val="1"/>
                <w:color w:val="auto"/>
              </w:rPr>
            </w:pPr>
          </w:p>
        </w:tc>
      </w:tr>
      <w:tr>
        <w:trPr>
          <w:trHeight w:val="169"/>
        </w:trPr>
        <w:tc>
          <w:tcPr>
            <w:tcW w:w="5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Supplemental consolidated pro forma as if Progress and First Miami had been acquired</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246,612</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83,642</w:t>
            </w:r>
          </w:p>
        </w:tc>
        <w:tc>
          <w:tcPr>
            <w:tcW w:w="1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691,694</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215,264</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2022 and Reliant had been acquired January 1, 2021</w:t>
            </w:r>
          </w:p>
        </w:tc>
        <w:tc>
          <w:tcPr>
            <w:tcW w:w="32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 Securities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amortized cost basis, unrealized gains and losses and fair value of HTM debt securities as of the dates indicated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19,857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17,266</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77,773</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294,187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71,485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222,706</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1,130,015</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682,978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150,248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532,730</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11,874</w:t>
            </w:r>
          </w:p>
        </w:tc>
      </w:tr>
      <w:tr>
        <w:trPr>
          <w:trHeight w:val="212"/>
        </w:trPr>
        <w:tc>
          <w:tcPr>
            <w:tcW w:w="42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2,518,773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526,413</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1,992,364</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2"/>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81,510</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231,661</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1,488,028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1,264,497</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583,576</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Supranational entities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12,412</w:t>
            </w:r>
          </w:p>
        </w:tc>
      </w:tr>
      <w:tr>
        <w:trPr>
          <w:trHeight w:val="238"/>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2,191,073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amortized cost basis, unrealized gains and losses, and fair value of AFS debt securities as of the dates indicated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 During the second quarter of 2023, United entered into fair value hedges on stated amounts of a closed portfolio of AFS debt securities using the portfolio layer method, which is further explained in Note 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297,943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14,138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283,830</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224,695</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156,245</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1,223,709</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352,872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30,159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322,713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575,630</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26,430</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194,805</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174,055</w:t>
            </w:r>
          </w:p>
        </w:tc>
      </w:tr>
      <w:tr>
        <w:trPr>
          <w:trHeight w:val="20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3,575,813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3,182,112</w:t>
            </w:r>
          </w:p>
        </w:tc>
      </w:tr>
      <w:tr>
        <w:trPr>
          <w:trHeight w:val="199"/>
        </w:trPr>
        <w:tc>
          <w:tcPr>
            <w:tcW w:w="4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163,972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14,620</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149,352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250,116</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329,723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303,748</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1,448,819</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374,535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27,873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346,662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641,346</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30,566</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212,452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239,220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231,272</w:t>
            </w:r>
          </w:p>
        </w:tc>
      </w:tr>
      <w:tr>
        <w:trPr>
          <w:trHeight w:val="238"/>
        </w:trPr>
        <w:tc>
          <w:tcPr>
            <w:tcW w:w="4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3,971,326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3,614,333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Securities with a carrying value of $4.17 billion and $2.53 billion were pledged, primarily to secure public deposits and provide contingent liquidity through the Bank Term Funding Program at the Federal Reserve Bank, at September 30, 2023 and December 31, 2022,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HTM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17,266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17,266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203,422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71,485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1,130,013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277,747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526,711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150,248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213"/>
        </w:trPr>
        <w:tc>
          <w:tcPr>
            <w:tcW w:w="4160" w:type="dxa"/>
            <w:vAlign w:val="bottom"/>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1,965,296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525,054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1,991,658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526,413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18,169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965,785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1,262,458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223,566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111,586</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Arial" w:cs="Arial" w:eastAsia="Arial" w:hAnsi="Arial"/>
                <w:sz w:val="16"/>
                <w:szCs w:val="16"/>
                <w:color w:val="auto"/>
              </w:rPr>
              <w:t>Supranational entities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618,280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1,560,451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2,178,731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AFS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24,860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100,267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125,127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14,138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27,016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1,166,396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1,217,414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185,026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322,713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322,713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30,159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90,653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23,863</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2,795,547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2,982,420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49,259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100,093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13,896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149,352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14,620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26,126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1,441,936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160,636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27,873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7,948</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2,238,138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1,264,601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3,502,739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358,125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there were 672 AFS debt securities and 331 HTM debt securities that were in an unrealized loss position. United does not intend to sell nor does it believe it will be required to sell securities in an unrealized loss position prior to the recovery of their amortized cost basis. Unrealized losses at September 30, 2023 were primarily attributable to changes in interest rates.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September 30, 2023 and December 31, 2022,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September 30, 2023 or December 31, 2022. In addition, based on the assessments performed at September 30, 2023 and December 31, 2022, there was no ACL required related to the AFS portfolio.</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following table presents accrued interest receivable for the periods indicated on HTM and AFS debt securities </w:t>
      </w:r>
      <w:r>
        <w:rPr>
          <w:rFonts w:ascii="Arial" w:cs="Arial" w:eastAsia="Arial" w:hAnsi="Arial"/>
          <w:sz w:val="18"/>
          <w:szCs w:val="18"/>
          <w:i w:val="1"/>
          <w:iCs w:val="1"/>
          <w:color w:val="auto"/>
        </w:rPr>
        <w:t>(in thousands)</w:t>
      </w:r>
      <w:r>
        <w:rPr>
          <w:rFonts w:ascii="Arial" w:cs="Arial" w:eastAsia="Arial" w:hAnsi="Arial"/>
          <w:sz w:val="18"/>
          <w:szCs w:val="18"/>
          <w:color w:val="auto"/>
        </w:rPr>
        <w:t>, which was excluded from the estimate of credit losses.</w:t>
      </w: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40" w:type="dxa"/>
            <w:vAlign w:val="bottom"/>
            <w:gridSpan w:val="5"/>
          </w:tcPr>
          <w:p>
            <w:pPr>
              <w:ind w:left="720"/>
              <w:spacing w:after="0"/>
              <w:rPr>
                <w:sz w:val="20"/>
                <w:szCs w:val="20"/>
                <w:color w:val="auto"/>
              </w:rPr>
            </w:pPr>
            <w:r>
              <w:rPr>
                <w:rFonts w:ascii="Arial" w:cs="Arial" w:eastAsia="Arial" w:hAnsi="Arial"/>
                <w:sz w:val="16"/>
                <w:szCs w:val="16"/>
                <w:b w:val="1"/>
                <w:bCs w:val="1"/>
                <w:color w:val="auto"/>
              </w:rPr>
              <w:t>Accrued Interest Receivable</w:t>
            </w:r>
          </w:p>
        </w:tc>
      </w:tr>
      <w:tr>
        <w:trPr>
          <w:trHeight w:val="210"/>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c>
          <w:tcPr>
            <w:tcW w:w="2680" w:type="dxa"/>
            <w:vAlign w:val="bottom"/>
          </w:tcPr>
          <w:p>
            <w:pPr>
              <w:spacing w:after="0"/>
              <w:rPr>
                <w:sz w:val="18"/>
                <w:szCs w:val="18"/>
                <w:color w:val="auto"/>
              </w:rPr>
            </w:pPr>
          </w:p>
        </w:tc>
      </w:tr>
      <w:tr>
        <w:trPr>
          <w:trHeight w:val="212"/>
        </w:trPr>
        <w:tc>
          <w:tcPr>
            <w:tcW w:w="4820" w:type="dxa"/>
            <w:vAlign w:val="bottom"/>
            <w:tcBorders>
              <w:top w:val="single" w:sz="8" w:color="CCEEFF"/>
            </w:tcBorders>
            <w:shd w:val="clear" w:color="auto" w:fill="CCEEFF"/>
          </w:tcPr>
          <w:p>
            <w:pPr>
              <w:ind w:left="2780"/>
              <w:spacing w:after="0"/>
              <w:rPr>
                <w:sz w:val="20"/>
                <w:szCs w:val="20"/>
                <w:color w:val="auto"/>
              </w:rPr>
            </w:pPr>
            <w:r>
              <w:rPr>
                <w:rFonts w:ascii="Arial" w:cs="Arial" w:eastAsia="Arial" w:hAnsi="Arial"/>
                <w:sz w:val="16"/>
                <w:szCs w:val="16"/>
                <w:color w:val="auto"/>
              </w:rPr>
              <w:t>HTM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Arial" w:cs="Arial" w:eastAsia="Arial" w:hAnsi="Arial"/>
                <w:sz w:val="16"/>
                <w:szCs w:val="16"/>
                <w:color w:val="auto"/>
              </w:rPr>
              <w:t>AFS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10,983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15,281</w:t>
            </w:r>
          </w:p>
        </w:tc>
        <w:tc>
          <w:tcPr>
            <w:tcW w:w="268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 xml:space="preserve">The amortized cost and fair value of AFS and HTM debt securities at September 30, 2023, by contractual maturity, are presented in the following table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183,791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183,807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195,695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195,372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19,857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17,266</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26,560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23,998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28,316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25,992</w:t>
            </w: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334,974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299,140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48,173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43,258</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66,994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57,698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72,566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58,057</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34,348</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53,099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44,945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Supranational entities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11,874</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169,834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142,620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130,375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104,279</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More than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136,182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19,716</w:t>
            </w: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161,168</w:t>
            </w: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222,443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248,285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180,884</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Debt securities not due at a single maturity date: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Residential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1,761,591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1,546,422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1,407,762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1,130,015</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693,916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602,060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682,978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532,730</w:t>
            </w: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2,633,383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2,322,537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2,090,740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1,662,745</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3,575,813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3,182,112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2,518,773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1,992,364</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AFS securities sales activity for the three and nine months ended September 30, 2023 and 2022 </w:t>
      </w: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9"/>
        </w:trPr>
        <w:tc>
          <w:tcPr>
            <w:tcW w:w="5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2022</w:t>
            </w:r>
          </w:p>
        </w:tc>
      </w:tr>
      <w:tr>
        <w:trPr>
          <w:trHeight w:val="23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214,573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595,234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281,521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realized 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(4,697)</w:t>
            </w:r>
          </w:p>
        </w:tc>
      </w:tr>
      <w:tr>
        <w:trPr>
          <w:trHeight w:val="232"/>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 gains (losses), 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attributable to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securities sold in the third quarter of 2023 were those received through the First Miami acquisition. The securities were sold within a few days of the acquisition date and therefore resulted in no gain or loss as the sales price confirmed the value on the acquisition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r>
      <w:tr>
        <w:trPr>
          <w:trHeight w:val="212"/>
        </w:trPr>
        <w:tc>
          <w:tcPr>
            <w:tcW w:w="58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Owner occupied commercial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3,278,582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2,734,666</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Income producing commercial real estate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4,130,099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3,261,626</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Commercial &amp; industrial</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2,252,322</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Commercial construction</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1,849,507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1,597,848</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Equipment financing</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1,534,352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1,374,251</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Arial" w:cs="Arial" w:eastAsia="Arial" w:hAnsi="Arial"/>
                <w:sz w:val="16"/>
                <w:szCs w:val="16"/>
                <w:color w:val="auto"/>
              </w:rPr>
              <w:t>Total commercial</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13,296,870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11,220,713</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mortgage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2,355,061</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Home equity</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940,729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850,269</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construction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442,553</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Manufactured housing</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343,219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316,741</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Consumer</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149,290</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Arial" w:cs="Arial" w:eastAsia="Arial" w:hAnsi="Arial"/>
                <w:sz w:val="16"/>
                <w:szCs w:val="16"/>
                <w:color w:val="auto"/>
              </w:rPr>
              <w:t>Total loans</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18,202,807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15,334,627</w:t>
            </w:r>
          </w:p>
        </w:tc>
        <w:tc>
          <w:tcPr>
            <w:tcW w:w="1680" w:type="dxa"/>
            <w:vAlign w:val="bottom"/>
          </w:tcPr>
          <w:p>
            <w:pPr>
              <w:spacing w:after="0"/>
              <w:rPr>
                <w:sz w:val="17"/>
                <w:szCs w:val="17"/>
                <w:color w:val="auto"/>
              </w:rPr>
            </w:pPr>
          </w:p>
        </w:tc>
      </w:tr>
      <w:tr>
        <w:trPr>
          <w:trHeight w:val="216"/>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Less allowance for credit losses - loans</w:t>
            </w: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(201,557)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(159,357)</w:t>
            </w:r>
          </w:p>
        </w:tc>
        <w:tc>
          <w:tcPr>
            <w:tcW w:w="1680" w:type="dxa"/>
            <w:vAlign w:val="bottom"/>
            <w:shd w:val="clear" w:color="auto" w:fill="CCEEFF"/>
          </w:tcPr>
          <w:p>
            <w:pPr>
              <w:spacing w:after="0"/>
              <w:rPr>
                <w:sz w:val="18"/>
                <w:szCs w:val="18"/>
                <w:color w:val="auto"/>
              </w:rPr>
            </w:pPr>
          </w:p>
        </w:tc>
      </w:tr>
      <w:tr>
        <w:trPr>
          <w:trHeight w:val="213"/>
        </w:trPr>
        <w:tc>
          <w:tcPr>
            <w:tcW w:w="5880" w:type="dxa"/>
            <w:vAlign w:val="bottom"/>
          </w:tcPr>
          <w:p>
            <w:pPr>
              <w:ind w:left="1860"/>
              <w:spacing w:after="0"/>
              <w:rPr>
                <w:sz w:val="20"/>
                <w:szCs w:val="20"/>
                <w:color w:val="auto"/>
              </w:rPr>
            </w:pPr>
            <w:r>
              <w:rPr>
                <w:rFonts w:ascii="Arial" w:cs="Arial" w:eastAsia="Arial" w:hAnsi="Arial"/>
                <w:sz w:val="16"/>
                <w:szCs w:val="16"/>
                <w:color w:val="auto"/>
              </w:rPr>
              <w:t>Loans,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18,001,250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15,175,270</w:t>
            </w:r>
          </w:p>
        </w:tc>
        <w:tc>
          <w:tcPr>
            <w:tcW w:w="168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Accrued interest receivable related to loans totaled $63.1 million and $52.0 million at September 30, 2023 and December 31, 2022, respectively, and was reported in other assets on the consolidated balance sheets. Accrued interest receivable was excluded from the estimate of credit losses.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2023 and December 31, 2022, the loan portfolio was subject to blanket pledges on certain qualifying loan types with the FHLB and FRB to secure contingent funding sources.</w:t>
      </w:r>
    </w:p>
    <w:p>
      <w:pPr>
        <w:spacing w:after="0" w:line="19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 xml:space="preserve">The following table presents the amortized cost of certain loans held for investment that were sold in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The gains on these loan sales were included in noninterest income on the consolidated statements of income.</w:t>
      </w: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314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0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Guaranteed portion of SBA/USDA loans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26,381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87,867</w:t>
            </w: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financing receivables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37,671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76,945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65,534</w:t>
            </w:r>
          </w:p>
        </w:tc>
      </w:tr>
      <w:tr>
        <w:trPr>
          <w:trHeight w:val="23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64,052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147,168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153,401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At September 30, 2023 and December 31, 2022, equipment financing receivables included leases of $65.7 million and $46.0 million, respectively. The components of the net investment in leases, which included both sales-type and direct financing,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Minimum future lease payments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49,723</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Estimated residual value of leased equipment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2,804</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Initial direct costs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Security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(429)</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Unearned income</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1620" w:type="dxa"/>
            <w:vAlign w:val="bottom"/>
            <w:shd w:val="clear" w:color="auto" w:fill="CCEEFF"/>
          </w:tcPr>
          <w:p>
            <w:pPr>
              <w:spacing w:after="0"/>
              <w:rPr>
                <w:sz w:val="18"/>
                <w:szCs w:val="18"/>
                <w:color w:val="auto"/>
              </w:rPr>
            </w:pPr>
          </w:p>
        </w:tc>
      </w:tr>
      <w:tr>
        <w:trPr>
          <w:trHeight w:val="213"/>
        </w:trPr>
        <w:tc>
          <w:tcPr>
            <w:tcW w:w="5760" w:type="dxa"/>
            <w:vAlign w:val="bottom"/>
          </w:tcPr>
          <w:p>
            <w:pPr>
              <w:ind w:left="1820"/>
              <w:spacing w:after="0"/>
              <w:rPr>
                <w:sz w:val="20"/>
                <w:szCs w:val="20"/>
                <w:color w:val="auto"/>
              </w:rPr>
            </w:pPr>
            <w:r>
              <w:rPr>
                <w:rFonts w:ascii="Arial" w:cs="Arial" w:eastAsia="Arial" w:hAnsi="Arial"/>
                <w:sz w:val="16"/>
                <w:szCs w:val="16"/>
                <w:color w:val="auto"/>
              </w:rPr>
              <w:t>Net investment in leases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45,988</w:t>
            </w:r>
          </w:p>
        </w:tc>
        <w:tc>
          <w:tcPr>
            <w:tcW w:w="1620" w:type="dxa"/>
            <w:vAlign w:val="bottom"/>
          </w:tcPr>
          <w:p>
            <w:pPr>
              <w:spacing w:after="0"/>
              <w:rPr>
                <w:sz w:val="18"/>
                <w:szCs w:val="18"/>
                <w:color w:val="auto"/>
              </w:rPr>
            </w:pPr>
          </w:p>
        </w:tc>
      </w:tr>
      <w:tr>
        <w:trPr>
          <w:trHeight w:val="21"/>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Minimum future lease payments expected to be received from equipment financing lease contracts as of September 30, 2023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700"/>
              <w:spacing w:after="0"/>
              <w:rPr>
                <w:sz w:val="20"/>
                <w:szCs w:val="20"/>
                <w:color w:val="auto"/>
              </w:rPr>
            </w:pPr>
            <w:r>
              <w:rPr>
                <w:rFonts w:ascii="Arial" w:cs="Arial" w:eastAsia="Arial" w:hAnsi="Arial"/>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Remainder of 2023</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22,773</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18,549</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2026</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13,320</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2027</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8,589</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71,773</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aging of the amortized cost basis in loans by aging category and accrual status as of the dates indicated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Past due status is based on contractual terms of the loan. The accrual of interest is generally discontinued when a loan becomes 90 days past due.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9"/>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3,271,847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3,278,582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4,099,376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4,130,099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2,504,330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1,848,362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1,849,507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1,517,824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1,534,352</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13,222,415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11,435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59,042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13,296,870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3,043,120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940,729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398,765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317,831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343,219</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180,104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18,075,155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29,726</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18,202,807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2,734,666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3,257,232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3,261,626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2,252,322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1,597,268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1,597,848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1,374,251</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11,182,980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10,010</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24,449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11,220,713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2,355,061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844,888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850,269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442,553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316,741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149,290</w:t>
            </w:r>
          </w:p>
        </w:tc>
        <w:tc>
          <w:tcPr>
            <w:tcW w:w="0" w:type="dxa"/>
            <w:vAlign w:val="bottom"/>
          </w:tcPr>
          <w:p>
            <w:pPr>
              <w:spacing w:after="0"/>
              <w:rPr>
                <w:sz w:val="1"/>
                <w:szCs w:val="1"/>
                <w:color w:val="auto"/>
              </w:rPr>
            </w:pPr>
          </w:p>
        </w:tc>
      </w:tr>
      <w:tr>
        <w:trPr>
          <w:trHeight w:val="212"/>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15,263,066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21,828</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15,334,627</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held for investment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September 30, 2023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With no</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6"/>
              </w:rPr>
              <w:t>With an</w:t>
            </w:r>
          </w:p>
        </w:tc>
        <w:tc>
          <w:tcPr>
            <w:tcW w:w="24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6"/>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allowance</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allowance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allowance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allowance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59,042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24,449</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10,919</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Home equity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Manufactured housing</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6,518</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33,323</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56,495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89,818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21,048</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23,184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44,232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Special Mention. </w:t>
      </w:r>
      <w:r>
        <w:rPr>
          <w:rFonts w:ascii="Arial" w:cs="Arial" w:eastAsia="Arial" w:hAnsi="Arial"/>
          <w:sz w:val="18"/>
          <w:szCs w:val="18"/>
          <w:color w:val="auto"/>
        </w:rPr>
        <w:t>Loans in this category are presently protected from apparent loss; however, weaknesses exist that could cause future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this system, loans that are on nonaccrual status, 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tables present the risk category of term loans and, for 2023, gross charge-offs by vintage year, which is the year of origination or most recent renewal, as of the date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40" w:type="dxa"/>
            <w:vAlign w:val="bottom"/>
            <w:gridSpan w:val="7"/>
          </w:tcPr>
          <w:p>
            <w:pPr>
              <w:ind w:left="60"/>
              <w:spacing w:after="0"/>
              <w:rPr>
                <w:sz w:val="20"/>
                <w:szCs w:val="20"/>
                <w:color w:val="auto"/>
              </w:rPr>
            </w:pPr>
            <w:r>
              <w:rPr>
                <w:rFonts w:ascii="Arial" w:cs="Arial" w:eastAsia="Arial" w:hAnsi="Arial"/>
                <w:sz w:val="13"/>
                <w:szCs w:val="13"/>
                <w:b w:val="1"/>
                <w:bCs w:val="1"/>
                <w:color w:val="auto"/>
                <w:w w:val="94"/>
              </w:rPr>
              <w:t>Term Loans by Origination Year</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Revolvers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1" w:lineRule="exact"/>
              <w:rPr>
                <w:sz w:val="20"/>
                <w:szCs w:val="20"/>
                <w:color w:val="auto"/>
              </w:rPr>
            </w:pPr>
            <w:r>
              <w:rPr>
                <w:rFonts w:ascii="Arial" w:cs="Arial" w:eastAsia="Arial" w:hAnsi="Arial"/>
                <w:sz w:val="13"/>
                <w:szCs w:val="13"/>
                <w:b w:val="1"/>
                <w:bCs w:val="1"/>
                <w:color w:val="auto"/>
                <w:w w:val="87"/>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Prior</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Arial" w:cs="Arial" w:eastAsia="Arial" w:hAnsi="Arial"/>
                <w:sz w:val="13"/>
                <w:szCs w:val="13"/>
                <w:b w:val="1"/>
                <w:bCs w:val="1"/>
                <w:color w:val="auto"/>
                <w:w w:val="90"/>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2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1"/>
              </w:rPr>
              <w:t>term loans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Owner occupied commercial real estate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548,702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697,407</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648,517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591,130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212,522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369,305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108,956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17,900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3,194,439</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31,325</w:t>
            </w:r>
          </w:p>
        </w:tc>
        <w:tc>
          <w:tcPr>
            <w:tcW w:w="0" w:type="dxa"/>
            <w:vAlign w:val="bottom"/>
          </w:tcPr>
          <w:p>
            <w:pPr>
              <w:spacing w:after="0"/>
              <w:rPr>
                <w:sz w:val="1"/>
                <w:szCs w:val="1"/>
                <w:color w:val="auto"/>
              </w:rPr>
            </w:pPr>
          </w:p>
        </w:tc>
      </w:tr>
      <w:tr>
        <w:trPr>
          <w:trHeight w:val="182"/>
        </w:trPr>
        <w:tc>
          <w:tcPr>
            <w:tcW w:w="3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13,341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11,587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52,818</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owner occupied commercial real estate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558,349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657,051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610,330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227,225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383,937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110,283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3,278,582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863</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Income producing commercial real estate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480,148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943,710</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798,023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761,973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306,892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466,308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56,787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12,413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3,826,254</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170,125</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37,236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20,766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29,579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133,720</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income producing commercial real estate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559,811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1,001,664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825,162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809,274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359,418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505,514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4,130,099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3,033</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2,534</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2,291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7,858</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536,057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475,831</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316,737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141,890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105,098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172,251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583,560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14,397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2,345,821</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53,352</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18,786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25,867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105,157</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jc w:val="right"/>
              <w:ind w:right="1260"/>
              <w:spacing w:after="0"/>
              <w:rPr>
                <w:sz w:val="20"/>
                <w:szCs w:val="20"/>
                <w:color w:val="auto"/>
              </w:rPr>
            </w:pPr>
            <w:r>
              <w:rPr>
                <w:rFonts w:ascii="Arial" w:cs="Arial" w:eastAsia="Arial" w:hAnsi="Arial"/>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560,744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484,476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346,392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154,097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117,853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175,087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649,026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2,504,330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5,433</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1,551</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13,056</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2,379</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1,578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24,353</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construction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508,200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668,556</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333,915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177,196</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58,028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29,494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56,061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899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1,832,349</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16,914</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Arial" w:cs="Arial" w:eastAsia="Arial" w:hAnsi="Arial"/>
                <w:sz w:val="13"/>
                <w:szCs w:val="13"/>
                <w:color w:val="auto"/>
              </w:rPr>
              <w:t>Total commercial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514,869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669,689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340,761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179,382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1,849,507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557,422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544,029</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266,554</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99,360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51,089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5,637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1,524,091</w:t>
            </w:r>
          </w:p>
        </w:tc>
        <w:tc>
          <w:tcPr>
            <w:tcW w:w="0" w:type="dxa"/>
            <w:vAlign w:val="bottom"/>
          </w:tcPr>
          <w:p>
            <w:pPr>
              <w:spacing w:after="0"/>
              <w:rPr>
                <w:sz w:val="1"/>
                <w:szCs w:val="1"/>
                <w:color w:val="auto"/>
              </w:rPr>
            </w:pPr>
          </w:p>
        </w:tc>
      </w:tr>
      <w:tr>
        <w:trPr>
          <w:trHeight w:val="190"/>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10,261</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20"/>
              <w:spacing w:after="0"/>
              <w:rPr>
                <w:sz w:val="20"/>
                <w:szCs w:val="20"/>
                <w:color w:val="auto"/>
              </w:rPr>
            </w:pPr>
            <w:r>
              <w:rPr>
                <w:rFonts w:ascii="Arial" w:cs="Arial" w:eastAsia="Arial" w:hAnsi="Arial"/>
                <w:sz w:val="13"/>
                <w:szCs w:val="13"/>
                <w:color w:val="auto"/>
              </w:rPr>
              <w:t>Total equipment financing</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558,383</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548,135</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269,550</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100,647</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51,969</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5,668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1,534,352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6,840</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14,994</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
              <w:spacing w:after="0"/>
              <w:rPr>
                <w:sz w:val="20"/>
                <w:szCs w:val="20"/>
                <w:color w:val="auto"/>
              </w:rPr>
            </w:pPr>
            <w:r>
              <w:rPr>
                <w:rFonts w:ascii="Arial" w:cs="Arial" w:eastAsia="Arial" w:hAnsi="Arial"/>
                <w:sz w:val="13"/>
                <w:szCs w:val="13"/>
                <w:b w:val="1"/>
                <w:bCs w:val="1"/>
                <w:color w:val="auto"/>
              </w:rPr>
              <w:t>Residential mortgage</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652,060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959,694</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326,186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3,028,956</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6,944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14,164</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residential mortgage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652,503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962,193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747,790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327,073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261,176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3,043,120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Home equity</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909,429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27,059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936,488</w:t>
            </w:r>
          </w:p>
        </w:tc>
        <w:tc>
          <w:tcPr>
            <w:tcW w:w="0" w:type="dxa"/>
            <w:vAlign w:val="bottom"/>
          </w:tcPr>
          <w:p>
            <w:pPr>
              <w:spacing w:after="0"/>
              <w:rPr>
                <w:sz w:val="1"/>
                <w:szCs w:val="1"/>
                <w:color w:val="auto"/>
              </w:rPr>
            </w:pPr>
          </w:p>
        </w:tc>
      </w:tr>
      <w:tr>
        <w:trPr>
          <w:trHeight w:val="190"/>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4,241</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20"/>
              <w:spacing w:after="0"/>
              <w:rPr>
                <w:sz w:val="20"/>
                <w:szCs w:val="20"/>
                <w:color w:val="auto"/>
              </w:rPr>
            </w:pPr>
            <w:r>
              <w:rPr>
                <w:rFonts w:ascii="Arial" w:cs="Arial" w:eastAsia="Arial" w:hAnsi="Arial"/>
                <w:sz w:val="13"/>
                <w:szCs w:val="13"/>
                <w:color w:val="auto"/>
              </w:rPr>
              <w:t>Total home equity</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909,467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31,262</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940,729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
              <w:spacing w:after="0"/>
              <w:rPr>
                <w:sz w:val="20"/>
                <w:szCs w:val="20"/>
                <w:color w:val="auto"/>
              </w:rPr>
            </w:pPr>
            <w:r>
              <w:rPr>
                <w:rFonts w:ascii="Arial" w:cs="Arial" w:eastAsia="Arial" w:hAnsi="Arial"/>
                <w:sz w:val="13"/>
                <w:szCs w:val="13"/>
                <w:b w:val="1"/>
                <w:bCs w:val="1"/>
                <w:color w:val="auto"/>
              </w:rPr>
              <w:t>Residential construction</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138,093</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394,289</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residential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216,211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139,256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398,765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2"/>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1,111</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1,111</w:t>
            </w: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Manufactured housing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6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45,600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71,672</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50,298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45,392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32,324</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83,385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328,671</w:t>
            </w:r>
          </w:p>
        </w:tc>
        <w:tc>
          <w:tcPr>
            <w:tcW w:w="0" w:type="dxa"/>
            <w:vAlign w:val="bottom"/>
          </w:tcPr>
          <w:p>
            <w:pPr>
              <w:spacing w:after="0"/>
              <w:rPr>
                <w:sz w:val="1"/>
                <w:szCs w:val="1"/>
                <w:color w:val="auto"/>
              </w:rPr>
            </w:pPr>
          </w:p>
        </w:tc>
      </w:tr>
      <w:tr>
        <w:trPr>
          <w:trHeight w:val="190"/>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14,548</w:t>
            </w:r>
          </w:p>
        </w:tc>
        <w:tc>
          <w:tcPr>
            <w:tcW w:w="0" w:type="dxa"/>
            <w:vAlign w:val="bottom"/>
          </w:tcPr>
          <w:p>
            <w:pPr>
              <w:spacing w:after="0"/>
              <w:rPr>
                <w:sz w:val="1"/>
                <w:szCs w:val="1"/>
                <w:color w:val="auto"/>
              </w:rPr>
            </w:pPr>
          </w:p>
        </w:tc>
      </w:tr>
      <w:tr>
        <w:trPr>
          <w:trHeight w:val="189"/>
        </w:trPr>
        <w:tc>
          <w:tcPr>
            <w:tcW w:w="3060" w:type="dxa"/>
            <w:vAlign w:val="bottom"/>
            <w:gridSpan w:val="2"/>
          </w:tcPr>
          <w:p>
            <w:pPr>
              <w:ind w:left="220"/>
              <w:spacing w:after="0"/>
              <w:rPr>
                <w:sz w:val="20"/>
                <w:szCs w:val="20"/>
                <w:color w:val="auto"/>
              </w:rPr>
            </w:pPr>
            <w:r>
              <w:rPr>
                <w:rFonts w:ascii="Arial" w:cs="Arial" w:eastAsia="Arial" w:hAnsi="Arial"/>
                <w:sz w:val="13"/>
                <w:szCs w:val="13"/>
                <w:color w:val="auto"/>
              </w:rPr>
              <w:t>Total consumer</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46,036</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75,506</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53,494</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47,606</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33,361</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87,216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343,219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gridSpan w:val="2"/>
            <w:shd w:val="clear" w:color="auto" w:fill="CCEEFF"/>
          </w:tcPr>
          <w:p>
            <w:pPr>
              <w:jc w:val="right"/>
              <w:ind w:right="124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Consumer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46,324</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179,924</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9"/>
        </w:trPr>
        <w:tc>
          <w:tcPr>
            <w:tcW w:w="3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consumer</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46,388</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180,104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60" w:type="dxa"/>
            <w:vAlign w:val="bottom"/>
            <w:gridSpan w:val="2"/>
          </w:tcPr>
          <w:p>
            <w:pPr>
              <w:jc w:val="right"/>
              <w:ind w:right="1240"/>
              <w:spacing w:after="0" w:line="147" w:lineRule="exact"/>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line="147"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2,472</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120</w:t>
            </w:r>
          </w:p>
        </w:tc>
        <w:tc>
          <w:tcPr>
            <w:tcW w:w="28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229</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00" w:type="dxa"/>
            <w:vAlign w:val="bottom"/>
          </w:tcPr>
          <w:p>
            <w:pPr>
              <w:jc w:val="right"/>
              <w:spacing w:after="0" w:line="147"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00" w:type="dxa"/>
            <w:vAlign w:val="bottom"/>
          </w:tcPr>
          <w:p>
            <w:pPr>
              <w:jc w:val="right"/>
              <w:spacing w:after="0" w:line="147"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141</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380"/>
              <w:spacing w:after="0"/>
              <w:rPr>
                <w:sz w:val="20"/>
                <w:szCs w:val="20"/>
                <w:color w:val="auto"/>
              </w:rPr>
            </w:pPr>
            <w:r>
              <w:rPr>
                <w:rFonts w:ascii="Arial" w:cs="Arial" w:eastAsia="Arial" w:hAnsi="Arial"/>
                <w:sz w:val="14"/>
                <w:szCs w:val="14"/>
                <w:b w:val="1"/>
                <w:bCs w:val="1"/>
                <w:color w:val="auto"/>
              </w:rPr>
              <w:t>Term Loans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Revolvers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converted to</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Revolvers</w:t>
            </w:r>
          </w:p>
        </w:tc>
        <w:tc>
          <w:tcPr>
            <w:tcW w:w="9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669,451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671,395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611,900</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204,990</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127,738</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253,890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114,975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5,779</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2,660,118</w:t>
            </w:r>
          </w:p>
        </w:tc>
        <w:tc>
          <w:tcPr>
            <w:tcW w:w="0" w:type="dxa"/>
            <w:vAlign w:val="bottom"/>
          </w:tcPr>
          <w:p>
            <w:pPr>
              <w:spacing w:after="0"/>
              <w:rPr>
                <w:sz w:val="1"/>
                <w:szCs w:val="1"/>
                <w:color w:val="auto"/>
              </w:rPr>
            </w:pPr>
          </w:p>
        </w:tc>
      </w:tr>
      <w:tr>
        <w:trPr>
          <w:trHeight w:val="188"/>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812,804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753,936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733,946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248,259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171,108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255,485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9,953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3,035,517</w:t>
            </w:r>
          </w:p>
        </w:tc>
        <w:tc>
          <w:tcPr>
            <w:tcW w:w="0" w:type="dxa"/>
            <w:vAlign w:val="bottom"/>
          </w:tcPr>
          <w:p>
            <w:pPr>
              <w:spacing w:after="0"/>
              <w:rPr>
                <w:sz w:val="1"/>
                <w:szCs w:val="1"/>
                <w:color w:val="auto"/>
              </w:rPr>
            </w:pPr>
          </w:p>
        </w:tc>
      </w:tr>
      <w:tr>
        <w:trPr>
          <w:trHeight w:val="194"/>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535,594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388,851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186,292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134,789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119,547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71,503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670,161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2,122,617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732,147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391,963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256,087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1,563,177</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714,044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374,030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162,463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93,690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1,368,194</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commercial</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3,464,040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2,580,175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1,950,688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760,506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453,123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602,065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905,981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10,749,623</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894,960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742,821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329,762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91,300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55,785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223,846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2,341,615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Home equity</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824,153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848,101</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344,443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82,289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442,077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Manufactured housing</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78,097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54,976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48,908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309,025</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71,899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25,963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149,128</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4,853,439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3,489,583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2,349,242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892,371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543,350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895,196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1,756,105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14,839,569</w:t>
            </w:r>
          </w:p>
        </w:tc>
        <w:tc>
          <w:tcPr>
            <w:tcW w:w="0" w:type="dxa"/>
            <w:vAlign w:val="bottom"/>
          </w:tcPr>
          <w:p>
            <w:pPr>
              <w:spacing w:after="0"/>
              <w:rPr>
                <w:sz w:val="1"/>
                <w:szCs w:val="1"/>
                <w:color w:val="auto"/>
              </w:rPr>
            </w:pPr>
          </w:p>
        </w:tc>
      </w:tr>
      <w:tr>
        <w:trPr>
          <w:trHeight w:val="174"/>
        </w:trPr>
        <w:tc>
          <w:tcPr>
            <w:tcW w:w="2220" w:type="dxa"/>
            <w:vAlign w:val="bottom"/>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20" w:type="dxa"/>
            <w:vAlign w:val="bottom"/>
            <w:gridSpan w:val="2"/>
            <w:shd w:val="clear" w:color="auto" w:fill="CCEEFF"/>
          </w:tcPr>
          <w:p>
            <w:pPr>
              <w:ind w:left="140"/>
              <w:spacing w:after="0" w:line="151" w:lineRule="exact"/>
              <w:rPr>
                <w:sz w:val="20"/>
                <w:szCs w:val="20"/>
                <w:color w:val="auto"/>
              </w:rPr>
            </w:pPr>
            <w:r>
              <w:rPr>
                <w:rFonts w:ascii="Arial" w:cs="Arial" w:eastAsia="Arial" w:hAnsi="Arial"/>
                <w:sz w:val="14"/>
                <w:szCs w:val="14"/>
                <w:color w:val="auto"/>
              </w:rPr>
              <w:t>Owner occupied commercial real</w:t>
            </w: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44,194</w:t>
            </w:r>
          </w:p>
        </w:tc>
        <w:tc>
          <w:tcPr>
            <w:tcW w:w="0" w:type="dxa"/>
            <w:vAlign w:val="bottom"/>
          </w:tcPr>
          <w:p>
            <w:pPr>
              <w:spacing w:after="0"/>
              <w:rPr>
                <w:sz w:val="1"/>
                <w:szCs w:val="1"/>
                <w:color w:val="auto"/>
              </w:rPr>
            </w:pPr>
          </w:p>
        </w:tc>
      </w:tr>
      <w:tr>
        <w:trPr>
          <w:trHeight w:val="194"/>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Income producing commercial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41,423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44,802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32,821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21,647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142,685</w:t>
            </w:r>
          </w:p>
        </w:tc>
        <w:tc>
          <w:tcPr>
            <w:tcW w:w="0" w:type="dxa"/>
            <w:vAlign w:val="bottom"/>
          </w:tcPr>
          <w:p>
            <w:pPr>
              <w:spacing w:after="0"/>
              <w:rPr>
                <w:sz w:val="1"/>
                <w:szCs w:val="1"/>
                <w:color w:val="auto"/>
              </w:rPr>
            </w:pPr>
          </w:p>
        </w:tc>
      </w:tr>
      <w:tr>
        <w:trPr>
          <w:trHeight w:val="188"/>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21,745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39,342</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20,679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220" w:type="dxa"/>
            <w:vAlign w:val="bottom"/>
            <w:gridSpan w:val="2"/>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48,204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30,951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53,769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57,404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29,014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11,841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15,129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246,900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Home equity</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Manufactured housing</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48,204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30,951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53,769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57,404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29,014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11,841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15,129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246,900</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Substandard</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2,873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8,055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30,354</w:t>
            </w:r>
          </w:p>
        </w:tc>
        <w:tc>
          <w:tcPr>
            <w:tcW w:w="0" w:type="dxa"/>
            <w:vAlign w:val="bottom"/>
          </w:tcPr>
          <w:p>
            <w:pPr>
              <w:spacing w:after="0"/>
              <w:rPr>
                <w:sz w:val="1"/>
                <w:szCs w:val="1"/>
                <w:color w:val="auto"/>
              </w:rPr>
            </w:pPr>
          </w:p>
        </w:tc>
      </w:tr>
      <w:tr>
        <w:trPr>
          <w:trHeight w:val="188"/>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52,384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83,424</w:t>
            </w:r>
          </w:p>
        </w:tc>
        <w:tc>
          <w:tcPr>
            <w:tcW w:w="0" w:type="dxa"/>
            <w:vAlign w:val="bottom"/>
          </w:tcPr>
          <w:p>
            <w:pPr>
              <w:spacing w:after="0"/>
              <w:rPr>
                <w:sz w:val="1"/>
                <w:szCs w:val="1"/>
                <w:color w:val="auto"/>
              </w:rPr>
            </w:pPr>
          </w:p>
        </w:tc>
      </w:tr>
      <w:tr>
        <w:trPr>
          <w:trHeight w:val="194"/>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39,333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90,363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13,992</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6,057</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29,544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29,330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39,542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224,190</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13,446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Home equity</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Manufactured housing</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0" w:type="dxa"/>
            <w:vAlign w:val="bottom"/>
          </w:tcPr>
          <w:p>
            <w:pPr>
              <w:spacing w:after="0"/>
              <w:rPr>
                <w:sz w:val="1"/>
                <w:szCs w:val="1"/>
                <w:color w:val="auto"/>
              </w:rPr>
            </w:pPr>
          </w:p>
        </w:tc>
      </w:tr>
      <w:tr>
        <w:trPr>
          <w:trHeight w:val="182"/>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76,785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12,793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33,349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36,497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39,636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248,158</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4,978,428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3,546,181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2,415,804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966,556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605,713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943,534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1,810,870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15,334,627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21" w:right="4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Modifications to Borrowers Experiencing Financial Difficulty</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 period-end amortized cost of loans modified under the terms of a FDM during the nine months ended September 30, 2023 is presented in the following table </w:t>
      </w: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New FDMs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9"/>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9"/>
          </w:tcPr>
          <w:p>
            <w:pPr>
              <w:spacing w:after="0"/>
              <w:rPr>
                <w:sz w:val="20"/>
                <w:szCs w:val="20"/>
                <w:color w:val="auto"/>
              </w:rPr>
            </w:pPr>
            <w:r>
              <w:rPr>
                <w:rFonts w:ascii="Arial" w:cs="Arial" w:eastAsia="Arial" w:hAnsi="Arial"/>
                <w:sz w:val="14"/>
                <w:szCs w:val="14"/>
                <w:b w:val="1"/>
                <w:bCs w:val="1"/>
                <w:color w:val="auto"/>
                <w:w w:val="96"/>
              </w:rPr>
              <w:t>Post-Modification Amortized Cost by Type of Modification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Total Class of</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Extension</w:t>
            </w: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Delay</w:t>
            </w:r>
          </w:p>
        </w:tc>
        <w:tc>
          <w:tcPr>
            <w:tcW w:w="10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Payment Delay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Rate Reduction &amp;</w:t>
            </w:r>
          </w:p>
        </w:tc>
        <w:tc>
          <w:tcPr>
            <w:tcW w:w="24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&amp; Extension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Extension</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308"/>
              <w:spacing w:after="0"/>
              <w:rPr>
                <w:sz w:val="20"/>
                <w:szCs w:val="20"/>
                <w:color w:val="auto"/>
              </w:rPr>
            </w:pPr>
            <w:r>
              <w:rPr>
                <w:rFonts w:ascii="Arial" w:cs="Arial" w:eastAsia="Arial" w:hAnsi="Arial"/>
                <w:sz w:val="14"/>
                <w:szCs w:val="14"/>
                <w:b w:val="1"/>
                <w:bCs w:val="1"/>
                <w:color w:val="auto"/>
              </w:rPr>
              <w:t>Receivable</w:t>
            </w:r>
          </w:p>
        </w:tc>
        <w:tc>
          <w:tcPr>
            <w:tcW w:w="0" w:type="dxa"/>
            <w:vAlign w:val="bottom"/>
          </w:tcPr>
          <w:p>
            <w:pPr>
              <w:spacing w:after="0"/>
              <w:rPr>
                <w:sz w:val="1"/>
                <w:szCs w:val="1"/>
                <w:color w:val="auto"/>
              </w:rPr>
            </w:pPr>
          </w:p>
        </w:tc>
      </w:tr>
      <w:tr>
        <w:trPr>
          <w:trHeight w:val="189"/>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Owner occupied commercial real estate</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35,369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73,508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Commercial &amp; industrial</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19,365</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Commercial construction</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Equipment financing</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17,651</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Residential construction</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Manufactured housing</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6"/>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Total loans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58,895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3,426</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36,602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113,238</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Equipment financing FDMs typically consist of extensions and/or payment delays in which the borrower receives one or more three-month payment delays and/or extensions beyond the original maturity. For the remainder of extension FDMs occurring during the first nine months of 2023, the weighted average extension granted was approximately 13 months.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and industrial payment delay FDMs include $2.86 million of loans in bankruptcy status. Excluding bankruptcy status loans, the remainder of FDMs in this category had a weighted average payment delay of approximately three months.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and industrial payment delay and extension FDMs received a weighted average payment delay of approximately nine months and extensions of less than one year.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income producing commercial real estate FDMs categorized as rate reduction and extensions resulted in a decrease in weighted average interest rate of 158 basis points and extended the weighted average maturity by two years. Residential mortgage and manufactured housing FDMs resulted in a decrease in weighted average interest rate of 562 basis points and extended the weighted average maturity by 17.5 years.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2023, there were $910,000 in equipment financing extension FDMs modified during 2023 that subsequently defaulted under modified loan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both September 30, 2023 and December 31, 2022,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charge-off experience to produce an expected default rate, with the results subject to a floor. In the case of residential construction, commercial construction, income producing commercial real estate and multifamily loans (included in income producing commercial real estate), the expected default rate was adjusted by a model overlay based on expectations of future performance. For the third quarter of 2023, management applied qualitative factors to the model output for the residential mortgage and owner occupied commercial real estate portfolios to account for observable differences in national economic trends reflected in the economic forecast that are not being observed at the same level of severity within United’s geographic footprint.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2008 mortgage crisis.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17"/>
          </w:tcPr>
          <w:p>
            <w:pPr>
              <w:jc w:val="right"/>
              <w:ind w:right="120"/>
              <w:spacing w:after="0"/>
              <w:rPr>
                <w:sz w:val="20"/>
                <w:szCs w:val="20"/>
                <w:color w:val="auto"/>
              </w:rPr>
            </w:pPr>
            <w:r>
              <w:rPr>
                <w:rFonts w:ascii="Arial" w:cs="Arial" w:eastAsia="Arial" w:hAnsi="Arial"/>
                <w:sz w:val="16"/>
                <w:szCs w:val="16"/>
                <w:b w:val="1"/>
                <w:bCs w:val="1"/>
                <w:color w:val="auto"/>
                <w:w w:val="88"/>
              </w:rPr>
              <w:t>Three Months Ended September 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220" w:type="dxa"/>
            <w:vAlign w:val="bottom"/>
            <w:gridSpan w:val="4"/>
          </w:tcPr>
          <w:p>
            <w:pPr>
              <w:spacing w:after="0" w:line="20" w:lineRule="exact"/>
              <w:rPr>
                <w:sz w:val="1"/>
                <w:szCs w:val="1"/>
                <w:color w:val="auto"/>
              </w:rPr>
            </w:pPr>
          </w:p>
        </w:tc>
        <w:tc>
          <w:tcPr>
            <w:tcW w:w="9020" w:type="dxa"/>
            <w:vAlign w:val="bottom"/>
            <w:tcBorders>
              <w:bottom w:val="single" w:sz="8" w:color="auto"/>
            </w:tcBorders>
            <w:gridSpan w:val="5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220" w:type="dxa"/>
            <w:vAlign w:val="bottom"/>
            <w:gridSpan w:val="4"/>
          </w:tcPr>
          <w:p>
            <w:pPr>
              <w:spacing w:after="0"/>
              <w:rPr>
                <w:sz w:val="17"/>
                <w:szCs w:val="17"/>
                <w:color w:val="auto"/>
              </w:rPr>
            </w:pPr>
          </w:p>
        </w:tc>
        <w:tc>
          <w:tcPr>
            <w:tcW w:w="4920" w:type="dxa"/>
            <w:vAlign w:val="bottom"/>
            <w:tcBorders>
              <w:bottom w:val="single" w:sz="8" w:color="auto"/>
            </w:tcBorders>
            <w:gridSpan w:val="30"/>
          </w:tcPr>
          <w:p>
            <w:pPr>
              <w:jc w:val="right"/>
              <w:ind w:right="484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4000" w:type="dxa"/>
            <w:vAlign w:val="bottom"/>
            <w:tcBorders>
              <w:bottom w:val="single" w:sz="8" w:color="auto"/>
            </w:tcBorders>
            <w:gridSpan w:val="26"/>
          </w:tcPr>
          <w:p>
            <w:pPr>
              <w:jc w:val="right"/>
              <w:ind w:right="392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84"/>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w w:val="95"/>
              </w:rPr>
              <w:t>Initial ACL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vMerge w:val="restart"/>
          </w:tcPr>
          <w:p>
            <w:pPr>
              <w:jc w:val="right"/>
              <w:ind w:right="1"/>
              <w:spacing w:after="0"/>
              <w:rPr>
                <w:sz w:val="20"/>
                <w:szCs w:val="20"/>
                <w:color w:val="auto"/>
              </w:rPr>
            </w:pPr>
            <w:r>
              <w:rPr>
                <w:rFonts w:ascii="Arial" w:cs="Arial" w:eastAsia="Arial" w:hAnsi="Arial"/>
                <w:sz w:val="16"/>
                <w:szCs w:val="16"/>
                <w:b w:val="1"/>
                <w:bCs w:val="1"/>
                <w:color w:val="auto"/>
              </w:rPr>
              <w:t>Charge-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(Release)</w:t>
            </w:r>
          </w:p>
        </w:tc>
        <w:tc>
          <w:tcPr>
            <w:tcW w:w="100" w:type="dxa"/>
            <w:vAlign w:val="bottom"/>
          </w:tcPr>
          <w:p>
            <w:pPr>
              <w:spacing w:after="0"/>
              <w:rPr>
                <w:sz w:val="12"/>
                <w:szCs w:val="12"/>
                <w:color w:val="auto"/>
              </w:rPr>
            </w:pPr>
          </w:p>
        </w:tc>
        <w:tc>
          <w:tcPr>
            <w:tcW w:w="600" w:type="dxa"/>
            <w:vAlign w:val="bottom"/>
            <w:gridSpan w:val="3"/>
            <w:vMerge w:val="restart"/>
          </w:tcPr>
          <w:p>
            <w:pPr>
              <w:jc w:val="right"/>
              <w:ind w:right="1"/>
              <w:spacing w:after="0"/>
              <w:rPr>
                <w:sz w:val="20"/>
                <w:szCs w:val="20"/>
                <w:color w:val="auto"/>
              </w:rPr>
            </w:pPr>
            <w:r>
              <w:rPr>
                <w:rFonts w:ascii="Arial" w:cs="Arial" w:eastAsia="Arial" w:hAnsi="Arial"/>
                <w:sz w:val="16"/>
                <w:szCs w:val="16"/>
                <w:b w:val="1"/>
                <w:bCs w:val="1"/>
                <w:color w:val="auto"/>
                <w:w w:val="92"/>
              </w:rPr>
              <w:t>Ending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6"/>
            <w:vMerge w:val="restart"/>
          </w:tcPr>
          <w:p>
            <w:pPr>
              <w:jc w:val="right"/>
              <w:ind w:right="120"/>
              <w:spacing w:after="0"/>
              <w:rPr>
                <w:sz w:val="20"/>
                <w:szCs w:val="20"/>
                <w:color w:val="auto"/>
              </w:rPr>
            </w:pPr>
            <w:r>
              <w:rPr>
                <w:rFonts w:ascii="Arial" w:cs="Arial" w:eastAsia="Arial" w:hAnsi="Arial"/>
                <w:sz w:val="16"/>
                <w:szCs w:val="16"/>
                <w:b w:val="1"/>
                <w:bCs w:val="1"/>
                <w:color w:val="auto"/>
                <w:w w:val="86"/>
              </w:rPr>
              <w:t>Beginning</w:t>
            </w:r>
          </w:p>
        </w:tc>
        <w:tc>
          <w:tcPr>
            <w:tcW w:w="40" w:type="dxa"/>
            <w:vAlign w:val="bottom"/>
          </w:tcPr>
          <w:p>
            <w:pPr>
              <w:spacing w:after="0"/>
              <w:rPr>
                <w:sz w:val="12"/>
                <w:szCs w:val="12"/>
                <w:color w:val="auto"/>
              </w:rPr>
            </w:pPr>
          </w:p>
        </w:tc>
        <w:tc>
          <w:tcPr>
            <w:tcW w:w="740" w:type="dxa"/>
            <w:vAlign w:val="bottom"/>
            <w:gridSpan w:val="5"/>
            <w:vMerge w:val="restart"/>
          </w:tcPr>
          <w:p>
            <w:pPr>
              <w:jc w:val="right"/>
              <w:ind w:right="160"/>
              <w:spacing w:after="0"/>
              <w:rPr>
                <w:sz w:val="20"/>
                <w:szCs w:val="20"/>
                <w:color w:val="auto"/>
              </w:rPr>
            </w:pPr>
            <w:r>
              <w:rPr>
                <w:rFonts w:ascii="Arial" w:cs="Arial" w:eastAsia="Arial" w:hAnsi="Arial"/>
                <w:sz w:val="16"/>
                <w:szCs w:val="16"/>
                <w:b w:val="1"/>
                <w:bCs w:val="1"/>
                <w:color w:val="auto"/>
                <w:w w:val="92"/>
              </w:rPr>
              <w:t>Charge-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(Release)</w:t>
            </w:r>
          </w:p>
        </w:tc>
        <w:tc>
          <w:tcPr>
            <w:tcW w:w="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40"/>
              <w:spacing w:after="0" w:line="116" w:lineRule="exact"/>
              <w:rPr>
                <w:sz w:val="20"/>
                <w:szCs w:val="20"/>
                <w:color w:val="auto"/>
              </w:rPr>
            </w:pPr>
            <w:r>
              <w:rPr>
                <w:rFonts w:ascii="Arial" w:cs="Arial" w:eastAsia="Arial" w:hAnsi="Arial"/>
                <w:sz w:val="13"/>
                <w:szCs w:val="13"/>
                <w:b w:val="1"/>
                <w:bCs w:val="1"/>
                <w:color w:val="auto"/>
              </w:rPr>
              <w:t>-PCD loans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84"/>
              </w:rPr>
              <w:t>Recoveries</w:t>
            </w:r>
          </w:p>
        </w:tc>
        <w:tc>
          <w:tcPr>
            <w:tcW w:w="8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76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86"/>
              </w:rPr>
              <w:t>Recoveries</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9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w w:val="84"/>
              </w:rPr>
              <w:t>Balance</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0"/>
                <w:szCs w:val="10"/>
                <w:b w:val="1"/>
                <w:bCs w:val="1"/>
                <w:color w:val="auto"/>
                <w:w w:val="97"/>
              </w:rPr>
              <w:t>(1)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w w:val="87"/>
              </w:rPr>
              <w:t>Offs</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Provision</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4"/>
              </w:rPr>
              <w:t>Balance</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w w:val="81"/>
              </w:rPr>
              <w:t>Balance</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b w:val="1"/>
                <w:bCs w:val="1"/>
                <w:color w:val="auto"/>
              </w:rPr>
              <w:t>Offs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7"/>
              </w:rPr>
              <w:t>Provision</w:t>
            </w:r>
          </w:p>
        </w:tc>
        <w:tc>
          <w:tcPr>
            <w:tcW w:w="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30"/>
        </w:trPr>
        <w:tc>
          <w:tcPr>
            <w:tcW w:w="2220" w:type="dxa"/>
            <w:vAlign w:val="bottom"/>
            <w:gridSpan w:val="4"/>
            <w:shd w:val="clear" w:color="auto" w:fill="CCEEFF"/>
          </w:tcPr>
          <w:p>
            <w:pPr>
              <w:ind w:left="20"/>
              <w:spacing w:after="0" w:line="131" w:lineRule="exact"/>
              <w:rPr>
                <w:sz w:val="20"/>
                <w:szCs w:val="20"/>
                <w:color w:val="auto"/>
              </w:rPr>
            </w:pPr>
            <w:r>
              <w:rPr>
                <w:rFonts w:ascii="Arial" w:cs="Arial" w:eastAsia="Arial" w:hAnsi="Arial"/>
                <w:sz w:val="15"/>
                <w:szCs w:val="15"/>
                <w:color w:val="auto"/>
                <w:w w:val="99"/>
              </w:rPr>
              <w:t>Owner occupied commercial real</w:t>
            </w:r>
          </w:p>
        </w:tc>
        <w:tc>
          <w:tcPr>
            <w:tcW w:w="10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21,788</w:t>
            </w:r>
          </w:p>
        </w:tc>
        <w:tc>
          <w:tcPr>
            <w:tcW w:w="440" w:type="dxa"/>
            <w:vAlign w:val="bottom"/>
            <w:gridSpan w:val="3"/>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00" w:type="dxa"/>
            <w:vAlign w:val="bottom"/>
            <w:gridSpan w:val="3"/>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340" w:type="dxa"/>
            <w:vAlign w:val="bottom"/>
            <w:gridSpan w:val="2"/>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8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23,984</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4"/>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16,774</w:t>
            </w:r>
          </w:p>
        </w:tc>
        <w:tc>
          <w:tcPr>
            <w:tcW w:w="80" w:type="dxa"/>
            <w:vAlign w:val="bottom"/>
            <w:shd w:val="clear" w:color="auto" w:fill="CCEEFF"/>
          </w:tcPr>
          <w:p>
            <w:pPr>
              <w:spacing w:after="0"/>
              <w:rPr>
                <w:sz w:val="11"/>
                <w:szCs w:val="11"/>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1"/>
                <w:szCs w:val="11"/>
                <w:color w:val="auto"/>
              </w:rPr>
            </w:pP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1"/>
                <w:szCs w:val="11"/>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19,056</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estate</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gridSpan w:val="3"/>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64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ind w:left="20"/>
              <w:spacing w:after="0" w:line="148" w:lineRule="exact"/>
              <w:rPr>
                <w:sz w:val="20"/>
                <w:szCs w:val="20"/>
                <w:color w:val="auto"/>
              </w:rPr>
            </w:pPr>
            <w:r>
              <w:rPr>
                <w:rFonts w:ascii="Arial" w:cs="Arial" w:eastAsia="Arial" w:hAnsi="Arial"/>
                <w:sz w:val="16"/>
                <w:szCs w:val="16"/>
                <w:color w:val="auto"/>
                <w:w w:val="89"/>
              </w:rPr>
              <w:t>Income producing commercial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6"/>
                <w:szCs w:val="16"/>
                <w:color w:val="auto"/>
              </w:rPr>
              <w:t>38,775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3,092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w w:val="90"/>
              </w:rPr>
              <w:t>(3,044)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6,732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6"/>
                <w:szCs w:val="16"/>
                <w:color w:val="auto"/>
              </w:rPr>
              <w:t>45,588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4"/>
            <w:vMerge w:val="restart"/>
          </w:tcPr>
          <w:p>
            <w:pPr>
              <w:jc w:val="right"/>
              <w:ind w:right="1"/>
              <w:spacing w:after="0"/>
              <w:rPr>
                <w:sz w:val="20"/>
                <w:szCs w:val="20"/>
                <w:color w:val="auto"/>
              </w:rPr>
            </w:pPr>
            <w:r>
              <w:rPr>
                <w:rFonts w:ascii="Arial" w:cs="Arial" w:eastAsia="Arial" w:hAnsi="Arial"/>
                <w:sz w:val="16"/>
                <w:szCs w:val="16"/>
                <w:color w:val="auto"/>
              </w:rPr>
              <w:t>33,284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90"/>
              </w:rPr>
              <w:t>(1,498)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31,610</w:t>
            </w:r>
          </w:p>
        </w:tc>
        <w:tc>
          <w:tcPr>
            <w:tcW w:w="0" w:type="dxa"/>
            <w:vAlign w:val="bottom"/>
          </w:tcPr>
          <w:p>
            <w:pPr>
              <w:spacing w:after="0"/>
              <w:rPr>
                <w:sz w:val="1"/>
                <w:szCs w:val="1"/>
                <w:color w:val="auto"/>
              </w:rPr>
            </w:pPr>
          </w:p>
        </w:tc>
      </w:tr>
      <w:tr>
        <w:trPr>
          <w:trHeight w:val="20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29,856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(19,702)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18,370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31,217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ind w:right="1"/>
              <w:spacing w:after="0"/>
              <w:rPr>
                <w:sz w:val="20"/>
                <w:szCs w:val="20"/>
                <w:color w:val="auto"/>
              </w:rPr>
            </w:pPr>
            <w:r>
              <w:rPr>
                <w:rFonts w:ascii="Arial" w:cs="Arial" w:eastAsia="Arial" w:hAnsi="Arial"/>
                <w:sz w:val="16"/>
                <w:szCs w:val="16"/>
                <w:color w:val="auto"/>
              </w:rPr>
              <w:t>18,267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20,918</w:t>
            </w:r>
          </w:p>
        </w:tc>
        <w:tc>
          <w:tcPr>
            <w:tcW w:w="0" w:type="dxa"/>
            <w:vAlign w:val="bottom"/>
          </w:tcPr>
          <w:p>
            <w:pPr>
              <w:spacing w:after="0"/>
              <w:rPr>
                <w:sz w:val="1"/>
                <w:szCs w:val="1"/>
                <w:color w:val="auto"/>
              </w:rPr>
            </w:pPr>
          </w:p>
        </w:tc>
      </w:tr>
      <w:tr>
        <w:trPr>
          <w:trHeight w:val="20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22,276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98"/>
              </w:rPr>
              <w:t>(1,686)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20,639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
              <w:spacing w:after="0"/>
              <w:rPr>
                <w:sz w:val="20"/>
                <w:szCs w:val="20"/>
                <w:color w:val="auto"/>
              </w:rPr>
            </w:pPr>
            <w:r>
              <w:rPr>
                <w:rFonts w:ascii="Arial" w:cs="Arial" w:eastAsia="Arial" w:hAnsi="Arial"/>
                <w:sz w:val="16"/>
                <w:szCs w:val="16"/>
                <w:color w:val="auto"/>
              </w:rPr>
              <w:t>16,062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17,954</w:t>
            </w:r>
          </w:p>
        </w:tc>
        <w:tc>
          <w:tcPr>
            <w:tcW w:w="0" w:type="dxa"/>
            <w:vAlign w:val="bottom"/>
          </w:tcPr>
          <w:p>
            <w:pPr>
              <w:spacing w:after="0"/>
              <w:rPr>
                <w:sz w:val="1"/>
                <w:szCs w:val="1"/>
                <w:color w:val="auto"/>
              </w:rPr>
            </w:pPr>
          </w:p>
        </w:tc>
      </w:tr>
      <w:tr>
        <w:trPr>
          <w:trHeight w:val="224"/>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28,604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0"/>
              </w:rPr>
              <w:t>(7,215)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890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30,362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ind w:right="1"/>
              <w:spacing w:after="0"/>
              <w:rPr>
                <w:sz w:val="20"/>
                <w:szCs w:val="20"/>
                <w:color w:val="auto"/>
              </w:rPr>
            </w:pPr>
            <w:r>
              <w:rPr>
                <w:rFonts w:ascii="Arial" w:cs="Arial" w:eastAsia="Arial" w:hAnsi="Arial"/>
                <w:sz w:val="16"/>
                <w:szCs w:val="16"/>
                <w:color w:val="auto"/>
              </w:rPr>
              <w:t>18,409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20,565</w:t>
            </w:r>
          </w:p>
        </w:tc>
        <w:tc>
          <w:tcPr>
            <w:tcW w:w="0" w:type="dxa"/>
            <w:vAlign w:val="bottom"/>
          </w:tcPr>
          <w:p>
            <w:pPr>
              <w:spacing w:after="0"/>
              <w:rPr>
                <w:sz w:val="1"/>
                <w:szCs w:val="1"/>
                <w:color w:val="auto"/>
              </w:rPr>
            </w:pPr>
          </w:p>
        </w:tc>
      </w:tr>
      <w:tr>
        <w:trPr>
          <w:trHeight w:val="20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25,431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1"/>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2"/>
              </w:rPr>
              <w:t>145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26,884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
              <w:spacing w:after="0"/>
              <w:rPr>
                <w:sz w:val="20"/>
                <w:szCs w:val="20"/>
                <w:color w:val="auto"/>
              </w:rPr>
            </w:pPr>
            <w:r>
              <w:rPr>
                <w:rFonts w:ascii="Arial" w:cs="Arial" w:eastAsia="Arial" w:hAnsi="Arial"/>
                <w:sz w:val="16"/>
                <w:szCs w:val="16"/>
                <w:color w:val="auto"/>
              </w:rPr>
              <w:t>17,035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19,335</w:t>
            </w:r>
          </w:p>
        </w:tc>
        <w:tc>
          <w:tcPr>
            <w:tcW w:w="0" w:type="dxa"/>
            <w:vAlign w:val="bottom"/>
          </w:tcPr>
          <w:p>
            <w:pPr>
              <w:spacing w:after="0"/>
              <w:rPr>
                <w:sz w:val="1"/>
                <w:szCs w:val="1"/>
                <w:color w:val="auto"/>
              </w:rPr>
            </w:pPr>
          </w:p>
        </w:tc>
      </w:tr>
      <w:tr>
        <w:trPr>
          <w:trHeight w:val="224"/>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Home equity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(3,594)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9,799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7,487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8,473</w:t>
            </w:r>
          </w:p>
        </w:tc>
        <w:tc>
          <w:tcPr>
            <w:tcW w:w="0" w:type="dxa"/>
            <w:vAlign w:val="bottom"/>
          </w:tcPr>
          <w:p>
            <w:pPr>
              <w:spacing w:after="0"/>
              <w:rPr>
                <w:sz w:val="1"/>
                <w:szCs w:val="1"/>
                <w:color w:val="auto"/>
              </w:rPr>
            </w:pPr>
          </w:p>
        </w:tc>
      </w:tr>
      <w:tr>
        <w:trPr>
          <w:trHeight w:val="20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3,446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2"/>
              </w:rPr>
              <w:t>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2,874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2,086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24"/>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Manufactured housing</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0"/>
              </w:rPr>
              <w:t>(1,171)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9,378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6,614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7,352</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2"/>
              </w:rPr>
              <w:t>716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(863)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2"/>
              </w:rPr>
              <w:t>232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747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832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907</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(1,010)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ACL - loans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6"/>
              </w:rPr>
              <w:t>190,705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3,717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(33,163)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33,773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6"/>
              </w:rPr>
              <w:t>201,557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
              <w:spacing w:after="0"/>
              <w:rPr>
                <w:sz w:val="20"/>
                <w:szCs w:val="20"/>
                <w:color w:val="auto"/>
              </w:rPr>
            </w:pPr>
            <w:r>
              <w:rPr>
                <w:rFonts w:ascii="Arial" w:cs="Arial" w:eastAsia="Arial" w:hAnsi="Arial"/>
                <w:sz w:val="16"/>
                <w:szCs w:val="16"/>
                <w:color w:val="auto"/>
                <w:w w:val="93"/>
              </w:rPr>
              <w:t>136,925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12,711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148,502</w:t>
            </w:r>
          </w:p>
        </w:tc>
        <w:tc>
          <w:tcPr>
            <w:tcW w:w="0" w:type="dxa"/>
            <w:vAlign w:val="bottom"/>
          </w:tcPr>
          <w:p>
            <w:pPr>
              <w:spacing w:after="0"/>
              <w:rPr>
                <w:sz w:val="1"/>
                <w:szCs w:val="1"/>
                <w:color w:val="auto"/>
              </w:rPr>
            </w:pPr>
          </w:p>
        </w:tc>
      </w:tr>
      <w:tr>
        <w:trPr>
          <w:trHeight w:val="209"/>
        </w:trPr>
        <w:tc>
          <w:tcPr>
            <w:tcW w:w="2080" w:type="dxa"/>
            <w:vAlign w:val="bottom"/>
            <w:gridSpan w:val="3"/>
          </w:tcPr>
          <w:p>
            <w:pPr>
              <w:ind w:left="140"/>
              <w:spacing w:after="0"/>
              <w:rPr>
                <w:sz w:val="20"/>
                <w:szCs w:val="20"/>
                <w:color w:val="auto"/>
              </w:rPr>
            </w:pPr>
            <w:r>
              <w:rPr>
                <w:rFonts w:ascii="Arial" w:cs="Arial" w:eastAsia="Arial" w:hAnsi="Arial"/>
                <w:sz w:val="16"/>
                <w:szCs w:val="16"/>
                <w:color w:val="auto"/>
                <w:w w:val="90"/>
              </w:rPr>
              <w:t>ACL - unfunded commitments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21,572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98"/>
              </w:rPr>
              <w:t>(3,505)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18,067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
              <w:spacing w:after="0"/>
              <w:rPr>
                <w:sz w:val="20"/>
                <w:szCs w:val="20"/>
                <w:color w:val="auto"/>
              </w:rPr>
            </w:pPr>
            <w:r>
              <w:rPr>
                <w:rFonts w:ascii="Arial" w:cs="Arial" w:eastAsia="Arial" w:hAnsi="Arial"/>
                <w:sz w:val="16"/>
                <w:szCs w:val="16"/>
                <w:color w:val="auto"/>
              </w:rPr>
              <w:t>16,117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18,798</w:t>
            </w:r>
          </w:p>
        </w:tc>
        <w:tc>
          <w:tcPr>
            <w:tcW w:w="0" w:type="dxa"/>
            <w:vAlign w:val="bottom"/>
          </w:tcPr>
          <w:p>
            <w:pPr>
              <w:spacing w:after="0"/>
              <w:rPr>
                <w:sz w:val="1"/>
                <w:szCs w:val="1"/>
                <w:color w:val="auto"/>
              </w:rPr>
            </w:pPr>
          </w:p>
        </w:tc>
      </w:tr>
      <w:tr>
        <w:trPr>
          <w:trHeight w:val="241"/>
        </w:trPr>
        <w:tc>
          <w:tcPr>
            <w:tcW w:w="1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ACL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6"/>
              </w:rPr>
              <w:t>212,277</w:t>
            </w:r>
          </w:p>
        </w:tc>
        <w:tc>
          <w:tcPr>
            <w:tcW w:w="440" w:type="dxa"/>
            <w:vAlign w:val="bottom"/>
            <w:tcBorders>
              <w:top w:val="single" w:sz="8" w:color="auto"/>
              <w:bottom w:val="single" w:sz="8" w:color="auto"/>
            </w:tcBorders>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9"/>
              </w:rPr>
              <w:t>3,717</w:t>
            </w:r>
          </w:p>
        </w:tc>
        <w:tc>
          <w:tcPr>
            <w:tcW w:w="82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Arial" w:cs="Arial" w:eastAsia="Arial" w:hAnsi="Arial"/>
                <w:sz w:val="16"/>
                <w:szCs w:val="16"/>
                <w:color w:val="auto"/>
              </w:rPr>
              <w:t>$ (33,163)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30,268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w w:val="92"/>
              </w:rPr>
              <w:t>$ 219,624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5"/>
            <w:shd w:val="clear" w:color="auto" w:fill="CCEEFF"/>
          </w:tcPr>
          <w:p>
            <w:pPr>
              <w:jc w:val="right"/>
              <w:ind w:right="1"/>
              <w:spacing w:after="0"/>
              <w:rPr>
                <w:sz w:val="20"/>
                <w:szCs w:val="20"/>
                <w:color w:val="auto"/>
              </w:rPr>
            </w:pPr>
            <w:r>
              <w:rPr>
                <w:rFonts w:ascii="Arial" w:cs="Arial" w:eastAsia="Arial" w:hAnsi="Arial"/>
                <w:sz w:val="16"/>
                <w:szCs w:val="16"/>
                <w:color w:val="auto"/>
                <w:w w:val="89"/>
              </w:rPr>
              <w:t>$ 153,042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15,392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167,300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gridSpan w:val="4"/>
          </w:tcPr>
          <w:p>
            <w:pPr>
              <w:spacing w:after="0" w:line="20" w:lineRule="exact"/>
              <w:rPr>
                <w:sz w:val="1"/>
                <w:szCs w:val="1"/>
                <w:color w:val="auto"/>
              </w:rPr>
            </w:pPr>
          </w:p>
        </w:tc>
        <w:tc>
          <w:tcPr>
            <w:tcW w:w="2440" w:type="dxa"/>
            <w:vAlign w:val="bottom"/>
            <w:tcBorders>
              <w:top w:val="single" w:sz="8" w:color="CCEEFF"/>
              <w:bottom w:val="single" w:sz="8" w:color="auto"/>
            </w:tcBorders>
            <w:gridSpan w:val="1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18"/>
          </w:tcPr>
          <w:p>
            <w:pPr>
              <w:jc w:val="right"/>
              <w:ind w:right="300"/>
              <w:spacing w:after="0"/>
              <w:rPr>
                <w:sz w:val="20"/>
                <w:szCs w:val="20"/>
                <w:color w:val="auto"/>
              </w:rPr>
            </w:pPr>
            <w:r>
              <w:rPr>
                <w:rFonts w:ascii="Arial" w:cs="Arial" w:eastAsia="Arial" w:hAnsi="Arial"/>
                <w:sz w:val="16"/>
                <w:szCs w:val="16"/>
                <w:b w:val="1"/>
                <w:bCs w:val="1"/>
                <w:color w:val="auto"/>
                <w:w w:val="96"/>
              </w:rPr>
              <w:t>Nine Months Ended 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7"/>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6"/>
          </w:tcPr>
          <w:p>
            <w:pPr>
              <w:jc w:val="right"/>
              <w:ind w:right="18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7"/>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540" w:type="dxa"/>
            <w:vAlign w:val="bottom"/>
            <w:gridSpan w:val="39"/>
          </w:tcPr>
          <w:p>
            <w:pPr>
              <w:spacing w:after="0"/>
              <w:rPr>
                <w:sz w:val="20"/>
                <w:szCs w:val="20"/>
                <w:color w:val="auto"/>
              </w:rPr>
            </w:pPr>
            <w:r>
              <w:rPr>
                <w:rFonts w:ascii="Arial" w:cs="Arial" w:eastAsia="Arial" w:hAnsi="Arial"/>
                <w:sz w:val="16"/>
                <w:szCs w:val="16"/>
                <w:b w:val="1"/>
                <w:bCs w:val="1"/>
                <w:color w:val="auto"/>
              </w:rPr>
              <w:t>Initial</w:t>
            </w:r>
          </w:p>
        </w:tc>
        <w:tc>
          <w:tcPr>
            <w:tcW w:w="3700" w:type="dxa"/>
            <w:vAlign w:val="bottom"/>
            <w:gridSpan w:val="22"/>
          </w:tcPr>
          <w:p>
            <w:pPr>
              <w:jc w:val="center"/>
              <w:ind w:right="3181"/>
              <w:spacing w:after="0" w:line="152" w:lineRule="exact"/>
              <w:rPr>
                <w:sz w:val="20"/>
                <w:szCs w:val="20"/>
                <w:color w:val="auto"/>
              </w:rPr>
            </w:pPr>
            <w:r>
              <w:rPr>
                <w:rFonts w:ascii="Arial" w:cs="Arial" w:eastAsia="Arial" w:hAnsi="Arial"/>
                <w:sz w:val="16"/>
                <w:szCs w:val="16"/>
                <w:b w:val="1"/>
                <w:bCs w:val="1"/>
                <w:color w:val="auto"/>
                <w:w w:val="95"/>
              </w:rPr>
              <w:t>Initial</w:t>
            </w: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86"/>
              </w:rPr>
              <w:t>Beginning</w:t>
            </w:r>
          </w:p>
        </w:tc>
        <w:tc>
          <w:tcPr>
            <w:tcW w:w="80" w:type="dxa"/>
            <w:vAlign w:val="bottom"/>
          </w:tcPr>
          <w:p>
            <w:pPr>
              <w:spacing w:after="0"/>
              <w:rPr>
                <w:sz w:val="13"/>
                <w:szCs w:val="13"/>
                <w:color w:val="auto"/>
              </w:rPr>
            </w:pPr>
          </w:p>
        </w:tc>
        <w:tc>
          <w:tcPr>
            <w:tcW w:w="64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w w:val="98"/>
              </w:rPr>
              <w:t>ACL -</w:t>
            </w:r>
          </w:p>
        </w:tc>
        <w:tc>
          <w:tcPr>
            <w:tcW w:w="80" w:type="dxa"/>
            <w:vAlign w:val="bottom"/>
          </w:tcPr>
          <w:p>
            <w:pPr>
              <w:spacing w:after="0"/>
              <w:rPr>
                <w:sz w:val="13"/>
                <w:szCs w:val="13"/>
                <w:color w:val="auto"/>
              </w:rPr>
            </w:pPr>
          </w:p>
        </w:tc>
        <w:tc>
          <w:tcPr>
            <w:tcW w:w="6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9"/>
              </w:rPr>
              <w:t>Charge-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89"/>
              </w:rPr>
              <w:t>(Release)</w:t>
            </w:r>
          </w:p>
        </w:tc>
        <w:tc>
          <w:tcPr>
            <w:tcW w:w="80" w:type="dxa"/>
            <w:vAlign w:val="bottom"/>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Ending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86"/>
              </w:rPr>
              <w:t>Beginning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center"/>
              <w:ind w:right="60"/>
              <w:spacing w:after="0" w:line="158" w:lineRule="exact"/>
              <w:rPr>
                <w:sz w:val="20"/>
                <w:szCs w:val="20"/>
                <w:color w:val="auto"/>
              </w:rPr>
            </w:pPr>
            <w:r>
              <w:rPr>
                <w:rFonts w:ascii="Arial" w:cs="Arial" w:eastAsia="Arial" w:hAnsi="Arial"/>
                <w:sz w:val="16"/>
                <w:szCs w:val="16"/>
                <w:b w:val="1"/>
                <w:bCs w:val="1"/>
                <w:color w:val="auto"/>
                <w:w w:val="98"/>
              </w:rPr>
              <w:t>ACL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w w:val="95"/>
              </w:rPr>
              <w:t>Charge-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2"/>
              </w:rPr>
              <w:t>(Release)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w w:val="88"/>
              </w:rPr>
              <w:t>Ending</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4"/>
          </w:tcPr>
          <w:p>
            <w:pPr>
              <w:jc w:val="center"/>
              <w:spacing w:after="0" w:line="162" w:lineRule="exact"/>
              <w:rPr>
                <w:sz w:val="20"/>
                <w:szCs w:val="20"/>
                <w:color w:val="auto"/>
              </w:rPr>
            </w:pPr>
            <w:r>
              <w:rPr>
                <w:rFonts w:ascii="Arial" w:cs="Arial" w:eastAsia="Arial" w:hAnsi="Arial"/>
                <w:sz w:val="16"/>
                <w:szCs w:val="16"/>
                <w:b w:val="1"/>
                <w:bCs w:val="1"/>
                <w:color w:val="auto"/>
                <w:w w:val="94"/>
              </w:rPr>
              <w:t>PCD</w:t>
            </w:r>
          </w:p>
        </w:tc>
        <w:tc>
          <w:tcPr>
            <w:tcW w:w="8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86"/>
              </w:rPr>
              <w:t>Recoveries</w:t>
            </w:r>
          </w:p>
        </w:tc>
        <w:tc>
          <w:tcPr>
            <w:tcW w:w="8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4"/>
              </w:rPr>
              <w:t>PCD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1"/>
              </w:rPr>
              <w:t>Recoveries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6"/>
                <w:szCs w:val="16"/>
                <w:b w:val="1"/>
                <w:bCs w:val="1"/>
                <w:color w:val="auto"/>
                <w:w w:val="94"/>
              </w:rPr>
              <w:t>Balance</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gridSpan w:val="4"/>
          </w:tcPr>
          <w:p>
            <w:pPr>
              <w:jc w:val="center"/>
              <w:spacing w:after="0" w:line="216" w:lineRule="exact"/>
              <w:rPr>
                <w:sz w:val="20"/>
                <w:szCs w:val="20"/>
                <w:color w:val="auto"/>
              </w:rPr>
            </w:pPr>
            <w:r>
              <w:rPr>
                <w:rFonts w:ascii="Arial" w:cs="Arial" w:eastAsia="Arial" w:hAnsi="Arial"/>
                <w:sz w:val="16"/>
                <w:szCs w:val="16"/>
                <w:b w:val="1"/>
                <w:bCs w:val="1"/>
                <w:color w:val="auto"/>
                <w:w w:val="79"/>
              </w:rPr>
              <w:t xml:space="preserve">loans </w:t>
            </w:r>
            <w:r>
              <w:rPr>
                <w:rFonts w:ascii="Arial" w:cs="Arial" w:eastAsia="Arial" w:hAnsi="Arial"/>
                <w:sz w:val="20"/>
                <w:szCs w:val="20"/>
                <w:b w:val="1"/>
                <w:bCs w:val="1"/>
                <w:color w:val="auto"/>
                <w:w w:val="79"/>
                <w:vertAlign w:val="superscript"/>
              </w:rPr>
              <w:t>(1)</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6"/>
                <w:szCs w:val="16"/>
                <w:b w:val="1"/>
                <w:bCs w:val="1"/>
                <w:color w:val="auto"/>
              </w:rPr>
              <w:t>Offs</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7"/>
              </w:rPr>
              <w:t>Provision</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Balance</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6"/>
                <w:szCs w:val="16"/>
                <w:b w:val="1"/>
                <w:bCs w:val="1"/>
                <w:color w:val="auto"/>
              </w:rPr>
              <w:t>Balance</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gridSpan w:val="3"/>
          </w:tcPr>
          <w:p>
            <w:pPr>
              <w:jc w:val="center"/>
              <w:spacing w:after="0" w:line="216" w:lineRule="exact"/>
              <w:rPr>
                <w:sz w:val="20"/>
                <w:szCs w:val="20"/>
                <w:color w:val="auto"/>
              </w:rPr>
            </w:pPr>
            <w:r>
              <w:rPr>
                <w:rFonts w:ascii="Arial" w:cs="Arial" w:eastAsia="Arial" w:hAnsi="Arial"/>
                <w:sz w:val="16"/>
                <w:szCs w:val="16"/>
                <w:b w:val="1"/>
                <w:bCs w:val="1"/>
                <w:color w:val="auto"/>
                <w:w w:val="83"/>
              </w:rPr>
              <w:t xml:space="preserve">loans </w:t>
            </w:r>
            <w:r>
              <w:rPr>
                <w:rFonts w:ascii="Arial" w:cs="Arial" w:eastAsia="Arial" w:hAnsi="Arial"/>
                <w:sz w:val="20"/>
                <w:szCs w:val="20"/>
                <w:b w:val="1"/>
                <w:bCs w:val="1"/>
                <w:color w:val="auto"/>
                <w:w w:val="83"/>
                <w:vertAlign w:val="superscript"/>
              </w:rPr>
              <w:t>(2)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Offs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0"/>
              </w:rPr>
              <w:t>Provision</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7"/>
              </w:rPr>
              <w:t>Balance</w:t>
            </w:r>
          </w:p>
        </w:tc>
        <w:tc>
          <w:tcPr>
            <w:tcW w:w="0" w:type="dxa"/>
            <w:vAlign w:val="bottom"/>
          </w:tcPr>
          <w:p>
            <w:pPr>
              <w:spacing w:after="0"/>
              <w:rPr>
                <w:sz w:val="1"/>
                <w:szCs w:val="1"/>
                <w:color w:val="auto"/>
              </w:rPr>
            </w:pPr>
          </w:p>
        </w:tc>
      </w:tr>
      <w:tr>
        <w:trPr>
          <w:trHeight w:val="136"/>
        </w:trPr>
        <w:tc>
          <w:tcPr>
            <w:tcW w:w="194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Owner occupied</w:t>
            </w:r>
          </w:p>
        </w:tc>
        <w:tc>
          <w:tcPr>
            <w:tcW w:w="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19,834</w:t>
            </w:r>
          </w:p>
        </w:tc>
        <w:tc>
          <w:tcPr>
            <w:tcW w:w="28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760" w:type="dxa"/>
            <w:vAlign w:val="bottom"/>
            <w:gridSpan w:val="5"/>
            <w:vMerge w:val="restart"/>
            <w:shd w:val="clear" w:color="auto" w:fill="CCEEFF"/>
          </w:tcPr>
          <w:p>
            <w:pPr>
              <w:jc w:val="right"/>
              <w:spacing w:after="0"/>
              <w:rPr>
                <w:sz w:val="20"/>
                <w:szCs w:val="20"/>
                <w:color w:val="auto"/>
              </w:rPr>
            </w:pPr>
            <w:r>
              <w:rPr>
                <w:rFonts w:ascii="Arial" w:cs="Arial" w:eastAsia="Arial" w:hAnsi="Arial"/>
                <w:sz w:val="16"/>
                <w:szCs w:val="16"/>
                <w:color w:val="auto"/>
              </w:rPr>
              <w:t>$   (863)</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396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4,344</w:t>
            </w:r>
          </w:p>
        </w:tc>
        <w:tc>
          <w:tcPr>
            <w:tcW w:w="72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$ 23,984</w:t>
            </w:r>
          </w:p>
        </w:tc>
        <w:tc>
          <w:tcPr>
            <w:tcW w:w="840" w:type="dxa"/>
            <w:vAlign w:val="bottom"/>
            <w:gridSpan w:val="6"/>
            <w:vMerge w:val="restart"/>
            <w:shd w:val="clear" w:color="auto" w:fill="CCEEFF"/>
          </w:tcPr>
          <w:p>
            <w:pPr>
              <w:jc w:val="right"/>
              <w:spacing w:after="0"/>
              <w:rPr>
                <w:sz w:val="20"/>
                <w:szCs w:val="20"/>
                <w:color w:val="auto"/>
              </w:rPr>
            </w:pPr>
            <w:r>
              <w:rPr>
                <w:rFonts w:ascii="Arial" w:cs="Arial" w:eastAsia="Arial" w:hAnsi="Arial"/>
                <w:sz w:val="16"/>
                <w:szCs w:val="16"/>
                <w:color w:val="auto"/>
              </w:rPr>
              <w:t>$  14,282</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266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gridSpan w:val="3"/>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1,631</w:t>
            </w:r>
          </w:p>
        </w:tc>
        <w:tc>
          <w:tcPr>
            <w:tcW w:w="220" w:type="dxa"/>
            <w:vAlign w:val="bottom"/>
            <w:gridSpan w:val="3"/>
            <w:vMerge w:val="restart"/>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19,056</w:t>
            </w:r>
          </w:p>
        </w:tc>
        <w:tc>
          <w:tcPr>
            <w:tcW w:w="0" w:type="dxa"/>
            <w:vAlign w:val="bottom"/>
          </w:tcPr>
          <w:p>
            <w:pPr>
              <w:spacing w:after="0"/>
              <w:rPr>
                <w:sz w:val="1"/>
                <w:szCs w:val="1"/>
                <w:color w:val="auto"/>
              </w:rPr>
            </w:pPr>
          </w:p>
        </w:tc>
      </w:tr>
      <w:tr>
        <w:trPr>
          <w:trHeight w:val="208"/>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120" w:type="dxa"/>
            <w:vAlign w:val="bottom"/>
            <w:vMerge w:val="continue"/>
            <w:shd w:val="clear" w:color="auto" w:fill="CCEEFF"/>
          </w:tcPr>
          <w:p>
            <w:pPr>
              <w:spacing w:after="0"/>
              <w:rPr>
                <w:sz w:val="18"/>
                <w:szCs w:val="18"/>
                <w:color w:val="auto"/>
              </w:rPr>
            </w:pPr>
          </w:p>
        </w:tc>
        <w:tc>
          <w:tcPr>
            <w:tcW w:w="580" w:type="dxa"/>
            <w:vAlign w:val="bottom"/>
            <w:gridSpan w:val="3"/>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760" w:type="dxa"/>
            <w:vAlign w:val="bottom"/>
            <w:gridSpan w:val="5"/>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580" w:type="dxa"/>
            <w:vAlign w:val="bottom"/>
            <w:gridSpan w:val="3"/>
            <w:vMerge w:val="continue"/>
            <w:shd w:val="clear" w:color="auto" w:fill="CCEEFF"/>
          </w:tcPr>
          <w:p>
            <w:pPr>
              <w:spacing w:after="0"/>
              <w:rPr>
                <w:sz w:val="18"/>
                <w:szCs w:val="18"/>
                <w:color w:val="auto"/>
              </w:rPr>
            </w:pPr>
          </w:p>
        </w:tc>
        <w:tc>
          <w:tcPr>
            <w:tcW w:w="720" w:type="dxa"/>
            <w:vAlign w:val="bottom"/>
            <w:gridSpan w:val="4"/>
            <w:vMerge w:val="continue"/>
            <w:shd w:val="clear" w:color="auto" w:fill="CCEEFF"/>
          </w:tcPr>
          <w:p>
            <w:pPr>
              <w:spacing w:after="0"/>
              <w:rPr>
                <w:sz w:val="18"/>
                <w:szCs w:val="18"/>
                <w:color w:val="auto"/>
              </w:rPr>
            </w:pPr>
          </w:p>
        </w:tc>
        <w:tc>
          <w:tcPr>
            <w:tcW w:w="840" w:type="dxa"/>
            <w:vAlign w:val="bottom"/>
            <w:gridSpan w:val="6"/>
            <w:vMerge w:val="continue"/>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gridSpan w:val="2"/>
          </w:tcPr>
          <w:p>
            <w:pPr>
              <w:ind w:left="20"/>
              <w:spacing w:after="0" w:line="156" w:lineRule="exact"/>
              <w:rPr>
                <w:sz w:val="20"/>
                <w:szCs w:val="20"/>
                <w:color w:val="auto"/>
              </w:rPr>
            </w:pPr>
            <w:r>
              <w:rPr>
                <w:rFonts w:ascii="Arial" w:cs="Arial" w:eastAsia="Arial" w:hAnsi="Arial"/>
                <w:sz w:val="16"/>
                <w:szCs w:val="16"/>
                <w:color w:val="auto"/>
              </w:rPr>
              <w:t>Income producing</w:t>
            </w:r>
          </w:p>
        </w:tc>
        <w:tc>
          <w:tcPr>
            <w:tcW w:w="120" w:type="dxa"/>
            <w:vAlign w:val="bottom"/>
          </w:tcPr>
          <w:p>
            <w:pPr>
              <w:spacing w:after="0"/>
              <w:rPr>
                <w:sz w:val="13"/>
                <w:szCs w:val="13"/>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6"/>
                <w:szCs w:val="16"/>
                <w:color w:val="auto"/>
              </w:rPr>
              <w:t>32,082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color w:val="auto"/>
                <w:w w:val="89"/>
              </w:rPr>
              <w:t>3,399</w:t>
            </w:r>
          </w:p>
        </w:tc>
        <w:tc>
          <w:tcPr>
            <w:tcW w:w="760" w:type="dxa"/>
            <w:vAlign w:val="bottom"/>
            <w:gridSpan w:val="5"/>
            <w:vMerge w:val="restart"/>
          </w:tcPr>
          <w:p>
            <w:pPr>
              <w:jc w:val="right"/>
              <w:spacing w:after="0"/>
              <w:rPr>
                <w:sz w:val="20"/>
                <w:szCs w:val="20"/>
                <w:color w:val="auto"/>
              </w:rPr>
            </w:pPr>
            <w:r>
              <w:rPr>
                <w:rFonts w:ascii="Arial" w:cs="Arial" w:eastAsia="Arial" w:hAnsi="Arial"/>
                <w:sz w:val="16"/>
                <w:szCs w:val="16"/>
                <w:color w:val="auto"/>
              </w:rPr>
              <w:t>(7,858)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6"/>
                <w:szCs w:val="16"/>
                <w:color w:val="auto"/>
              </w:rPr>
              <w:t>1,357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vMerge w:val="restart"/>
          </w:tcPr>
          <w:p>
            <w:pPr>
              <w:jc w:val="right"/>
              <w:ind w:right="1"/>
              <w:spacing w:after="0"/>
              <w:rPr>
                <w:sz w:val="20"/>
                <w:szCs w:val="20"/>
                <w:color w:val="auto"/>
              </w:rPr>
            </w:pPr>
            <w:r>
              <w:rPr>
                <w:rFonts w:ascii="Arial" w:cs="Arial" w:eastAsia="Arial" w:hAnsi="Arial"/>
                <w:sz w:val="16"/>
                <w:szCs w:val="16"/>
                <w:color w:val="auto"/>
                <w:w w:val="98"/>
              </w:rPr>
              <w:t>16,608</w:t>
            </w:r>
          </w:p>
        </w:tc>
        <w:tc>
          <w:tcPr>
            <w:tcW w:w="720" w:type="dxa"/>
            <w:vAlign w:val="bottom"/>
            <w:gridSpan w:val="4"/>
            <w:vMerge w:val="restart"/>
          </w:tcPr>
          <w:p>
            <w:pPr>
              <w:jc w:val="right"/>
              <w:spacing w:after="0"/>
              <w:rPr>
                <w:sz w:val="20"/>
                <w:szCs w:val="20"/>
                <w:color w:val="auto"/>
              </w:rPr>
            </w:pPr>
            <w:r>
              <w:rPr>
                <w:rFonts w:ascii="Arial" w:cs="Arial" w:eastAsia="Arial" w:hAnsi="Arial"/>
                <w:sz w:val="16"/>
                <w:szCs w:val="16"/>
                <w:color w:val="auto"/>
              </w:rPr>
              <w:t>45,588</w:t>
            </w:r>
          </w:p>
        </w:tc>
        <w:tc>
          <w:tcPr>
            <w:tcW w:w="840" w:type="dxa"/>
            <w:vAlign w:val="bottom"/>
            <w:gridSpan w:val="6"/>
            <w:vMerge w:val="restart"/>
          </w:tcPr>
          <w:p>
            <w:pPr>
              <w:jc w:val="right"/>
              <w:spacing w:after="0"/>
              <w:rPr>
                <w:sz w:val="20"/>
                <w:szCs w:val="20"/>
                <w:color w:val="auto"/>
              </w:rPr>
            </w:pPr>
            <w:r>
              <w:rPr>
                <w:rFonts w:ascii="Arial" w:cs="Arial" w:eastAsia="Arial" w:hAnsi="Arial"/>
                <w:sz w:val="16"/>
                <w:szCs w:val="16"/>
                <w:color w:val="auto"/>
              </w:rPr>
              <w:t>24,156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4,366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2,858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31,610</w:t>
            </w:r>
          </w:p>
        </w:tc>
        <w:tc>
          <w:tcPr>
            <w:tcW w:w="0" w:type="dxa"/>
            <w:vAlign w:val="bottom"/>
          </w:tcPr>
          <w:p>
            <w:pPr>
              <w:spacing w:after="0"/>
              <w:rPr>
                <w:sz w:val="1"/>
                <w:szCs w:val="1"/>
                <w:color w:val="auto"/>
              </w:rPr>
            </w:pPr>
          </w:p>
        </w:tc>
      </w:tr>
      <w:tr>
        <w:trPr>
          <w:trHeight w:val="204"/>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commercial real estate</w:t>
            </w:r>
          </w:p>
        </w:tc>
        <w:tc>
          <w:tcPr>
            <w:tcW w:w="12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76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84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23,504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1,891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(24,353)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8"/>
              </w:rPr>
              <w:t>26,335</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31,217</w:t>
            </w: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16,592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(4,978)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20,918</w:t>
            </w:r>
          </w:p>
        </w:tc>
        <w:tc>
          <w:tcPr>
            <w:tcW w:w="0" w:type="dxa"/>
            <w:vAlign w:val="bottom"/>
          </w:tcPr>
          <w:p>
            <w:pPr>
              <w:spacing w:after="0"/>
              <w:rPr>
                <w:sz w:val="1"/>
                <w:szCs w:val="1"/>
                <w:color w:val="auto"/>
              </w:rPr>
            </w:pPr>
          </w:p>
        </w:tc>
      </w:tr>
      <w:tr>
        <w:trPr>
          <w:trHeight w:val="20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20,120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6"/>
                <w:szCs w:val="16"/>
                <w:color w:val="auto"/>
              </w:rPr>
              <w:t>289</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20,639</w:t>
            </w:r>
          </w:p>
        </w:tc>
        <w:tc>
          <w:tcPr>
            <w:tcW w:w="840" w:type="dxa"/>
            <w:vAlign w:val="bottom"/>
            <w:gridSpan w:val="6"/>
          </w:tcPr>
          <w:p>
            <w:pPr>
              <w:jc w:val="right"/>
              <w:spacing w:after="0"/>
              <w:rPr>
                <w:sz w:val="20"/>
                <w:szCs w:val="20"/>
                <w:color w:val="auto"/>
              </w:rPr>
            </w:pPr>
            <w:r>
              <w:rPr>
                <w:rFonts w:ascii="Arial" w:cs="Arial" w:eastAsia="Arial" w:hAnsi="Arial"/>
                <w:sz w:val="16"/>
                <w:szCs w:val="16"/>
                <w:color w:val="auto"/>
              </w:rPr>
              <w:t>9,956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2,857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548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17,954</w:t>
            </w:r>
          </w:p>
        </w:tc>
        <w:tc>
          <w:tcPr>
            <w:tcW w:w="0" w:type="dxa"/>
            <w:vAlign w:val="bottom"/>
          </w:tcPr>
          <w:p>
            <w:pPr>
              <w:spacing w:after="0"/>
              <w:rPr>
                <w:sz w:val="1"/>
                <w:szCs w:val="1"/>
                <w:color w:val="auto"/>
              </w:rPr>
            </w:pPr>
          </w:p>
        </w:tc>
      </w:tr>
      <w:tr>
        <w:trPr>
          <w:trHeight w:val="224"/>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23,395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8"/>
              </w:rPr>
              <w:t>19,204</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30,362</w:t>
            </w: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16,290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20,565</w:t>
            </w:r>
          </w:p>
        </w:tc>
        <w:tc>
          <w:tcPr>
            <w:tcW w:w="0" w:type="dxa"/>
            <w:vAlign w:val="bottom"/>
          </w:tcPr>
          <w:p>
            <w:pPr>
              <w:spacing w:after="0"/>
              <w:rPr>
                <w:sz w:val="1"/>
                <w:szCs w:val="1"/>
                <w:color w:val="auto"/>
              </w:rPr>
            </w:pPr>
          </w:p>
        </w:tc>
      </w:tr>
      <w:tr>
        <w:trPr>
          <w:trHeight w:val="20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20,809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w w:val="91"/>
              </w:rPr>
              <w:t>(61)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6"/>
                <w:szCs w:val="16"/>
                <w:color w:val="auto"/>
              </w:rPr>
              <w:t>5,659</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26,884</w:t>
            </w:r>
          </w:p>
        </w:tc>
        <w:tc>
          <w:tcPr>
            <w:tcW w:w="840" w:type="dxa"/>
            <w:vAlign w:val="bottom"/>
            <w:gridSpan w:val="6"/>
          </w:tcPr>
          <w:p>
            <w:pPr>
              <w:jc w:val="right"/>
              <w:spacing w:after="0"/>
              <w:rPr>
                <w:sz w:val="20"/>
                <w:szCs w:val="20"/>
                <w:color w:val="auto"/>
              </w:rPr>
            </w:pPr>
            <w:r>
              <w:rPr>
                <w:rFonts w:ascii="Arial" w:cs="Arial" w:eastAsia="Arial" w:hAnsi="Arial"/>
                <w:sz w:val="16"/>
                <w:szCs w:val="16"/>
                <w:color w:val="auto"/>
              </w:rPr>
              <w:t>12,390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6,346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19,335</w:t>
            </w:r>
          </w:p>
        </w:tc>
        <w:tc>
          <w:tcPr>
            <w:tcW w:w="0" w:type="dxa"/>
            <w:vAlign w:val="bottom"/>
          </w:tcPr>
          <w:p>
            <w:pPr>
              <w:spacing w:after="0"/>
              <w:rPr>
                <w:sz w:val="1"/>
                <w:szCs w:val="1"/>
                <w:color w:val="auto"/>
              </w:rPr>
            </w:pPr>
          </w:p>
        </w:tc>
      </w:tr>
      <w:tr>
        <w:trPr>
          <w:trHeight w:val="224"/>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Home equity</w:t>
            </w: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9,799</w:t>
            </w: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6,568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8,473</w:t>
            </w:r>
          </w:p>
        </w:tc>
        <w:tc>
          <w:tcPr>
            <w:tcW w:w="0" w:type="dxa"/>
            <w:vAlign w:val="bottom"/>
          </w:tcPr>
          <w:p>
            <w:pPr>
              <w:spacing w:after="0"/>
              <w:rPr>
                <w:sz w:val="1"/>
                <w:szCs w:val="1"/>
                <w:color w:val="auto"/>
              </w:rPr>
            </w:pPr>
          </w:p>
        </w:tc>
      </w:tr>
      <w:tr>
        <w:trPr>
          <w:trHeight w:val="20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2,049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124</w:t>
            </w:r>
          </w:p>
        </w:tc>
        <w:tc>
          <w:tcPr>
            <w:tcW w:w="760" w:type="dxa"/>
            <w:vAlign w:val="bottom"/>
            <w:gridSpan w:val="5"/>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162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6"/>
                <w:szCs w:val="16"/>
                <w:color w:val="auto"/>
              </w:rPr>
              <w:t>1,650</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2,874</w:t>
            </w:r>
          </w:p>
        </w:tc>
        <w:tc>
          <w:tcPr>
            <w:tcW w:w="840" w:type="dxa"/>
            <w:vAlign w:val="bottom"/>
            <w:gridSpan w:val="6"/>
          </w:tcPr>
          <w:p>
            <w:pPr>
              <w:jc w:val="right"/>
              <w:spacing w:after="0"/>
              <w:rPr>
                <w:sz w:val="20"/>
                <w:szCs w:val="20"/>
                <w:color w:val="auto"/>
              </w:rPr>
            </w:pPr>
            <w:r>
              <w:rPr>
                <w:rFonts w:ascii="Arial" w:cs="Arial" w:eastAsia="Arial" w:hAnsi="Arial"/>
                <w:sz w:val="16"/>
                <w:szCs w:val="16"/>
                <w:color w:val="auto"/>
              </w:rPr>
              <w:t>1,847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24"/>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Manufactured housing</w:t>
            </w: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3,696</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9,378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7,352</w:t>
            </w:r>
          </w:p>
        </w:tc>
        <w:tc>
          <w:tcPr>
            <w:tcW w:w="0" w:type="dxa"/>
            <w:vAlign w:val="bottom"/>
          </w:tcPr>
          <w:p>
            <w:pPr>
              <w:spacing w:after="0"/>
              <w:rPr>
                <w:sz w:val="1"/>
                <w:szCs w:val="1"/>
                <w:color w:val="auto"/>
              </w:rPr>
            </w:pPr>
          </w:p>
        </w:tc>
      </w:tr>
      <w:tr>
        <w:trPr>
          <w:trHeight w:val="210"/>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759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760" w:type="dxa"/>
            <w:vAlign w:val="bottom"/>
            <w:gridSpan w:val="5"/>
          </w:tcPr>
          <w:p>
            <w:pPr>
              <w:jc w:val="right"/>
              <w:spacing w:after="0"/>
              <w:rPr>
                <w:sz w:val="20"/>
                <w:szCs w:val="20"/>
                <w:color w:val="auto"/>
              </w:rPr>
            </w:pPr>
            <w:r>
              <w:rPr>
                <w:rFonts w:ascii="Arial" w:cs="Arial" w:eastAsia="Arial" w:hAnsi="Arial"/>
                <w:sz w:val="16"/>
                <w:szCs w:val="16"/>
                <w:color w:val="auto"/>
              </w:rPr>
              <w:t>(3,007)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709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6"/>
                <w:szCs w:val="16"/>
                <w:color w:val="auto"/>
              </w:rPr>
              <w:t>2,367</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832</w:t>
            </w:r>
          </w:p>
        </w:tc>
        <w:tc>
          <w:tcPr>
            <w:tcW w:w="840" w:type="dxa"/>
            <w:vAlign w:val="bottom"/>
            <w:gridSpan w:val="6"/>
          </w:tcPr>
          <w:p>
            <w:pPr>
              <w:jc w:val="right"/>
              <w:spacing w:after="0"/>
              <w:rPr>
                <w:sz w:val="20"/>
                <w:szCs w:val="20"/>
                <w:color w:val="auto"/>
              </w:rPr>
            </w:pPr>
            <w:r>
              <w:rPr>
                <w:rFonts w:ascii="Arial" w:cs="Arial" w:eastAsia="Arial" w:hAnsi="Arial"/>
                <w:sz w:val="16"/>
                <w:szCs w:val="16"/>
                <w:color w:val="auto"/>
              </w:rPr>
              <w:t>451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(2,544)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879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16"/>
        </w:trPr>
        <w:tc>
          <w:tcPr>
            <w:tcW w:w="19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ACL - loans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6"/>
              </w:rPr>
              <w:t>159,357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6,421</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(54,859)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12,738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8"/>
              </w:rPr>
              <w:t>77,900</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201,557</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102,532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12,737</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7"/>
              </w:rPr>
              <w:t>(13,031)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9,988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36,276</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148,502</w:t>
            </w:r>
          </w:p>
        </w:tc>
        <w:tc>
          <w:tcPr>
            <w:tcW w:w="0" w:type="dxa"/>
            <w:vAlign w:val="bottom"/>
          </w:tcPr>
          <w:p>
            <w:pPr>
              <w:spacing w:after="0"/>
              <w:rPr>
                <w:sz w:val="1"/>
                <w:szCs w:val="1"/>
                <w:color w:val="auto"/>
              </w:rPr>
            </w:pPr>
          </w:p>
        </w:tc>
      </w:tr>
      <w:tr>
        <w:trPr>
          <w:trHeight w:val="156"/>
        </w:trPr>
        <w:tc>
          <w:tcPr>
            <w:tcW w:w="1960" w:type="dxa"/>
            <w:vAlign w:val="bottom"/>
            <w:gridSpan w:val="2"/>
          </w:tcPr>
          <w:p>
            <w:pPr>
              <w:ind w:left="140"/>
              <w:spacing w:after="0" w:line="156" w:lineRule="exact"/>
              <w:rPr>
                <w:sz w:val="20"/>
                <w:szCs w:val="20"/>
                <w:color w:val="auto"/>
              </w:rPr>
            </w:pPr>
            <w:r>
              <w:rPr>
                <w:rFonts w:ascii="Arial" w:cs="Arial" w:eastAsia="Arial" w:hAnsi="Arial"/>
                <w:sz w:val="16"/>
                <w:szCs w:val="16"/>
                <w:color w:val="auto"/>
              </w:rPr>
              <w:t>ACL - unfunded</w:t>
            </w:r>
          </w:p>
        </w:tc>
        <w:tc>
          <w:tcPr>
            <w:tcW w:w="120" w:type="dxa"/>
            <w:vAlign w:val="bottom"/>
          </w:tcPr>
          <w:p>
            <w:pPr>
              <w:spacing w:after="0"/>
              <w:rPr>
                <w:sz w:val="13"/>
                <w:szCs w:val="13"/>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6"/>
                <w:szCs w:val="16"/>
                <w:color w:val="auto"/>
              </w:rPr>
              <w:t>21,163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6"/>
                <w:szCs w:val="16"/>
                <w:color w:val="auto"/>
              </w:rPr>
              <w:t>(3,096)</w:t>
            </w:r>
          </w:p>
        </w:tc>
        <w:tc>
          <w:tcPr>
            <w:tcW w:w="80" w:type="dxa"/>
            <w:vAlign w:val="bottom"/>
            <w:vMerge w:val="restart"/>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18,067</w:t>
            </w:r>
          </w:p>
        </w:tc>
        <w:tc>
          <w:tcPr>
            <w:tcW w:w="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16"/>
                <w:szCs w:val="16"/>
                <w:color w:val="auto"/>
              </w:rPr>
              <w:t>10,992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7,806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18,798</w:t>
            </w:r>
          </w:p>
        </w:tc>
        <w:tc>
          <w:tcPr>
            <w:tcW w:w="0" w:type="dxa"/>
            <w:vAlign w:val="bottom"/>
          </w:tcPr>
          <w:p>
            <w:pPr>
              <w:spacing w:after="0"/>
              <w:rPr>
                <w:sz w:val="1"/>
                <w:szCs w:val="1"/>
                <w:color w:val="auto"/>
              </w:rPr>
            </w:pPr>
          </w:p>
        </w:tc>
      </w:tr>
      <w:tr>
        <w:trPr>
          <w:trHeight w:val="204"/>
        </w:trPr>
        <w:tc>
          <w:tcPr>
            <w:tcW w:w="1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commitments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40" w:type="dxa"/>
            <w:vAlign w:val="bottom"/>
            <w:tcBorders>
              <w:bottom w:val="single" w:sz="8" w:color="auto"/>
            </w:tcBorders>
            <w:gridSpan w:val="3"/>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20" w:type="dxa"/>
            <w:vAlign w:val="bottom"/>
            <w:tcBorders>
              <w:bottom w:val="single" w:sz="8" w:color="auto"/>
            </w:tcBorders>
            <w:gridSpan w:val="4"/>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ACL</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7"/>
              </w:rPr>
              <w:t>$ 180,520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6,421</w:t>
            </w:r>
          </w:p>
        </w:tc>
        <w:tc>
          <w:tcPr>
            <w:tcW w:w="8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3"/>
              </w:rPr>
              <w:t>$(54,859)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98"/>
              </w:rPr>
              <w:t>74,804</w:t>
            </w: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$219,624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$ 113,524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12,737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7"/>
              </w:rPr>
              <w:t>(13,031)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9,988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44,082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167,300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0" w:firstLine="8"/>
        <w:spacing w:after="0" w:line="338" w:lineRule="auto"/>
        <w:tabs>
          <w:tab w:leader="none" w:pos="149"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For the three months ended September 30, 2023, represents the initial ACL related to PCD loans acquired in the First Miami transaction. For the three and nine months ended September 30, 2023, represents the initial ACL related to PCD loans acquired in the First Miami and Progress transactions.</w:t>
      </w: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the initial ACL related to PCD loans acquired in the Reliant transaction during the nine months ended September 30,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Derivatives and Hedging Activities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which are included in other assets and other liabilities on the consolidated balance sheet,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September 30, 2023</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Fair Value</w:t>
            </w: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Notional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r>
      <w:tr>
        <w:trPr>
          <w:trHeight w:val="213"/>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7"/>
              </w:rPr>
              <w:t>Asset</w:t>
            </w:r>
          </w:p>
        </w:tc>
        <w:tc>
          <w:tcPr>
            <w:tcW w:w="12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Liability</w:t>
            </w:r>
          </w:p>
        </w:tc>
      </w:tr>
      <w:tr>
        <w:trPr>
          <w:trHeight w:val="19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Cash flow hedge of subordinated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16,191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flow hedge of trust preferred securities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Fair value hedge of AFS debt securities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666,286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786,286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Customer derivative positions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1,158,829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1,097,578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86,358</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Dealer offsets to customer derivative positions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1,158,691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1,097,578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Risk participations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85,442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88,586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banking - loan commitment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Mortgage banking - forward sales commitment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77,948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Bifurcated embedded derivatives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Dealer offsets to bifurcated embedded derivatives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12,839</w:t>
            </w:r>
          </w:p>
        </w:tc>
      </w:tr>
      <w:tr>
        <w:trPr>
          <w:trHeight w:val="209"/>
        </w:trPr>
        <w:tc>
          <w:tcPr>
            <w:tcW w:w="40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2,646,644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49,065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2,457,047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99,543</w:t>
            </w:r>
          </w:p>
        </w:tc>
      </w:tr>
      <w:tr>
        <w:trPr>
          <w:trHeight w:val="199"/>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3,432,930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2,577,047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derivative instruments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99,543</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Less: Amounts subject to master netting agreements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collateral received/pledged</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(54,548)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(38,386)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(13,089)</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86,108</w:t>
            </w: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As of September 30, 2023 and December 31, 2022,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$5.75 million of gains from AOCI into earnings related to these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investments and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second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quarter of 2023, United entered into fair value hedges on stated amounts of closed portfolios of AFS debt securities using the portfolio layer method.</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the effect of derivatives in hedging relationships, all of which are interest rate contracts, on net interest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Three Months Ended September 30,</w:t>
            </w: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p>
        </w:tc>
        <w:tc>
          <w:tcPr>
            <w:tcW w:w="3160" w:type="dxa"/>
            <w:vAlign w:val="bottom"/>
            <w:gridSpan w:val="2"/>
          </w:tcPr>
          <w:p>
            <w:pPr>
              <w:ind w:left="240"/>
              <w:spacing w:after="0"/>
              <w:rPr>
                <w:sz w:val="20"/>
                <w:szCs w:val="20"/>
                <w:color w:val="auto"/>
              </w:rPr>
            </w:pPr>
            <w:r>
              <w:rPr>
                <w:rFonts w:ascii="Arial" w:cs="Arial" w:eastAsia="Arial" w:hAnsi="Arial"/>
                <w:sz w:val="16"/>
                <w:szCs w:val="16"/>
                <w:b w:val="1"/>
                <w:bCs w:val="1"/>
                <w:color w:val="auto"/>
              </w:rPr>
              <w:t>Affected Income Statement Line Item</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2780" w:type="dxa"/>
            <w:vAlign w:val="bottom"/>
          </w:tcPr>
          <w:p>
            <w:pPr>
              <w:ind w:left="20"/>
              <w:spacing w:after="0"/>
              <w:rPr>
                <w:sz w:val="20"/>
                <w:szCs w:val="20"/>
                <w:color w:val="auto"/>
              </w:rPr>
            </w:pPr>
            <w:r>
              <w:rPr>
                <w:rFonts w:ascii="Arial" w:cs="Arial" w:eastAsia="Arial" w:hAnsi="Arial"/>
                <w:sz w:val="16"/>
                <w:szCs w:val="16"/>
                <w:color w:val="auto"/>
              </w:rPr>
              <w:t>Fair value hedges:</w:t>
            </w:r>
          </w:p>
        </w:tc>
        <w:tc>
          <w:tcPr>
            <w:tcW w:w="3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Brokered time deposits:</w:t>
            </w:r>
          </w:p>
        </w:tc>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40"/>
              <w:spacing w:after="0"/>
              <w:rPr>
                <w:sz w:val="20"/>
                <w:szCs w:val="20"/>
                <w:color w:val="auto"/>
              </w:rPr>
            </w:pPr>
            <w:r>
              <w:rPr>
                <w:rFonts w:ascii="Arial" w:cs="Arial" w:eastAsia="Arial" w:hAnsi="Arial"/>
                <w:sz w:val="16"/>
                <w:szCs w:val="16"/>
                <w:color w:val="auto"/>
              </w:rPr>
              <w:t>Net income recognized</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Interest expense- deposits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center"/>
              <w:ind w:left="499"/>
              <w:spacing w:after="0"/>
              <w:rPr>
                <w:sz w:val="20"/>
                <w:szCs w:val="20"/>
                <w:color w:val="auto"/>
              </w:rPr>
            </w:pPr>
            <w:r>
              <w:rPr>
                <w:rFonts w:ascii="Arial" w:cs="Arial" w:eastAsia="Arial" w:hAnsi="Arial"/>
                <w:sz w:val="16"/>
                <w:szCs w:val="16"/>
                <w:color w:val="auto"/>
                <w:w w:val="99"/>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AFS securities:</w:t>
            </w:r>
          </w:p>
        </w:tc>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260"/>
              <w:spacing w:after="0" w:line="166" w:lineRule="exact"/>
              <w:rPr>
                <w:sz w:val="20"/>
                <w:szCs w:val="20"/>
                <w:color w:val="auto"/>
              </w:rPr>
            </w:pPr>
            <w:r>
              <w:rPr>
                <w:rFonts w:ascii="Arial" w:cs="Arial" w:eastAsia="Arial" w:hAnsi="Arial"/>
                <w:sz w:val="16"/>
                <w:szCs w:val="16"/>
                <w:color w:val="auto"/>
              </w:rPr>
              <w:t>Recognized on derivative interest</w:t>
            </w: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vMerge w:val="restart"/>
          </w:tcPr>
          <w:p>
            <w:pPr>
              <w:jc w:val="center"/>
              <w:ind w:left="499"/>
              <w:spacing w:after="0"/>
              <w:rPr>
                <w:sz w:val="20"/>
                <w:szCs w:val="20"/>
                <w:color w:val="auto"/>
              </w:rPr>
            </w:pPr>
            <w:r>
              <w:rPr>
                <w:rFonts w:ascii="Arial" w:cs="Arial" w:eastAsia="Arial" w:hAnsi="Arial"/>
                <w:sz w:val="16"/>
                <w:szCs w:val="16"/>
                <w:color w:val="auto"/>
                <w:w w:val="99"/>
              </w:rPr>
              <w: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5,321</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80" w:type="dxa"/>
            <w:vAlign w:val="bottom"/>
          </w:tcPr>
          <w:p>
            <w:pPr>
              <w:ind w:left="260"/>
              <w:spacing w:after="0"/>
              <w:rPr>
                <w:sz w:val="20"/>
                <w:szCs w:val="20"/>
                <w:color w:val="auto"/>
              </w:rPr>
            </w:pPr>
            <w:r>
              <w:rPr>
                <w:rFonts w:ascii="Arial" w:cs="Arial" w:eastAsia="Arial" w:hAnsi="Arial"/>
                <w:sz w:val="16"/>
                <w:szCs w:val="16"/>
                <w:color w:val="auto"/>
              </w:rPr>
              <w:t>settlements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on derivatives</w:t>
            </w:r>
          </w:p>
        </w:tc>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49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Recognized on hedged items</w:t>
            </w:r>
          </w:p>
        </w:tc>
        <w:tc>
          <w:tcPr>
            <w:tcW w:w="3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recognized</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revenue- investment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center"/>
              <w:ind w:left="49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780" w:type="dxa"/>
            <w:vAlign w:val="bottom"/>
          </w:tcPr>
          <w:p>
            <w:pPr>
              <w:ind w:left="140"/>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(1)</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Interest expense- long term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559"/>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2,098</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firstLine="37"/>
        <w:spacing w:after="0" w:line="264" w:lineRule="auto"/>
        <w:tabs>
          <w:tab w:leader="none" w:pos="193"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Includes premium amortization expense excluded from the assessment of hedge effectiveness of $119,000 for both the three months ended September 30, 2023 and 2022, respectively, and $348,000 and $353,000 for the nine months ended September 30, 2023 and 2022, respectively.</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table below presents the amortized cost of hedged AFS debt securities and cumulative fair value hedging basis adjustments for the periods presented </w:t>
      </w:r>
      <w:r>
        <w:rPr>
          <w:rFonts w:ascii="Arial" w:cs="Arial" w:eastAsia="Arial" w:hAnsi="Arial"/>
          <w:sz w:val="17"/>
          <w:szCs w:val="17"/>
          <w:i w:val="1"/>
          <w:iCs w:val="1"/>
          <w:color w:val="auto"/>
        </w:rPr>
        <w:t>(in thousands)</w:t>
      </w:r>
      <w:r>
        <w:rPr>
          <w:rFonts w:ascii="Arial" w:cs="Arial" w:eastAsia="Arial" w:hAnsi="Arial"/>
          <w:sz w:val="17"/>
          <w:szCs w:val="17"/>
          <w:color w:val="auto"/>
        </w:rPr>
        <w:t>. All fair value hedges of AFS debt securities at</w:t>
      </w:r>
      <w:r>
        <w:rPr>
          <w:rFonts w:ascii="Arial" w:cs="Arial" w:eastAsia="Arial" w:hAnsi="Arial"/>
          <w:sz w:val="17"/>
          <w:szCs w:val="17"/>
          <w:i w:val="1"/>
          <w:iCs w:val="1"/>
          <w:color w:val="auto"/>
        </w:rPr>
        <w:t xml:space="preserve"> </w:t>
      </w:r>
      <w:r>
        <w:rPr>
          <w:rFonts w:ascii="Arial" w:cs="Arial" w:eastAsia="Arial" w:hAnsi="Arial"/>
          <w:sz w:val="15"/>
          <w:szCs w:val="15"/>
          <w:color w:val="auto"/>
        </w:rPr>
        <w:t>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were designated under the the portfolio layer method. At</w:t>
      </w:r>
      <w:r>
        <w:rPr>
          <w:rFonts w:ascii="Arial" w:cs="Arial" w:eastAsia="Arial" w:hAnsi="Arial"/>
          <w:sz w:val="17"/>
          <w:szCs w:val="17"/>
          <w:i w:val="1"/>
          <w:iCs w:val="1"/>
          <w:color w:val="auto"/>
        </w:rPr>
        <w:t xml:space="preserve"> </w:t>
      </w:r>
      <w:r>
        <w:rPr>
          <w:rFonts w:ascii="Arial" w:cs="Arial" w:eastAsia="Arial" w:hAnsi="Arial"/>
          <w:sz w:val="15"/>
          <w:szCs w:val="15"/>
          <w:color w:val="auto"/>
        </w:rPr>
        <w:t>September 30,</w:t>
      </w:r>
      <w:r>
        <w:rPr>
          <w:rFonts w:ascii="Arial" w:cs="Arial" w:eastAsia="Arial" w:hAnsi="Arial"/>
          <w:sz w:val="17"/>
          <w:szCs w:val="17"/>
          <w:i w:val="1"/>
          <w:iCs w:val="1"/>
          <w:color w:val="auto"/>
        </w:rPr>
        <w:t xml:space="preserve"> </w:t>
      </w:r>
      <w:r>
        <w:rPr>
          <w:rFonts w:ascii="Arial" w:cs="Arial" w:eastAsia="Arial" w:hAnsi="Arial"/>
          <w:sz w:val="15"/>
          <w:szCs w:val="15"/>
          <w:color w:val="auto"/>
        </w:rPr>
        <w:t>2023</w:t>
      </w:r>
      <w:r>
        <w:rPr>
          <w:rFonts w:ascii="Arial" w:cs="Arial" w:eastAsia="Arial" w:hAnsi="Arial"/>
          <w:sz w:val="16"/>
          <w:szCs w:val="16"/>
          <w:color w:val="auto"/>
        </w:rPr>
        <w:t>, the aggregate designated hedged items using the portfolio layer method had a notional amount of $666 million.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4"/>
          </w:tcPr>
          <w:p>
            <w:pPr>
              <w:jc w:val="right"/>
              <w:ind w:right="147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158"/>
        </w:trPr>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Amortized Cost</w:t>
            </w:r>
            <w:r>
              <w:rPr>
                <w:rFonts w:ascii="Arial" w:cs="Arial" w:eastAsia="Arial" w:hAnsi="Arial"/>
                <w:sz w:val="21"/>
                <w:szCs w:val="21"/>
                <w:b w:val="1"/>
                <w:bCs w:val="1"/>
                <w:color w:val="auto"/>
                <w:vertAlign w:val="superscript"/>
              </w:rPr>
              <w:t>(1)</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 securities AFS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(23,671)</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Excludes cumulative hedge accounting basis adjustment.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and therefore provide an economic hedge.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w w:val="92"/>
              </w:rPr>
              <w:t>Amount of Gain (Loss) Recognized in Income on Derivatives</w:t>
            </w: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6"/>
                <w:szCs w:val="16"/>
                <w:color w:val="auto"/>
              </w:rPr>
            </w:pPr>
          </w:p>
        </w:tc>
        <w:tc>
          <w:tcPr>
            <w:tcW w:w="184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2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Location of Gain (Loss) Recognized in</w:t>
            </w:r>
          </w:p>
        </w:tc>
        <w:tc>
          <w:tcPr>
            <w:tcW w:w="22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8"/>
                <w:szCs w:val="18"/>
                <w:color w:val="auto"/>
              </w:rPr>
            </w:pPr>
          </w:p>
        </w:tc>
        <w:tc>
          <w:tcPr>
            <w:tcW w:w="18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800" w:type="dxa"/>
            <w:vAlign w:val="bottom"/>
            <w:gridSpan w:val="2"/>
            <w:vMerge w:val="continue"/>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line="20" w:lineRule="exact"/>
              <w:rPr>
                <w:sz w:val="1"/>
                <w:szCs w:val="1"/>
                <w:color w:val="auto"/>
              </w:rPr>
            </w:pPr>
          </w:p>
        </w:tc>
      </w:tr>
      <w:tr>
        <w:trPr>
          <w:trHeight w:val="213"/>
        </w:trPr>
        <w:tc>
          <w:tcPr>
            <w:tcW w:w="4080" w:type="dxa"/>
            <w:vAlign w:val="bottom"/>
            <w:tcBorders>
              <w:bottom w:val="single" w:sz="8" w:color="CCEEFF"/>
            </w:tcBorders>
          </w:tcPr>
          <w:p>
            <w:pPr>
              <w:spacing w:after="0"/>
              <w:rPr>
                <w:sz w:val="18"/>
                <w:szCs w:val="18"/>
                <w:color w:val="auto"/>
              </w:rPr>
            </w:pPr>
          </w:p>
        </w:tc>
        <w:tc>
          <w:tcPr>
            <w:tcW w:w="27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Income on Derivatives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noninterest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800" w:type="dxa"/>
            <w:vAlign w:val="bottom"/>
            <w:gridSpan w:val="2"/>
          </w:tcPr>
          <w:p>
            <w:pPr>
              <w:spacing w:after="0"/>
              <w:rPr>
                <w:sz w:val="20"/>
                <w:szCs w:val="20"/>
                <w:color w:val="auto"/>
              </w:rPr>
            </w:pPr>
            <w:r>
              <w:rPr>
                <w:rFonts w:ascii="Arial" w:cs="Arial" w:eastAsia="Arial" w:hAnsi="Arial"/>
                <w:sz w:val="16"/>
                <w:szCs w:val="16"/>
                <w:color w:val="auto"/>
              </w:rPr>
              <w:t>Other noninterest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banking derivatives</w:t>
            </w: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Mortgage loan revenue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8,297</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Risk participations</w:t>
            </w:r>
          </w:p>
        </w:tc>
        <w:tc>
          <w:tcPr>
            <w:tcW w:w="2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noninterest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Core deposit intangible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46,900</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(26,112)</w:t>
            </w:r>
          </w:p>
        </w:tc>
        <w:tc>
          <w:tcPr>
            <w:tcW w:w="1760" w:type="dxa"/>
            <w:vAlign w:val="bottom"/>
            <w:tcBorders>
              <w:bottom w:val="single" w:sz="8" w:color="CCEEFF"/>
            </w:tcBorders>
          </w:tcPr>
          <w:p>
            <w:pPr>
              <w:spacing w:after="0"/>
              <w:rPr>
                <w:sz w:val="18"/>
                <w:szCs w:val="18"/>
                <w:color w:val="auto"/>
              </w:rPr>
            </w:pPr>
          </w:p>
        </w:tc>
      </w:tr>
      <w:tr>
        <w:trPr>
          <w:trHeight w:val="213"/>
        </w:trPr>
        <w:tc>
          <w:tcPr>
            <w:tcW w:w="5940" w:type="dxa"/>
            <w:vAlign w:val="bottom"/>
            <w:shd w:val="clear" w:color="auto" w:fill="CCEEFF"/>
          </w:tcPr>
          <w:p>
            <w:pPr>
              <w:ind w:left="1960"/>
              <w:spacing w:after="0"/>
              <w:rPr>
                <w:sz w:val="20"/>
                <w:szCs w:val="20"/>
                <w:color w:val="auto"/>
              </w:rPr>
            </w:pPr>
            <w:r>
              <w:rPr>
                <w:rFonts w:ascii="Arial" w:cs="Arial" w:eastAsia="Arial" w:hAnsi="Arial"/>
                <w:sz w:val="16"/>
                <w:szCs w:val="16"/>
                <w:color w:val="auto"/>
              </w:rPr>
              <w:t>Net core deposit intangible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20,788</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Arial" w:cs="Arial" w:eastAsia="Arial" w:hAnsi="Arial"/>
                <w:sz w:val="16"/>
                <w:szCs w:val="16"/>
                <w:color w:val="auto"/>
              </w:rPr>
              <w:t>Customer relationship intangible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8,400</w:t>
            </w:r>
          </w:p>
        </w:tc>
        <w:tc>
          <w:tcPr>
            <w:tcW w:w="1760" w:type="dxa"/>
            <w:vAlign w:val="bottom"/>
          </w:tcPr>
          <w:p>
            <w:pPr>
              <w:spacing w:after="0"/>
              <w:rPr>
                <w:sz w:val="18"/>
                <w:szCs w:val="18"/>
                <w:color w:val="auto"/>
              </w:rPr>
            </w:pPr>
          </w:p>
        </w:tc>
      </w:tr>
      <w:tr>
        <w:trPr>
          <w:trHeight w:val="219"/>
        </w:trPr>
        <w:tc>
          <w:tcPr>
            <w:tcW w:w="594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Less: 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Borders>
              <w:bottom w:val="single" w:sz="8" w:color="CCEEFF"/>
            </w:tcBorders>
          </w:tcPr>
          <w:p>
            <w:pPr>
              <w:ind w:left="1960"/>
              <w:spacing w:after="0"/>
              <w:rPr>
                <w:sz w:val="20"/>
                <w:szCs w:val="20"/>
                <w:color w:val="auto"/>
              </w:rPr>
            </w:pPr>
            <w:r>
              <w:rPr>
                <w:rFonts w:ascii="Arial" w:cs="Arial" w:eastAsia="Arial" w:hAnsi="Arial"/>
                <w:sz w:val="16"/>
                <w:szCs w:val="16"/>
                <w:color w:val="auto"/>
              </w:rPr>
              <w:t>Net customer relationship intangible</w:t>
            </w: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7,286</w:t>
            </w:r>
          </w:p>
        </w:tc>
        <w:tc>
          <w:tcPr>
            <w:tcW w:w="1760" w:type="dxa"/>
            <w:vAlign w:val="bottom"/>
            <w:tcBorders>
              <w:bottom w:val="single" w:sz="8" w:color="CCEEFF"/>
            </w:tcBorders>
          </w:tcPr>
          <w:p>
            <w:pPr>
              <w:spacing w:after="0"/>
              <w:rPr>
                <w:sz w:val="17"/>
                <w:szCs w:val="17"/>
                <w:color w:val="auto"/>
              </w:rPr>
            </w:pPr>
          </w:p>
        </w:tc>
      </w:tr>
      <w:tr>
        <w:trPr>
          <w:trHeight w:val="212"/>
        </w:trPr>
        <w:tc>
          <w:tcPr>
            <w:tcW w:w="5940" w:type="dxa"/>
            <w:vAlign w:val="bottom"/>
            <w:shd w:val="clear" w:color="auto" w:fill="CCEEFF"/>
          </w:tcPr>
          <w:p>
            <w:pPr>
              <w:ind w:left="1760"/>
              <w:spacing w:after="0" w:line="213" w:lineRule="exact"/>
              <w:rPr>
                <w:sz w:val="20"/>
                <w:szCs w:val="20"/>
                <w:color w:val="auto"/>
              </w:rPr>
            </w:pPr>
            <w:r>
              <w:rPr>
                <w:rFonts w:ascii="Arial" w:cs="Arial" w:eastAsia="Arial" w:hAnsi="Arial"/>
                <w:sz w:val="16"/>
                <w:szCs w:val="16"/>
                <w:color w:val="auto"/>
              </w:rPr>
              <w:t xml:space="preserve">Total intangibles subject to amortization, net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28,074</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751,174</w:t>
            </w:r>
          </w:p>
        </w:tc>
        <w:tc>
          <w:tcPr>
            <w:tcW w:w="1760" w:type="dxa"/>
            <w:vAlign w:val="bottom"/>
            <w:tcBorders>
              <w:bottom w:val="single" w:sz="8" w:color="CCEEFF"/>
            </w:tcBorders>
          </w:tcPr>
          <w:p>
            <w:pPr>
              <w:spacing w:after="0"/>
              <w:rPr>
                <w:sz w:val="18"/>
                <w:szCs w:val="18"/>
                <w:color w:val="auto"/>
              </w:rPr>
            </w:pPr>
          </w:p>
        </w:tc>
      </w:tr>
      <w:tr>
        <w:trPr>
          <w:trHeight w:val="238"/>
        </w:trPr>
        <w:tc>
          <w:tcPr>
            <w:tcW w:w="59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Total goodwill and 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994,142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779,248</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As intangible assets become fully amortized, they are excluded from balances presented.</w:t>
      </w:r>
    </w:p>
    <w:p>
      <w:pPr>
        <w:jc w:val="both"/>
        <w:spacing w:after="0" w:line="253" w:lineRule="auto"/>
        <w:rPr>
          <w:sz w:val="20"/>
          <w:szCs w:val="20"/>
          <w:color w:val="auto"/>
        </w:rPr>
      </w:pPr>
      <w:r>
        <w:rPr>
          <w:rFonts w:ascii="Arial" w:cs="Arial" w:eastAsia="Arial" w:hAnsi="Arial"/>
          <w:sz w:val="18"/>
          <w:szCs w:val="18"/>
          <w:color w:val="auto"/>
        </w:rPr>
        <w:t>During the first quarter of 2023, as a result of the Progress acquisition, United recorded a core deposit intangible of $40.0 million. During the third quarter of 2023, as a result of the First Miami acquisition, United recorded a core deposit intangible of $18.0 million. See Note 4 for further details. Also during the third quarter of 2023, United reduced its core deposit intangible related to the Reliant acquisition by $656,000 as a result of the sale of core deposits in connection with a whole branch disposal.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4"/>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59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beginning of period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896,718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751,174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452,007</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23,196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168,740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299,167</w:t>
            </w:r>
          </w:p>
        </w:tc>
      </w:tr>
      <w:tr>
        <w:trPr>
          <w:trHeight w:val="238"/>
        </w:trPr>
        <w:tc>
          <w:tcPr>
            <w:tcW w:w="590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end of period </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751,174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751,174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Goodwill balances are shown net of accumulated impairment losses of $306 million incurred prior to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estimated aggregate amortization expense for future periods for finite-lived intangibles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3500"/>
              <w:spacing w:after="0"/>
              <w:rPr>
                <w:sz w:val="20"/>
                <w:szCs w:val="20"/>
                <w:color w:val="auto"/>
              </w:rPr>
            </w:pPr>
            <w:r>
              <w:rPr>
                <w:rFonts w:ascii="Arial" w:cs="Arial" w:eastAsia="Arial" w:hAnsi="Arial"/>
                <w:sz w:val="16"/>
                <w:szCs w:val="16"/>
                <w:color w:val="auto"/>
              </w:rPr>
              <w:t>Remainder of 2023</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w:t>
            </w:r>
          </w:p>
        </w:tc>
        <w:tc>
          <w:tcPr>
            <w:tcW w:w="3500" w:type="dxa"/>
            <w:vAlign w:val="bottom"/>
            <w:shd w:val="clear" w:color="auto" w:fill="CCEEFF"/>
          </w:tcPr>
          <w:p>
            <w:pPr>
              <w:spacing w:after="0"/>
              <w:rPr>
                <w:sz w:val="18"/>
                <w:szCs w:val="18"/>
                <w:color w:val="auto"/>
              </w:rPr>
            </w:pPr>
          </w:p>
        </w:tc>
      </w:tr>
      <w:tr>
        <w:trPr>
          <w:trHeight w:val="213"/>
        </w:trPr>
        <w:tc>
          <w:tcPr>
            <w:tcW w:w="6060" w:type="dxa"/>
            <w:vAlign w:val="bottom"/>
          </w:tcPr>
          <w:p>
            <w:pPr>
              <w:ind w:left="3500"/>
              <w:spacing w:after="0"/>
              <w:rPr>
                <w:sz w:val="20"/>
                <w:szCs w:val="20"/>
                <w:color w:val="auto"/>
              </w:rPr>
            </w:pPr>
            <w:r>
              <w:rPr>
                <w:rFonts w:ascii="Arial" w:cs="Arial" w:eastAsia="Arial" w:hAnsi="Arial"/>
                <w:sz w:val="16"/>
                <w:szCs w:val="16"/>
                <w:color w:val="auto"/>
              </w:rPr>
              <w:t>2024</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14,872</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Arial" w:cs="Arial" w:eastAsia="Arial" w:hAnsi="Arial"/>
                <w:sz w:val="16"/>
                <w:szCs w:val="16"/>
                <w:color w:val="auto"/>
              </w:rPr>
              <w:t>2025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Pr>
          <w:p>
            <w:pPr>
              <w:ind w:left="3500"/>
              <w:spacing w:after="0"/>
              <w:rPr>
                <w:sz w:val="20"/>
                <w:szCs w:val="20"/>
                <w:color w:val="auto"/>
              </w:rPr>
            </w:pPr>
            <w:r>
              <w:rPr>
                <w:rFonts w:ascii="Arial" w:cs="Arial" w:eastAsia="Arial" w:hAnsi="Arial"/>
                <w:sz w:val="16"/>
                <w:szCs w:val="16"/>
                <w:color w:val="auto"/>
              </w:rPr>
              <w:t>2026</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10,896</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Arial" w:cs="Arial" w:eastAsia="Arial" w:hAnsi="Arial"/>
                <w:sz w:val="16"/>
                <w:szCs w:val="16"/>
                <w:color w:val="auto"/>
              </w:rPr>
              <w:t>2027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9,018</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Borders>
              <w:bottom w:val="single" w:sz="8" w:color="CCEEFF"/>
            </w:tcBorders>
          </w:tcPr>
          <w:p>
            <w:pPr>
              <w:ind w:left="3500"/>
              <w:spacing w:after="0"/>
              <w:rPr>
                <w:sz w:val="20"/>
                <w:szCs w:val="20"/>
                <w:color w:val="auto"/>
              </w:rPr>
            </w:pPr>
            <w:r>
              <w:rPr>
                <w:rFonts w:ascii="Arial" w:cs="Arial" w:eastAsia="Arial" w:hAnsi="Arial"/>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22,638</w:t>
            </w:r>
          </w:p>
        </w:tc>
        <w:tc>
          <w:tcPr>
            <w:tcW w:w="3500" w:type="dxa"/>
            <w:vAlign w:val="bottom"/>
            <w:tcBorders>
              <w:bottom w:val="single" w:sz="8" w:color="CCEEFF"/>
            </w:tcBorders>
          </w:tcPr>
          <w:p>
            <w:pPr>
              <w:spacing w:after="0"/>
              <w:rPr>
                <w:sz w:val="18"/>
                <w:szCs w:val="18"/>
                <w:color w:val="auto"/>
              </w:rPr>
            </w:pPr>
          </w:p>
        </w:tc>
      </w:tr>
      <w:tr>
        <w:trPr>
          <w:trHeight w:val="238"/>
        </w:trPr>
        <w:tc>
          <w:tcPr>
            <w:tcW w:w="6060" w:type="dxa"/>
            <w:vAlign w:val="bottom"/>
            <w:tcBorders>
              <w:bottom w:val="single" w:sz="8" w:color="CCEEFF"/>
            </w:tcBorders>
            <w:shd w:val="clear" w:color="auto" w:fill="CCEEFF"/>
          </w:tcPr>
          <w:p>
            <w:pPr>
              <w:ind w:left="350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74,228</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Preferred Stock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2023, United’s Board of Directors approved a preferred stock repurchase program, authorizing United to repurchase up to $25.0 million of its outstanding Series I Non-Cumulative Preferred Stock directly or through the repurchase of depositary shares representing 1/1000th of a share of Series I Non-Cumulative Preferred Stock. The program is scheduled to expire on the earlier of the repurchase of preferred stock having an aggregate purchase price of $25.0 million or December 31, 2023. During the three and nine months ended September 30, 2023, 244,012 and 254,680 depositary shares were repurchased, respectively. As of September 30, 2023, United had remaining authorization to repurchase up to $19.7 million of outstanding preferred stock under the program.</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Assets and Liabilities Measured at Fair Value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those assumptions, United uses a fair value hierarchy that distinguishes between assumptions based on market data obtained from sources independent of the reporting entity (observable inputs that are classified within Levels 1 and 2 of the hierarchy) and the reporting entity’s own assumptions (unobservable inputs classified within Level 3 of the hierarchy). United has processes in place to review the significant valuation inputs and to reassess how the instruments are classified in the valuation framework.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other assets in the consolidated balance sheet are assets purchased to provide returns to participants in the employee deferred compensation plan. These assets are mutual funds classified as Level 1. Deferred compensation liabilities, also classified as Level 1, are carried at the fair value of the obligation to the participant, which mirrors the fair value of the invested assets and is included in other liabilities in the consolidated balance sheet. Deferred compensation plan liabilities are unsecured general obligations of United.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 As of December 31, 2022, United had certain mortgage loans held for sale that were acquired from Reliant for which the fair value option was not elected; these loans were carried at the lower of aggregate cost or fair value. These loans were subsequently sold in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when management’s assessment indicates that the CVA is a significant input, the related derivative is disclosed as a Level 3 value.</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6"/>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283,830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283,830</w:t>
            </w:r>
          </w:p>
        </w:tc>
      </w:tr>
      <w:tr>
        <w:trPr>
          <w:trHeight w:val="182"/>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224,695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224,695</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156,245</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156,245</w:t>
            </w:r>
          </w:p>
        </w:tc>
      </w:tr>
      <w:tr>
        <w:trPr>
          <w:trHeight w:val="182"/>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1,546,422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1,546,422</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602,060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602,060</w:t>
            </w:r>
          </w:p>
        </w:tc>
      </w:tr>
      <w:tr>
        <w:trPr>
          <w:trHeight w:val="182"/>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192,626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194,805</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174,055</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174,055</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determinable fair values</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9,976</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37,110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37,110</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12,436</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5,431</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38,234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38,234</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52,618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13,079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65,697</w:t>
            </w:r>
          </w:p>
        </w:tc>
      </w:tr>
      <w:tr>
        <w:trPr>
          <w:trHeight w:val="19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304,666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2,987,407</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58,923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3,350,996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4"/>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12,476</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103,717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13,638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117,355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103,717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13,638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129,831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5"/>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2"/>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149,352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149,352</w:t>
            </w:r>
          </w:p>
        </w:tc>
      </w:tr>
      <w:tr>
        <w:trPr>
          <w:trHeight w:val="182"/>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250,116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250,116</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303,748</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303,748</w:t>
            </w:r>
          </w:p>
        </w:tc>
      </w:tr>
      <w:tr>
        <w:trPr>
          <w:trHeight w:val="182"/>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1,795,481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1,795,481</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671,912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671,912</w:t>
            </w:r>
          </w:p>
        </w:tc>
      </w:tr>
      <w:tr>
        <w:trPr>
          <w:trHeight w:val="182"/>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210,240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212,452</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231,272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231,272</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determinable fair values</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12,278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13,637</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11,794</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11,794</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11,436</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5,188</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36,559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36,559</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39,123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11,513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50,636</w:t>
            </w:r>
          </w:p>
        </w:tc>
      </w:tr>
      <w:tr>
        <w:trPr>
          <w:trHeight w:val="19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173,066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3,515,045</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55,472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3,743,583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4"/>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11,460</w:t>
            </w:r>
          </w:p>
        </w:tc>
      </w:tr>
      <w:tr>
        <w:trPr>
          <w:trHeight w:val="182"/>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86,703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12,840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99,543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86,703</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12,840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111,003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2023</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2022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Derivative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1"/>
              </w:rPr>
              <w:t>SBA/USDA</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Residential</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Derivative</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1"/>
              </w:rPr>
              <w:t>SBA/USDA</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Residential</w:t>
            </w: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Corporate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loan servicing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mortgage</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loan servicing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mortgage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rights</w:t>
            </w: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servicing rights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Bonds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4"/>
              </w:rPr>
              <w:t>Assets</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rights</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servicing rights</w:t>
            </w:r>
          </w:p>
        </w:tc>
        <w:tc>
          <w:tcPr>
            <w:tcW w:w="1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b w:val="1"/>
                <w:bCs w:val="1"/>
                <w:color w:val="auto"/>
              </w:rPr>
              <w:t>Bonds</w:t>
            </w:r>
          </w:p>
        </w:tc>
        <w:tc>
          <w:tcPr>
            <w:tcW w:w="0" w:type="dxa"/>
            <w:vAlign w:val="bottom"/>
          </w:tcPr>
          <w:p>
            <w:pPr>
              <w:spacing w:after="0"/>
              <w:rPr>
                <w:sz w:val="1"/>
                <w:szCs w:val="1"/>
                <w:color w:val="auto"/>
              </w:rPr>
            </w:pPr>
          </w:p>
        </w:tc>
      </w:tr>
      <w:tr>
        <w:trPr>
          <w:trHeight w:val="25"/>
        </w:trPr>
        <w:tc>
          <w:tcPr>
            <w:tcW w:w="148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4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2,287</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settlements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Arial" w:cs="Arial" w:eastAsia="Arial" w:hAnsi="Arial"/>
                <w:sz w:val="13"/>
                <w:szCs w:val="13"/>
                <w:color w:val="auto"/>
              </w:rPr>
              <w:t>Fair value adjustments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80" w:type="dxa"/>
            <w:vAlign w:val="bottom"/>
          </w:tcPr>
          <w:p>
            <w:pPr>
              <w:ind w:left="140"/>
              <w:spacing w:after="0"/>
              <w:rPr>
                <w:sz w:val="20"/>
                <w:szCs w:val="20"/>
                <w:color w:val="auto"/>
              </w:rPr>
            </w:pPr>
            <w:r>
              <w:rPr>
                <w:rFonts w:ascii="Arial" w:cs="Arial" w:eastAsia="Arial" w:hAnsi="Arial"/>
                <w:sz w:val="13"/>
                <w:szCs w:val="13"/>
                <w:color w:val="auto"/>
              </w:rPr>
              <w:t>included in OCI</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29"/>
        </w:trPr>
        <w:tc>
          <w:tcPr>
            <w:tcW w:w="14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included in earnings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13,638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5,431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38,234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13,661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6,078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37,154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2,226</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460" w:type="dxa"/>
            <w:vAlign w:val="bottom"/>
            <w:gridSpan w:val="4"/>
          </w:tcPr>
          <w:p>
            <w:pPr>
              <w:ind w:left="20"/>
              <w:spacing w:after="0"/>
              <w:rPr>
                <w:sz w:val="20"/>
                <w:szCs w:val="20"/>
                <w:color w:val="auto"/>
              </w:rPr>
            </w:pPr>
            <w:r>
              <w:rPr>
                <w:rFonts w:ascii="Arial" w:cs="Arial" w:eastAsia="Arial" w:hAnsi="Arial"/>
                <w:sz w:val="13"/>
                <w:szCs w:val="13"/>
                <w:b w:val="1"/>
                <w:bCs w:val="1"/>
                <w:color w:val="auto"/>
              </w:rPr>
              <w:t>Nine Months Ended September 30,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rPr>
                <w:sz w:val="20"/>
                <w:szCs w:val="20"/>
                <w:color w:val="auto"/>
              </w:rPr>
            </w:pPr>
            <w:r>
              <w:rPr>
                <w:rFonts w:ascii="Arial" w:cs="Arial" w:eastAsia="Arial" w:hAnsi="Arial"/>
                <w:sz w:val="13"/>
                <w:szCs w:val="13"/>
                <w:color w:val="auto"/>
                <w:w w:val="99"/>
              </w:rPr>
              <w:t>Business combinations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480" w:type="dxa"/>
            <w:vAlign w:val="bottom"/>
          </w:tcPr>
          <w:p>
            <w:pPr>
              <w:ind w:left="140"/>
              <w:spacing w:after="0"/>
              <w:rPr>
                <w:sz w:val="20"/>
                <w:szCs w:val="20"/>
                <w:color w:val="auto"/>
              </w:rPr>
            </w:pPr>
            <w:r>
              <w:rPr>
                <w:rFonts w:ascii="Arial" w:cs="Arial" w:eastAsia="Arial" w:hAnsi="Arial"/>
                <w:sz w:val="13"/>
                <w:szCs w:val="13"/>
                <w:color w:val="auto"/>
              </w:rPr>
              <w:t>Transfers from Level 3</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settlements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Arial" w:cs="Arial" w:eastAsia="Arial" w:hAnsi="Arial"/>
                <w:sz w:val="13"/>
                <w:szCs w:val="13"/>
                <w:color w:val="auto"/>
              </w:rPr>
              <w:t>Fair value adjustments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80" w:type="dxa"/>
            <w:vAlign w:val="bottom"/>
          </w:tcPr>
          <w:p>
            <w:pPr>
              <w:ind w:left="140"/>
              <w:spacing w:after="0"/>
              <w:rPr>
                <w:sz w:val="20"/>
                <w:szCs w:val="20"/>
                <w:color w:val="auto"/>
              </w:rPr>
            </w:pPr>
            <w:r>
              <w:rPr>
                <w:rFonts w:ascii="Arial" w:cs="Arial" w:eastAsia="Arial" w:hAnsi="Arial"/>
                <w:sz w:val="13"/>
                <w:szCs w:val="13"/>
                <w:color w:val="auto"/>
              </w:rPr>
              <w:t>included in OCI</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29"/>
        </w:trPr>
        <w:tc>
          <w:tcPr>
            <w:tcW w:w="14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included in earnings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13,638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5,431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38,234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13,661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6,078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37,154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2,226</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significant Level 3 inputs for fair value on a recurring basis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Valuation</w:t>
            </w: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Significant Unobservable</w:t>
            </w:r>
          </w:p>
        </w:tc>
        <w:tc>
          <w:tcPr>
            <w:tcW w:w="274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rPr>
              <w:t>September 30, 2023</w:t>
            </w:r>
          </w:p>
        </w:tc>
        <w:tc>
          <w:tcPr>
            <w:tcW w:w="2640" w:type="dxa"/>
            <w:vAlign w:val="bottom"/>
            <w:gridSpan w:val="3"/>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3"/>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Technique</w:t>
            </w:r>
          </w:p>
        </w:tc>
        <w:tc>
          <w:tcPr>
            <w:tcW w:w="2120" w:type="dxa"/>
            <w:vAlign w:val="bottom"/>
            <w:gridSpan w:val="2"/>
          </w:tcPr>
          <w:p>
            <w:pPr>
              <w:ind w:left="780"/>
              <w:spacing w:after="0"/>
              <w:rPr>
                <w:sz w:val="20"/>
                <w:szCs w:val="20"/>
                <w:color w:val="auto"/>
              </w:rPr>
            </w:pPr>
            <w:r>
              <w:rPr>
                <w:rFonts w:ascii="Arial" w:cs="Arial" w:eastAsia="Arial" w:hAnsi="Arial"/>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48"/>
        </w:trPr>
        <w:tc>
          <w:tcPr>
            <w:tcW w:w="24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6"/>
                <w:szCs w:val="16"/>
                <w:color w:val="auto"/>
              </w:rPr>
              <w:t>Discounted cash</w:t>
            </w:r>
          </w:p>
        </w:tc>
        <w:tc>
          <w:tcPr>
            <w:tcW w:w="21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9.6% - 25.0%</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11.9% - 25.0%</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125"/>
        </w:trPr>
        <w:tc>
          <w:tcPr>
            <w:tcW w:w="2420" w:type="dxa"/>
            <w:vAlign w:val="bottom"/>
            <w:gridSpan w:val="2"/>
            <w:vMerge w:val="continue"/>
            <w:shd w:val="clear" w:color="auto" w:fill="CCEEFF"/>
          </w:tcPr>
          <w:p>
            <w:pPr>
              <w:spacing w:after="0"/>
              <w:rPr>
                <w:sz w:val="10"/>
                <w:szCs w:val="10"/>
                <w:color w:val="auto"/>
              </w:rPr>
            </w:pPr>
          </w:p>
        </w:tc>
        <w:tc>
          <w:tcPr>
            <w:tcW w:w="13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flow</w:t>
            </w:r>
          </w:p>
        </w:tc>
        <w:tc>
          <w:tcPr>
            <w:tcW w:w="2120" w:type="dxa"/>
            <w:vAlign w:val="bottom"/>
            <w:gridSpan w:val="2"/>
            <w:vMerge w:val="continue"/>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4.2 - 36.7</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0.0 - 35.4</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mortgage servicing</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10.0 - 12.5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9.5 - 11.5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25"/>
        </w:trPr>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rights</w:t>
            </w:r>
          </w:p>
        </w:tc>
        <w:tc>
          <w:tcPr>
            <w:tcW w:w="13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flow</w:t>
            </w:r>
          </w:p>
        </w:tc>
        <w:tc>
          <w:tcPr>
            <w:tcW w:w="2120" w:type="dxa"/>
            <w:vAlign w:val="bottom"/>
            <w:gridSpan w:val="2"/>
            <w:vMerge w:val="continue"/>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6.5 - 28.2</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7.0 - 31.2</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9"/>
        </w:trPr>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6.8 - 7.3</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6.1 - 6.4</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25"/>
        </w:trPr>
        <w:tc>
          <w:tcPr>
            <w:tcW w:w="2420" w:type="dxa"/>
            <w:vAlign w:val="bottom"/>
            <w:gridSpan w:val="2"/>
            <w:vMerge w:val="continue"/>
            <w:shd w:val="clear" w:color="auto" w:fill="CCEEFF"/>
          </w:tcPr>
          <w:p>
            <w:pPr>
              <w:spacing w:after="0"/>
              <w:rPr>
                <w:sz w:val="10"/>
                <w:szCs w:val="10"/>
                <w:color w:val="auto"/>
              </w:rPr>
            </w:pPr>
          </w:p>
        </w:tc>
        <w:tc>
          <w:tcPr>
            <w:tcW w:w="13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flow</w:t>
            </w:r>
          </w:p>
        </w:tc>
        <w:tc>
          <w:tcPr>
            <w:tcW w:w="2120" w:type="dxa"/>
            <w:vAlign w:val="bottom"/>
            <w:gridSpan w:val="2"/>
            <w:vMerge w:val="continue"/>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Derivative assets - mortgage</w:t>
            </w:r>
          </w:p>
        </w:tc>
        <w:tc>
          <w:tcPr>
            <w:tcW w:w="1320" w:type="dxa"/>
            <w:vAlign w:val="bottom"/>
            <w:gridSpan w:val="2"/>
          </w:tcPr>
          <w:p>
            <w:pPr>
              <w:spacing w:after="0"/>
              <w:rPr>
                <w:sz w:val="20"/>
                <w:szCs w:val="20"/>
                <w:color w:val="auto"/>
              </w:rPr>
            </w:pPr>
            <w:r>
              <w:rPr>
                <w:rFonts w:ascii="Arial" w:cs="Arial" w:eastAsia="Arial" w:hAnsi="Arial"/>
                <w:sz w:val="16"/>
                <w:szCs w:val="16"/>
                <w:color w:val="auto"/>
              </w:rPr>
              <w:t>Internal model</w:t>
            </w: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Pull through rate</w:t>
            </w:r>
          </w:p>
        </w:tc>
        <w:tc>
          <w:tcPr>
            <w:tcW w:w="1400" w:type="dxa"/>
            <w:vAlign w:val="bottom"/>
          </w:tcPr>
          <w:p>
            <w:pPr>
              <w:jc w:val="right"/>
              <w:spacing w:after="0"/>
              <w:rPr>
                <w:sz w:val="20"/>
                <w:szCs w:val="20"/>
                <w:color w:val="auto"/>
              </w:rPr>
            </w:pPr>
            <w:r>
              <w:rPr>
                <w:rFonts w:ascii="Arial" w:cs="Arial" w:eastAsia="Arial" w:hAnsi="Arial"/>
                <w:sz w:val="16"/>
                <w:szCs w:val="16"/>
                <w:color w:val="auto"/>
              </w:rPr>
              <w:t>60.0 - 100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26.5 - 100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Derivative assets and liabilities -</w:t>
            </w:r>
          </w:p>
        </w:tc>
        <w:tc>
          <w:tcPr>
            <w:tcW w:w="13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Dealer priced</w:t>
            </w:r>
          </w:p>
        </w:tc>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Dealer priced</w:t>
            </w:r>
          </w:p>
        </w:tc>
        <w:tc>
          <w:tcPr>
            <w:tcW w:w="150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124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N/A</w:t>
            </w:r>
          </w:p>
        </w:tc>
        <w:tc>
          <w:tcPr>
            <w:tcW w:w="152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5"/>
        </w:trPr>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20" w:type="dxa"/>
            <w:vAlign w:val="bottom"/>
            <w:gridSpan w:val="2"/>
            <w:vMerge w:val="continue"/>
            <w:shd w:val="clear" w:color="auto" w:fill="CCEEFF"/>
          </w:tcPr>
          <w:p>
            <w:pPr>
              <w:spacing w:after="0"/>
              <w:rPr>
                <w:sz w:val="10"/>
                <w:szCs w:val="10"/>
                <w:color w:val="auto"/>
              </w:rPr>
            </w:pPr>
          </w:p>
        </w:tc>
        <w:tc>
          <w:tcPr>
            <w:tcW w:w="2120" w:type="dxa"/>
            <w:vAlign w:val="bottom"/>
            <w:gridSpan w:val="2"/>
            <w:vMerge w:val="continue"/>
            <w:shd w:val="clear" w:color="auto" w:fill="CCEEFF"/>
          </w:tcPr>
          <w:p>
            <w:pPr>
              <w:spacing w:after="0"/>
              <w:rPr>
                <w:sz w:val="10"/>
                <w:szCs w:val="10"/>
                <w:color w:val="auto"/>
              </w:rPr>
            </w:pPr>
          </w:p>
        </w:tc>
        <w:tc>
          <w:tcPr>
            <w:tcW w:w="1500" w:type="dxa"/>
            <w:vAlign w:val="bottom"/>
            <w:gridSpan w:val="2"/>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United generally records mortgage loans held for sale at fair value under the fair value option. Interest income on these loans is calculated based on the note rate of the loan and is recorded in interest revenue. In connection with the Reliant acquisition, United acquired mortgage loans held for sale accounted for under the lower of cost or fair value method. These loans are separately disclosed under the heading “Assets and Liabilities Measured at Fair Value on a Nonrecurring Basis” within this footnote. The following tables present the fair value and outstanding principal balance of loans accounted for under the fair value option, as well as the gain or loss recognized from the change in fair value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Mortgage Loans Held for Sale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September 30, 2023</w:t>
            </w: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December 31, 2022</w:t>
            </w:r>
          </w:p>
        </w:tc>
        <w:tc>
          <w:tcPr>
            <w:tcW w:w="1720" w:type="dxa"/>
            <w:vAlign w:val="bottom"/>
          </w:tcPr>
          <w:p>
            <w:pPr>
              <w:spacing w:after="0"/>
              <w:rPr>
                <w:sz w:val="18"/>
                <w:szCs w:val="18"/>
                <w:color w:val="auto"/>
              </w:rPr>
            </w:pPr>
          </w:p>
        </w:tc>
      </w:tr>
      <w:tr>
        <w:trPr>
          <w:trHeight w:val="212"/>
        </w:trPr>
        <w:tc>
          <w:tcPr>
            <w:tcW w:w="17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principal balance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36,317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11,473</w:t>
            </w:r>
          </w:p>
        </w:tc>
        <w:tc>
          <w:tcPr>
            <w:tcW w:w="1720" w:type="dxa"/>
            <w:vAlign w:val="bottom"/>
            <w:tcBorders>
              <w:top w:val="single" w:sz="8" w:color="CCEEFF"/>
            </w:tcBorders>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Fair value</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37,110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11,794</w:t>
            </w:r>
          </w:p>
        </w:tc>
        <w:tc>
          <w:tcPr>
            <w:tcW w:w="1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Gain (Loss) from Change in Fair Value on Mortgage Loans Held for Sale</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660" w:type="dxa"/>
            <w:vAlign w:val="bottom"/>
            <w:tcBorders>
              <w:top w:val="single" w:sz="8" w:color="auto"/>
            </w:tcBorders>
            <w:vMerge w:val="restart"/>
          </w:tcPr>
          <w:p>
            <w:pPr>
              <w:ind w:left="2520"/>
              <w:spacing w:after="0"/>
              <w:rPr>
                <w:sz w:val="20"/>
                <w:szCs w:val="20"/>
                <w:color w:val="auto"/>
              </w:rPr>
            </w:pPr>
            <w:r>
              <w:rPr>
                <w:rFonts w:ascii="Arial" w:cs="Arial" w:eastAsia="Arial" w:hAnsi="Arial"/>
                <w:sz w:val="16"/>
                <w:szCs w:val="16"/>
                <w:b w:val="1"/>
                <w:bCs w:val="1"/>
                <w:color w:val="auto"/>
              </w:rPr>
              <w:t>Location</w:t>
            </w:r>
          </w:p>
        </w:tc>
        <w:tc>
          <w:tcPr>
            <w:tcW w:w="2000" w:type="dxa"/>
            <w:vAlign w:val="bottom"/>
            <w:tcBorders>
              <w:top w:val="single" w:sz="8" w:color="auto"/>
            </w:tcBorders>
            <w:gridSpan w:val="4"/>
          </w:tcPr>
          <w:p>
            <w:pPr>
              <w:jc w:val="center"/>
              <w:ind w:left="319"/>
              <w:spacing w:after="0" w:line="161" w:lineRule="exact"/>
              <w:rPr>
                <w:sz w:val="20"/>
                <w:szCs w:val="20"/>
                <w:color w:val="auto"/>
              </w:rPr>
            </w:pPr>
            <w:r>
              <w:rPr>
                <w:rFonts w:ascii="Arial" w:cs="Arial" w:eastAsia="Arial" w:hAnsi="Arial"/>
                <w:sz w:val="16"/>
                <w:szCs w:val="16"/>
                <w:b w:val="1"/>
                <w:bCs w:val="1"/>
                <w:color w:val="auto"/>
                <w:w w:val="93"/>
              </w:rPr>
              <w:t>Three Months Ended</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4"/>
          </w:tcPr>
          <w:p>
            <w:pPr>
              <w:jc w:val="center"/>
              <w:ind w:right="179"/>
              <w:spacing w:after="0" w:line="161" w:lineRule="exact"/>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6"/>
                <w:szCs w:val="16"/>
                <w:b w:val="1"/>
                <w:bCs w:val="1"/>
                <w:color w:val="auto"/>
                <w:w w:val="91"/>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(809)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September 30, 2023 and December 31, 2022, for which a nonrecurring fair value adjustment was recorded during the year-to-date periods presented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37,236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37,236</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86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72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Mortgage loans held for sale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1,806</w:t>
            </w:r>
          </w:p>
        </w:tc>
        <w:tc>
          <w:tcPr>
            <w:tcW w:w="172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loans held for sale that were acquired from Reliant were subject to a nonrecurring fair value adjustment resulting from the application of the lower of the amortized cost or fair value accounting. As of December 31, 2022, these loans were classified as nonrecurring Level 3 because the valuation of these loans was based on indicative bids provided by a broker, not corroborated by market transactions. These loans were subsequently sold during the first half of 2023.</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taxes, premises and equipment and goodwill. In addition, the tax ramifications related to the realization of the unrealized gains and losses can have a significant effect on fair value estimates and have not been considered in the estimates.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09"/>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1,992,364</w:t>
            </w: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18,001,250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17,215,625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17,215,625</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22,857,868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22,849,880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22,849,880</w:t>
            </w: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324,786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307,234</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HTM debt securities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2,613,648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17,417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2,173,656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2,191,073</w:t>
            </w: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15,175,270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14,609,239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14,609,239</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19,876,507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19,863,380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19,863,380</w:t>
            </w: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FHLB advances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549,913</w:t>
            </w:r>
          </w:p>
        </w:tc>
      </w:tr>
      <w:tr>
        <w:trPr>
          <w:trHeight w:val="210"/>
        </w:trPr>
        <w:tc>
          <w:tcPr>
            <w:tcW w:w="382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324,663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313,380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313,380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United has an equity compensation plan that allows for grants of various share-based compensation. The general terms of the plan include a vesting period (usually four years) with an exercisable period not to exceed ten years. Certain options and restricted stock unit awards provide for accelerated vesting if there is a change in control (as defined in the plan document). As of September 30, 2023, 2.28 million additional awards could be granted under the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and option activity for the nine months ended September 30,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tcPr>
          <w:p>
            <w:pPr>
              <w:spacing w:after="0"/>
              <w:rPr>
                <w:sz w:val="18"/>
                <w:szCs w:val="18"/>
                <w:color w:val="auto"/>
              </w:rPr>
            </w:pPr>
          </w:p>
        </w:tc>
        <w:tc>
          <w:tcPr>
            <w:tcW w:w="3920" w:type="dxa"/>
            <w:vAlign w:val="bottom"/>
            <w:gridSpan w:val="8"/>
          </w:tcPr>
          <w:p>
            <w:pPr>
              <w:jc w:val="center"/>
              <w:ind w:right="80"/>
              <w:spacing w:after="0"/>
              <w:rPr>
                <w:sz w:val="20"/>
                <w:szCs w:val="20"/>
                <w:color w:val="auto"/>
              </w:rPr>
            </w:pPr>
            <w:r>
              <w:rPr>
                <w:rFonts w:ascii="Arial" w:cs="Arial" w:eastAsia="Arial" w:hAnsi="Arial"/>
                <w:sz w:val="16"/>
                <w:szCs w:val="16"/>
                <w:b w:val="1"/>
                <w:bCs w:val="1"/>
                <w:color w:val="auto"/>
                <w:w w:val="91"/>
              </w:rPr>
              <w:t>Restricted Stock Unit Awards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1100"/>
              <w:spacing w:after="0"/>
              <w:rPr>
                <w:sz w:val="20"/>
                <w:szCs w:val="20"/>
                <w:color w:val="auto"/>
              </w:rPr>
            </w:pPr>
            <w:r>
              <w:rPr>
                <w:rFonts w:ascii="Arial" w:cs="Arial" w:eastAsia="Arial" w:hAnsi="Arial"/>
                <w:sz w:val="16"/>
                <w:szCs w:val="16"/>
                <w:b w:val="1"/>
                <w:bCs w:val="1"/>
                <w:color w:val="auto"/>
                <w:w w:val="89"/>
              </w:rPr>
              <w:t>Options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460"/>
              <w:spacing w:after="0" w:line="158" w:lineRule="exact"/>
              <w:rPr>
                <w:sz w:val="20"/>
                <w:szCs w:val="20"/>
                <w:color w:val="auto"/>
              </w:rPr>
            </w:pPr>
            <w:r>
              <w:rPr>
                <w:rFonts w:ascii="Arial" w:cs="Arial" w:eastAsia="Arial" w:hAnsi="Arial"/>
                <w:sz w:val="16"/>
                <w:szCs w:val="16"/>
                <w:b w:val="1"/>
                <w:bCs w:val="1"/>
                <w:color w:val="auto"/>
                <w:w w:val="93"/>
              </w:rPr>
              <w:t>Weighted-</w:t>
            </w: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8"/>
              </w:rPr>
              <w:t>Aggregate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3"/>
              </w:rPr>
              <w:t>Weighted-</w:t>
            </w:r>
          </w:p>
        </w:tc>
        <w:tc>
          <w:tcPr>
            <w:tcW w:w="138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88"/>
              </w:rPr>
              <w:t>Average</w:t>
            </w:r>
          </w:p>
        </w:tc>
        <w:tc>
          <w:tcPr>
            <w:tcW w:w="10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Average Grant-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6"/>
              </w:rPr>
              <w:t>Intrinsic</w:t>
            </w: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89"/>
              </w:rPr>
              <w:t>Average Exercise</w:t>
            </w:r>
          </w:p>
        </w:tc>
        <w:tc>
          <w:tcPr>
            <w:tcW w:w="138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2"/>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4"/>
              </w:rPr>
              <w:t>Term (Years)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Value ($000)</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Outstanding at December</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778,686</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40,338</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31, 2022</w:t>
            </w: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Granted</w:t>
            </w:r>
          </w:p>
        </w:tc>
        <w:tc>
          <w:tcPr>
            <w:tcW w:w="1080" w:type="dxa"/>
            <w:vAlign w:val="bottom"/>
          </w:tcPr>
          <w:p>
            <w:pPr>
              <w:jc w:val="right"/>
              <w:spacing w:after="0"/>
              <w:rPr>
                <w:sz w:val="20"/>
                <w:szCs w:val="20"/>
                <w:color w:val="auto"/>
              </w:rPr>
            </w:pPr>
            <w:r>
              <w:rPr>
                <w:rFonts w:ascii="Arial" w:cs="Arial" w:eastAsia="Arial" w:hAnsi="Arial"/>
                <w:sz w:val="16"/>
                <w:szCs w:val="16"/>
                <w:color w:val="auto"/>
              </w:rPr>
              <w:t>529,611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643,298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Outstanding at September</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994,156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25,262</w:t>
            </w: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407,892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30, 2023</w:t>
            </w: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Vested / Exercisable at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407,892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September 30, 2023</w:t>
            </w: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granted in 2023 reflect fully vested options assumed in the Progress acquisition, with the weighted average exercise price of Progress’ fully vested converted options determined pursuant to the purchase agreement. The value of the Progress options was determined using a Black-Scholes model and was included in the purchase price for the acquisition. No compensation expense relating to options was included in earnings for the nine months ended September 30, 2023 and 2022.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2023 and 2022, expense of $6.54 million and $6.24 million, respectively, was recognized related to restricted stock unit and performance stock unit awards granted to United employees, which was included in salaries and employee benefits expense. In addition, for the nine months ended September 30, 2023 and 2022, $555,000 and $412,000, respectively, was recognized in other expense for restricted stock unit awards granted to members of United’s Board of Directors.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stock-based compensation expense of $1.81 million and $1.70 million was included in the determination of income tax expense for the nine months ended September 30, 2023 and 2022, respectively. As of September 30, 2023, there was $23.7 million of unrecognized expense related to non-vested restricted stock unit and performance stock unit awards granted under the plan. That cost is expected to be recognized over a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Reclassifications Out of AOCI</w:t>
      </w:r>
    </w:p>
    <w:p>
      <w:pPr>
        <w:spacing w:after="0" w:line="25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The following table presents the details regarding amounts reclassified out of AOCI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3"/>
        </w:trPr>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6"/>
          </w:tcPr>
          <w:p>
            <w:pPr>
              <w:jc w:val="center"/>
              <w:ind w:right="380"/>
              <w:spacing w:after="0" w:line="163" w:lineRule="exact"/>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4"/>
                <w:szCs w:val="14"/>
                <w:color w:val="auto"/>
              </w:rPr>
            </w:pPr>
          </w:p>
        </w:tc>
        <w:tc>
          <w:tcPr>
            <w:tcW w:w="2120" w:type="dxa"/>
            <w:vAlign w:val="bottom"/>
            <w:gridSpan w:val="4"/>
          </w:tcPr>
          <w:p>
            <w:pPr>
              <w:jc w:val="right"/>
              <w:ind w:right="419"/>
              <w:spacing w:after="0" w:line="163" w:lineRule="exact"/>
              <w:rPr>
                <w:sz w:val="20"/>
                <w:szCs w:val="20"/>
                <w:color w:val="auto"/>
              </w:rPr>
            </w:pPr>
            <w:r>
              <w:rPr>
                <w:rFonts w:ascii="Arial" w:cs="Arial" w:eastAsia="Arial" w:hAnsi="Arial"/>
                <w:sz w:val="16"/>
                <w:szCs w:val="16"/>
                <w:b w:val="1"/>
                <w:bCs w:val="1"/>
                <w:color w:val="auto"/>
              </w:rPr>
              <w:t>Nine Months Ended</w:t>
            </w:r>
          </w:p>
        </w:tc>
        <w:tc>
          <w:tcPr>
            <w:tcW w:w="3320" w:type="dxa"/>
            <w:vAlign w:val="bottom"/>
          </w:tcPr>
          <w:p>
            <w:pPr>
              <w:spacing w:after="0"/>
              <w:rPr>
                <w:sz w:val="14"/>
                <w:szCs w:val="14"/>
                <w:color w:val="auto"/>
              </w:rPr>
            </w:pPr>
          </w:p>
        </w:tc>
      </w:t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21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3320" w:type="dxa"/>
            <w:vAlign w:val="bottom"/>
          </w:tcPr>
          <w:p>
            <w:pPr>
              <w:ind w:left="220"/>
              <w:spacing w:after="0"/>
              <w:rPr>
                <w:sz w:val="20"/>
                <w:szCs w:val="20"/>
                <w:color w:val="auto"/>
              </w:rPr>
            </w:pPr>
            <w:r>
              <w:rPr>
                <w:rFonts w:ascii="Arial" w:cs="Arial" w:eastAsia="Arial" w:hAnsi="Arial"/>
                <w:sz w:val="16"/>
                <w:szCs w:val="16"/>
                <w:b w:val="1"/>
                <w:bCs w:val="1"/>
                <w:color w:val="auto"/>
                <w:w w:val="95"/>
              </w:rPr>
              <w:t>Affected Line Item in the Statement Where</w:t>
            </w:r>
          </w:p>
        </w:tc>
      </w:tr>
      <w:tr>
        <w:trPr>
          <w:trHeight w:val="207"/>
        </w:trPr>
        <w:tc>
          <w:tcPr>
            <w:tcW w:w="3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Details about AOCI Components</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332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Net Income is Presented</w:t>
            </w: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losses on AFS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3"/>
        </w:trPr>
        <w:tc>
          <w:tcPr>
            <w:tcW w:w="30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(3,688)</w:t>
            </w:r>
          </w:p>
        </w:tc>
        <w:tc>
          <w:tcPr>
            <w:tcW w:w="3320" w:type="dxa"/>
            <w:vAlign w:val="bottom"/>
          </w:tcPr>
          <w:p>
            <w:pPr>
              <w:ind w:left="120"/>
              <w:spacing w:after="0"/>
              <w:rPr>
                <w:sz w:val="20"/>
                <w:szCs w:val="20"/>
                <w:color w:val="auto"/>
              </w:rPr>
            </w:pPr>
            <w:r>
              <w:rPr>
                <w:rFonts w:ascii="Arial" w:cs="Arial" w:eastAsia="Arial" w:hAnsi="Arial"/>
                <w:sz w:val="16"/>
                <w:szCs w:val="16"/>
                <w:color w:val="auto"/>
              </w:rPr>
              <w:t>Securities losses, net</w:t>
            </w:r>
          </w:p>
        </w:tc>
      </w:tr>
      <w:tr>
        <w:trPr>
          <w:trHeight w:val="216"/>
        </w:trPr>
        <w:tc>
          <w:tcPr>
            <w:tcW w:w="30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benefit</w:t>
            </w:r>
          </w:p>
        </w:tc>
      </w:tr>
      <w:tr>
        <w:trPr>
          <w:trHeight w:val="213"/>
        </w:trPr>
        <w:tc>
          <w:tcPr>
            <w:tcW w:w="30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(2,709)</w:t>
            </w:r>
          </w:p>
        </w:tc>
        <w:tc>
          <w:tcPr>
            <w:tcW w:w="332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r>
      <w:tr>
        <w:trPr>
          <w:trHeight w:val="223"/>
        </w:trPr>
        <w:tc>
          <w:tcPr>
            <w:tcW w:w="3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r>
      <w:tr>
        <w:trPr>
          <w:trHeight w:val="213"/>
        </w:trPr>
        <w:tc>
          <w:tcPr>
            <w:tcW w:w="5560" w:type="dxa"/>
            <w:vAlign w:val="bottom"/>
            <w:gridSpan w:val="8"/>
          </w:tcPr>
          <w:p>
            <w:pPr>
              <w:ind w:left="20"/>
              <w:spacing w:after="0"/>
              <w:rPr>
                <w:sz w:val="20"/>
                <w:szCs w:val="20"/>
                <w:color w:val="auto"/>
              </w:rPr>
            </w:pPr>
            <w:r>
              <w:rPr>
                <w:rFonts w:ascii="Arial" w:cs="Arial" w:eastAsia="Arial" w:hAnsi="Arial"/>
                <w:sz w:val="16"/>
                <w:szCs w:val="16"/>
                <w:color w:val="auto"/>
              </w:rPr>
              <w:t>Amortization of unrealized losses on HTM securities transferred from AFS: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9"/>
        </w:trPr>
        <w:tc>
          <w:tcPr>
            <w:tcW w:w="3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(6,242)</w:t>
            </w:r>
          </w:p>
        </w:tc>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securities interest revenue</w:t>
            </w:r>
          </w:p>
        </w:tc>
      </w:tr>
      <w:tr>
        <w:trPr>
          <w:trHeight w:val="213"/>
        </w:trPr>
        <w:tc>
          <w:tcPr>
            <w:tcW w:w="3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3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benefit</w:t>
            </w:r>
          </w:p>
        </w:tc>
      </w:tr>
      <w:tr>
        <w:trPr>
          <w:trHeight w:val="237"/>
        </w:trPr>
        <w:tc>
          <w:tcPr>
            <w:tcW w:w="3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4200" w:type="dxa"/>
            <w:vAlign w:val="bottom"/>
            <w:tcBorders>
              <w:top w:val="single" w:sz="8" w:color="CCEEFF"/>
            </w:tcBorders>
            <w:gridSpan w:val="3"/>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r>
      <w:tr>
        <w:trPr>
          <w:trHeight w:val="163"/>
        </w:trPr>
        <w:tc>
          <w:tcPr>
            <w:tcW w:w="3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320" w:type="dxa"/>
            <w:vAlign w:val="bottom"/>
          </w:tcPr>
          <w:p>
            <w:pPr>
              <w:spacing w:after="0"/>
              <w:rPr>
                <w:sz w:val="14"/>
                <w:szCs w:val="14"/>
                <w:color w:val="auto"/>
              </w:rPr>
            </w:pPr>
          </w:p>
        </w:tc>
      </w:tr>
      <w:tr>
        <w:trPr>
          <w:trHeight w:val="216"/>
        </w:trPr>
        <w:tc>
          <w:tcPr>
            <w:tcW w:w="55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w w:val="91"/>
              </w:rPr>
              <w:t>Reclassifications related to derivative instruments accounted for as cash flow hedges: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Interest rate contracts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(295)</w:t>
            </w:r>
          </w:p>
        </w:tc>
        <w:tc>
          <w:tcPr>
            <w:tcW w:w="3320" w:type="dxa"/>
            <w:vAlign w:val="bottom"/>
          </w:tcPr>
          <w:p>
            <w:pPr>
              <w:ind w:left="120"/>
              <w:spacing w:after="0"/>
              <w:rPr>
                <w:sz w:val="20"/>
                <w:szCs w:val="20"/>
                <w:color w:val="auto"/>
              </w:rPr>
            </w:pPr>
            <w:r>
              <w:rPr>
                <w:rFonts w:ascii="Arial" w:cs="Arial" w:eastAsia="Arial" w:hAnsi="Arial"/>
                <w:sz w:val="16"/>
                <w:szCs w:val="16"/>
                <w:color w:val="auto"/>
              </w:rPr>
              <w:t>Long-term debt interest expense</w:t>
            </w:r>
          </w:p>
        </w:tc>
      </w:tr>
      <w:tr>
        <w:trPr>
          <w:trHeight w:val="216"/>
        </w:trPr>
        <w:tc>
          <w:tcPr>
            <w:tcW w:w="30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r>
      <w:tr>
        <w:trPr>
          <w:trHeight w:val="212"/>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332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r>
      <w:tr>
        <w:trPr>
          <w:trHeight w:val="183"/>
        </w:trPr>
        <w:tc>
          <w:tcPr>
            <w:tcW w:w="3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r>
      <w:tr>
        <w:trPr>
          <w:trHeight w:val="213"/>
        </w:trPr>
        <w:tc>
          <w:tcPr>
            <w:tcW w:w="5560" w:type="dxa"/>
            <w:vAlign w:val="bottom"/>
            <w:gridSpan w:val="8"/>
          </w:tcPr>
          <w:p>
            <w:pPr>
              <w:ind w:left="20"/>
              <w:spacing w:after="0"/>
              <w:rPr>
                <w:sz w:val="20"/>
                <w:szCs w:val="20"/>
                <w:color w:val="auto"/>
              </w:rPr>
            </w:pPr>
            <w:r>
              <w:rPr>
                <w:rFonts w:ascii="Arial" w:cs="Arial" w:eastAsia="Arial" w:hAnsi="Arial"/>
                <w:sz w:val="16"/>
                <w:szCs w:val="16"/>
                <w:color w:val="auto"/>
                <w:w w:val="93"/>
              </w:rPr>
              <w:t>Amortization of defined benefit pension plan net periodic pension cost components: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9"/>
        </w:trPr>
        <w:tc>
          <w:tcPr>
            <w:tcW w:w="3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cost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Salaries and employee benefits expense</w:t>
            </w:r>
          </w:p>
        </w:tc>
      </w:tr>
      <w:tr>
        <w:trPr>
          <w:trHeight w:val="213"/>
        </w:trPr>
        <w:tc>
          <w:tcPr>
            <w:tcW w:w="3060" w:type="dxa"/>
            <w:vAlign w:val="bottom"/>
          </w:tcPr>
          <w:p>
            <w:pPr>
              <w:ind w:left="220"/>
              <w:spacing w:after="0"/>
              <w:rPr>
                <w:sz w:val="20"/>
                <w:szCs w:val="20"/>
                <w:color w:val="auto"/>
              </w:rPr>
            </w:pPr>
            <w:r>
              <w:rPr>
                <w:rFonts w:ascii="Arial" w:cs="Arial" w:eastAsia="Arial" w:hAnsi="Arial"/>
                <w:sz w:val="16"/>
                <w:szCs w:val="16"/>
                <w:color w:val="auto"/>
              </w:rPr>
              <w:t>Actuarial losses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c>
          <w:tcPr>
            <w:tcW w:w="3320" w:type="dxa"/>
            <w:vAlign w:val="bottom"/>
          </w:tcPr>
          <w:p>
            <w:pPr>
              <w:ind w:left="120"/>
              <w:spacing w:after="0"/>
              <w:rPr>
                <w:sz w:val="20"/>
                <w:szCs w:val="20"/>
                <w:color w:val="auto"/>
              </w:rPr>
            </w:pPr>
            <w:r>
              <w:rPr>
                <w:rFonts w:ascii="Arial" w:cs="Arial" w:eastAsia="Arial" w:hAnsi="Arial"/>
                <w:sz w:val="16"/>
                <w:szCs w:val="16"/>
                <w:color w:val="auto"/>
              </w:rPr>
              <w:t>Other expense</w:t>
            </w:r>
          </w:p>
        </w:tc>
      </w:tr>
      <w:tr>
        <w:trPr>
          <w:trHeight w:val="213"/>
        </w:trPr>
        <w:tc>
          <w:tcPr>
            <w:tcW w:w="3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3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before tax</w:t>
            </w:r>
          </w:p>
        </w:tc>
      </w:tr>
      <w:tr>
        <w:trPr>
          <w:trHeight w:val="213"/>
        </w:trPr>
        <w:tc>
          <w:tcPr>
            <w:tcW w:w="3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3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benefit</w:t>
            </w:r>
          </w:p>
        </w:tc>
      </w:tr>
      <w:tr>
        <w:trPr>
          <w:trHeight w:val="238"/>
        </w:trPr>
        <w:tc>
          <w:tcPr>
            <w:tcW w:w="3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r>
      <w:tr>
        <w:trPr>
          <w:trHeight w:val="163"/>
        </w:trPr>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(8,056)</w:t>
            </w: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196,022</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(5,157)</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on preferred shares repurchased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Earnings allocated to participating securities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r>
      <w:tr>
        <w:trPr>
          <w:trHeight w:val="23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46,775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168,245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189,858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119,506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116,925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106,616</w:t>
            </w: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dilutive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stock units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2"/>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119,624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117,084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106,732</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4"/>
        </w:trPr>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1"/>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United excluded from the computation 1,968 potentially dilutive shares of common stock issuable upon exercise of stock options because of their antidilutive effect. At September 30, 2022, United had no potentially dilutive instruments outstanding that were not included in the computation.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Regulatory Matters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September 30, 2023, and there have been no conditions or events since quarter-end that would change the status of well-capitalized.</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Regulatory capital ratios at September 30, 2023 and December 31, 2022, along with the minimum amounts required for capital adequacy purposes and to be well-capitalized under regulatory requirements in effect at such times, are presented below for United and the Bank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United Community Banks, Inc.</w:t>
            </w:r>
          </w:p>
        </w:tc>
        <w:tc>
          <w:tcPr>
            <w:tcW w:w="140" w:type="dxa"/>
            <w:vAlign w:val="bottom"/>
          </w:tcPr>
          <w:p>
            <w:pPr>
              <w:spacing w:after="0"/>
              <w:rPr>
                <w:sz w:val="16"/>
                <w:szCs w:val="16"/>
                <w:color w:val="auto"/>
              </w:rPr>
            </w:pPr>
          </w:p>
        </w:tc>
        <w:tc>
          <w:tcPr>
            <w:tcW w:w="266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(Consolidated)</w:t>
            </w:r>
          </w:p>
        </w:tc>
        <w:tc>
          <w:tcPr>
            <w:tcW w:w="14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Well-</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80" w:type="dxa"/>
            <w:vAlign w:val="bottom"/>
          </w:tcPr>
          <w:p>
            <w:pPr>
              <w:ind w:left="780"/>
              <w:spacing w:after="0"/>
              <w:rPr>
                <w:sz w:val="20"/>
                <w:szCs w:val="20"/>
                <w:color w:val="auto"/>
              </w:rPr>
            </w:pPr>
            <w:r>
              <w:rPr>
                <w:rFonts w:ascii="Arial" w:cs="Arial" w:eastAsia="Arial" w:hAnsi="Arial"/>
                <w:sz w:val="16"/>
                <w:szCs w:val="16"/>
                <w:color w:val="auto"/>
                <w:w w:val="92"/>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12.83 %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80" w:type="dxa"/>
            <w:vAlign w:val="bottom"/>
          </w:tcPr>
          <w:p>
            <w:pPr>
              <w:ind w:left="78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2,445,212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2,164,211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2,457,791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2,255,337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2,535,495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2,260,633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2,457,791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2,255,337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2,907,824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2,610,216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2,654,380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2,408,895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20,129,470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17,648,573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20,039,784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17,583,347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26,141,324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23,322,018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26,059,562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23,285,253</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As of September 30, 2023 and December 31, 2022 the additional capital conservation buffer in effect was 2.50%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2022</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Commitments to extend credit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4,608,549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4,683,790</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Letters of credit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46,896</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Credit and Certain Equity Investments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 limited to the sum of the outstanding investment balance, any future funding commitments and the balance of any related loans to the entity. Loans to these entities are underwritten in substantially the same manner as other loans and are generally secured.</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United also has investments in and future funding commitments related to fintech fund limited partnerships, other community development entities and certain other equity method investments. United has concluded that these partnerships are VIEs of which 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invested by United and any future funding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as of the dates indicated, tax credit and certain equity method investments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b w:val="1"/>
                <w:bCs w:val="1"/>
                <w:color w:val="auto"/>
                <w:w w:val="90"/>
              </w:rPr>
              <w:t>December 31,</w:t>
            </w:r>
          </w:p>
        </w:tc>
      </w:tr>
      <w:tr>
        <w:trPr>
          <w:trHeight w:val="240"/>
        </w:trPr>
        <w:tc>
          <w:tcPr>
            <w:tcW w:w="632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20"/>
                <w:szCs w:val="20"/>
                <w:color w:val="auto"/>
              </w:rPr>
            </w:pPr>
          </w:p>
        </w:tc>
        <w:tc>
          <w:tcPr>
            <w:tcW w:w="1280" w:type="dxa"/>
            <w:vAlign w:val="bottom"/>
          </w:tcPr>
          <w:p>
            <w:pPr>
              <w:jc w:val="right"/>
              <w:ind w:right="437"/>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7"/>
              <w:spacing w:after="0"/>
              <w:rPr>
                <w:sz w:val="20"/>
                <w:szCs w:val="20"/>
                <w:color w:val="auto"/>
              </w:rPr>
            </w:pPr>
            <w:r>
              <w:rPr>
                <w:rFonts w:ascii="Arial" w:cs="Arial" w:eastAsia="Arial" w:hAnsi="Arial"/>
                <w:sz w:val="18"/>
                <w:szCs w:val="18"/>
                <w:b w:val="1"/>
                <w:bCs w:val="1"/>
                <w:color w:val="auto"/>
              </w:rPr>
              <w:t>2022</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 in LIHTC:</w:t>
            </w:r>
          </w:p>
        </w:tc>
        <w:tc>
          <w:tcPr>
            <w:tcW w:w="1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Carrying amount</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50,432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50,054</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 of future funding commitments included in carrying amount</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18,090</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Renewable energy investments: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Carrying amount</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19,617</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Amount of future funding commitments included in carrying amount</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18,781</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Fintech funds and certain other equity method investments:</w:t>
            </w: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Carrying amount</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27,569</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 of future funding commitments included in carrying amount</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10"/>
        </w:trPr>
        <w:tc>
          <w:tcPr>
            <w:tcW w:w="6320" w:type="dxa"/>
            <w:vAlign w:val="bottom"/>
          </w:tcPr>
          <w:p>
            <w:pPr>
              <w:ind w:left="140"/>
              <w:spacing w:after="0"/>
              <w:rPr>
                <w:sz w:val="20"/>
                <w:szCs w:val="20"/>
                <w:color w:val="auto"/>
              </w:rPr>
            </w:pPr>
            <w:r>
              <w:rPr>
                <w:rFonts w:ascii="Arial" w:cs="Arial" w:eastAsia="Arial" w:hAnsi="Arial"/>
                <w:sz w:val="16"/>
                <w:szCs w:val="16"/>
                <w:color w:val="auto"/>
              </w:rPr>
              <w:t>Amount of future funding commitments not included in carrying amount</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23,690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Short-term Borrowings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At September 30, 2023 and December 31, 2022, short-term borrowings consisted of repurchase agreements, which are borrowings secured by investment securities. The following table presents the remaining contractual maturity of repurchase agreements by collateral pledged as of the date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9"/>
          </w:tcPr>
          <w:p>
            <w:pPr>
              <w:jc w:val="right"/>
              <w:ind w:right="499"/>
              <w:spacing w:after="0"/>
              <w:rPr>
                <w:sz w:val="20"/>
                <w:szCs w:val="20"/>
                <w:color w:val="auto"/>
              </w:rPr>
            </w:pPr>
            <w:r>
              <w:rPr>
                <w:rFonts w:ascii="Arial" w:cs="Arial" w:eastAsia="Arial" w:hAnsi="Arial"/>
                <w:sz w:val="16"/>
                <w:szCs w:val="16"/>
                <w:b w:val="1"/>
                <w:bCs w:val="1"/>
                <w:color w:val="auto"/>
              </w:rPr>
              <w:t>Remaining Contractual Maturity of the Agreements</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3"/>
              </w:rPr>
              <w:t>Overnight and</w:t>
            </w: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Up to 30 Days</w:t>
            </w:r>
          </w:p>
        </w:tc>
        <w:tc>
          <w:tcPr>
            <w:tcW w:w="24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30-90 Days</w:t>
            </w:r>
          </w:p>
        </w:tc>
        <w:tc>
          <w:tcPr>
            <w:tcW w:w="16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Greater than 90 days</w:t>
            </w:r>
          </w:p>
        </w:tc>
        <w:tc>
          <w:tcPr>
            <w:tcW w:w="280" w:type="dxa"/>
            <w:vAlign w:val="bottom"/>
          </w:tcPr>
          <w:p>
            <w:pPr>
              <w:spacing w:after="0"/>
              <w:rPr>
                <w:sz w:val="13"/>
                <w:szCs w:val="13"/>
                <w:color w:val="auto"/>
              </w:rPr>
            </w:pPr>
          </w:p>
        </w:tc>
        <w:tc>
          <w:tcPr>
            <w:tcW w:w="9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Continuous</w:t>
            </w: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U.S. Government agencies &amp; GSEs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37,348</w:t>
            </w:r>
          </w:p>
        </w:tc>
        <w:tc>
          <w:tcPr>
            <w:tcW w:w="0" w:type="dxa"/>
            <w:vAlign w:val="bottom"/>
          </w:tcPr>
          <w:p>
            <w:pPr>
              <w:spacing w:after="0"/>
              <w:rPr>
                <w:sz w:val="1"/>
                <w:szCs w:val="1"/>
                <w:color w:val="auto"/>
              </w:rPr>
            </w:pPr>
          </w:p>
        </w:tc>
      </w:tr>
      <w:tr>
        <w:trPr>
          <w:trHeight w:val="23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U.S. Treasuries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158,933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158,933</w:t>
            </w:r>
          </w:p>
        </w:tc>
        <w:tc>
          <w:tcPr>
            <w:tcW w:w="0" w:type="dxa"/>
            <w:vAlign w:val="bottom"/>
          </w:tcPr>
          <w:p>
            <w:pPr>
              <w:spacing w:after="0"/>
              <w:rPr>
                <w:sz w:val="1"/>
                <w:szCs w:val="1"/>
                <w:color w:val="auto"/>
              </w:rPr>
            </w:pPr>
          </w:p>
        </w:tc>
      </w:tr>
      <w:tr>
        <w:trPr>
          <w:trHeight w:val="23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158,933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158,933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is obligated to promptly transfer additional securities if the market value of the pledged securities falls below the repurchase agreement price. United manages this risk by maintaining a portfolio of unpledged securities that it believes is sufficient to cover a decline in the market value of the securities sold under agreements to repurchase. At September 30, 2023, repurchase agreements were collateralized by securities with a carrying amount of $62.3 million. At December 31, 2022, repurchase agreements were collateralized by securities with a carrying amount of $163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Share Repurchases</w:t>
      </w:r>
    </w:p>
    <w:p>
      <w:pPr>
        <w:spacing w:after="0" w:line="1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Subsequent to quarter-end through November 1, 2023, United repurchased 83,670 depositary shares (each representing 1/1000 interest in a share of preferred stock), bringing to a total 338,350 depositary shares repurchased to date through its preferred stock repurchase program. As of November 1, 2023, United had remaining authorization to repurchase up to $17.8 million of outstanding preferred stock under the program.</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is a discussion of our financial condition at September 30, 2023 and December 31, 2022 and our results of operations for the three and nine months ended September 30, 2023 and 2022.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2022 10-K and referenced in Part II, Item 1.A. of this Report, and the other reports we have filed with the SEC after we filed the 2022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offer a wide array of commercial and consumer banking services and investment advisory services primarily through a 205 branch network throughout Georgia, South Carolina, North Carolina, Tennessee, Florida and Alabama. We have grown organically as well as through strategic acquisitions. At September 30, 2023, we had consolidated total assets of $26.9 billion and 3,151 full-time equivalent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Mergers and Acquisitions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3, 2023, we completed the acquisition of Progress, which operated 13 offices primarily located in Alabama and the Florida Panhandle. We acquired $1.90 billion of assets and assumed $1.60 billion of liabilities in the acquisition, which included $1.44 billion in loans and $1.33 billion in deposits. Progress results are included in the consolidated financial statements beginning on the acquisition date.</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1, 2023, we completed the acquisition of First Miami, which operated three offices in the Miami metropolitan area. We acquired $1.02 billion of assets and assumed $931 million of liabilities in the acquisition, which included $577 million in loans and $865 million in deposits. In addition to traditional banking products, First Miami offers private banking, trust and wealth management services with approximately $303 million in assets under administration as of September 30, 2023. First Miami’s results are included in the consolidated financial statements beginning on the acquisition date.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Discontinuance of LIBOR</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discontinuance of LIBOR that was effective immediately after June 30, 2023, our new adjustable rate loan production has been originated with an ARR, such as SOFR. All existing loans that had LIBOR as a reference rate converted to an ARR such as SOFR effective with the first rate reset after June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reported net income and diluted earnings per common share of $47.9 million and $0.39, respectively, for the third quarter of 2023 compared to $81.2 million and $0.74, respectively, for the same period in 2022. Operating net income (non-GAAP), which excludes merger-related and other charges, was $55.0 million for the third quarter of 2023, compared to $82.5 million for the same period in 2022. The decrease in net income resulted primarily from higher noninterest expenses and an increase in provision for credit losses, which were partly offset by higher net interest revenue.</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revenue increased to $203 million for the third quarter of 2023, compared to $200 million for the third quarter of 2022. The increase in interest revenue was provided by loan growth, including loans acquired from First Miami and Progress, and higher interest rates earned on our average loan and securities portfolios. The increase in interest revenue was offset by increases in interest expense resulting from higher rates paid on deposits, a less favorable deposit mix and utilization of wholesale borrowings, which are more costly than customer deposits. Our net interest spread decreased 116 basis points to 2.23%, reflecting a steeper increase in rates paid on deposits compared to that of loans since the third quarter of 2022. The impact of rising deposit rates also negatively impacted our net interest margin, which decreased to 3.24% for the third quarter of 2023 compared to 3.57% for the same period of last year.</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provision for credit losses of $30.3 million for the third quarter of 2023, compared to a provision of $15.4 million for the third quarter of 2022. The provision expense recorded in the third quarter of 2023 resulted from loan growth, the initial ACL for First Miami non-PCD loans and unfunded commitments of $4.00 million and current period net charge offs of $26.6 million. The provision for unfunded commitments for the quarter was a negative $3.51 million due to a decrease in the amount of unfunded commitments.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Noninterest income of $32.0 million for the third quarter of 2023 remained relatively flat compared to that of the third quarter of 2022. Increases in several of our noninterest income components, notably services charges and other fees, BOLI income, and wealth management fees, were mostly offset by a $3.25 million decrease in other noninterest income. The decrease in other noninterest income is mostly attributable to a $1.74 million increase in cash collateral losses related to our derivative instruments and a $1.00 million loss on the disposal of two of our Tennessee branches.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third quarter of 2023, noninterest expenses of $144 million increased $31.7 million, or 28%, compared to the same period of 2022. The increase was primarily attributable to a $13.4 million increase in salaries and employee benefits and a $7.42 million increase in merger-related and other charges, both of which were largely driven by the acquisitions of First Miami and Progress. Other contributors to the increase included increases in amortization of intangibles, which was driven by the addition of the First Miami and Progress core deposit intangibles, and FDIC assessment expense resulting from the increase in the assessment rate that went into effect on January 1, 2023.</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nine months ended September 30, 2023 and 2022, we reported net income of $173 million and $196 million, respectively, and diluted earnings per common share of $1.44 and $1.78, respectively. Operating net income (non-GAAP) for the nine months ended September 30, 2023 and 2022 was $190 million and $210 million, respectively, which excludes merger-related and other charges for both periods. Net interest revenue and net interest margin for the nine months ended September 30, 2023 were $614 million and 3.41%, respectively, compared to $542 million and 3.25%, respectively, for the same period in 2022. In addition to the factors affecting the third quarter of 2023, results of operations for the nine months ended September 30, 2023 include a reduction in mortgage loan gains and other related fees of $12.2 million driven by a decrease in demand resulting from the rising interest rate environment. In addition, provision expense for the nine months ended September 30, 2023 and 2022 included initial provisions for credit losses on non-PCD loans and unfunded commitments acquired from Progress and Reliant of $10.4 million and $18.3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third quarter and first nine months of 2023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2022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Table 1 - Financial Highlights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(in thousands, except per share</w:t>
      </w:r>
    </w:p>
    <w:p>
      <w:pPr>
        <w:ind w:left="20"/>
        <w:spacing w:after="0"/>
        <w:rPr>
          <w:sz w:val="20"/>
          <w:szCs w:val="20"/>
          <w:color w:val="auto"/>
        </w:rPr>
      </w:pPr>
      <w:r>
        <w:rPr>
          <w:rFonts w:ascii="Arial" w:cs="Arial" w:eastAsia="Arial" w:hAnsi="Arial"/>
          <w:sz w:val="14"/>
          <w:szCs w:val="14"/>
          <w:i w:val="1"/>
          <w:iCs w:val="1"/>
          <w:color w:val="auto"/>
        </w:rPr>
        <w:t>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68"/>
              <w:spacing w:after="0" w:line="145" w:lineRule="exact"/>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gridSpan w:val="4"/>
            <w:vMerge w:val="restart"/>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9"/>
              </w:rPr>
              <w:t>Fourth</w:t>
            </w:r>
          </w:p>
        </w:tc>
        <w:tc>
          <w:tcPr>
            <w:tcW w:w="140" w:type="dxa"/>
            <w:vAlign w:val="bottom"/>
          </w:tcPr>
          <w:p>
            <w:pPr>
              <w:spacing w:after="0"/>
              <w:rPr>
                <w:sz w:val="11"/>
                <w:szCs w:val="11"/>
                <w:color w:val="auto"/>
              </w:rPr>
            </w:pPr>
          </w:p>
        </w:tc>
        <w:tc>
          <w:tcPr>
            <w:tcW w:w="780" w:type="dxa"/>
            <w:vAlign w:val="bottom"/>
          </w:tcPr>
          <w:p>
            <w:pPr>
              <w:jc w:val="right"/>
              <w:ind w:right="208"/>
              <w:spacing w:after="0" w:line="129" w:lineRule="exact"/>
              <w:rPr>
                <w:sz w:val="20"/>
                <w:szCs w:val="20"/>
                <w:color w:val="auto"/>
              </w:rPr>
            </w:pPr>
            <w:r>
              <w:rPr>
                <w:rFonts w:ascii="Arial" w:cs="Arial" w:eastAsia="Arial" w:hAnsi="Arial"/>
                <w:sz w:val="14"/>
                <w:szCs w:val="14"/>
                <w:b w:val="1"/>
                <w:bCs w:val="1"/>
                <w:color w:val="auto"/>
              </w:rPr>
              <w:t>Third</w:t>
            </w:r>
          </w:p>
        </w:tc>
        <w:tc>
          <w:tcPr>
            <w:tcW w:w="1020" w:type="dxa"/>
            <w:vAlign w:val="bottom"/>
            <w:gridSpan w:val="2"/>
          </w:tcPr>
          <w:p>
            <w:pPr>
              <w:jc w:val="center"/>
              <w:ind w:left="48"/>
              <w:spacing w:after="0" w:line="129" w:lineRule="exact"/>
              <w:rPr>
                <w:sz w:val="20"/>
                <w:szCs w:val="20"/>
                <w:color w:val="auto"/>
              </w:rPr>
            </w:pPr>
            <w:r>
              <w:rPr>
                <w:rFonts w:ascii="Arial" w:cs="Arial" w:eastAsia="Arial" w:hAnsi="Arial"/>
                <w:sz w:val="14"/>
                <w:szCs w:val="14"/>
                <w:b w:val="1"/>
                <w:bCs w:val="1"/>
                <w:color w:val="auto"/>
                <w:w w:val="93"/>
              </w:rPr>
              <w:t>2023 - 2022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760" w:type="dxa"/>
            <w:vAlign w:val="bottom"/>
          </w:tcPr>
          <w:p>
            <w:pPr>
              <w:jc w:val="right"/>
              <w:ind w:right="148"/>
              <w:spacing w:after="0" w:line="129"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INCOME SUMMARY</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323,147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295,775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279,487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240,831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213,887</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898,409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572,324</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120,591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95,489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68,017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30,943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14,113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284,097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29,855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interest revenue</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202,556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200,286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211,470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209,888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199,774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614,312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542,469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30,268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22,753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21,783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19,831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15,392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74,804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44,082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Noninterest income</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31,977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36,387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30,209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33,354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31,922</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98,573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104,353</w:t>
            </w:r>
          </w:p>
        </w:tc>
        <w:tc>
          <w:tcPr>
            <w:tcW w:w="8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6"/>
        </w:trPr>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204,265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213,920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219,896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223,411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216,304</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638,081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602,740</w:t>
            </w: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Noninterest expenses</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144,474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132,407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139,805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117,329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112,755</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416,686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352,820</w:t>
            </w:r>
          </w:p>
        </w:tc>
        <w:tc>
          <w:tcPr>
            <w:tcW w:w="8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23"/>
        </w:trPr>
        <w:tc>
          <w:tcPr>
            <w:tcW w:w="2160" w:type="dxa"/>
            <w:vAlign w:val="bottom"/>
          </w:tcPr>
          <w:p>
            <w:pPr>
              <w:ind w:left="140"/>
              <w:spacing w:after="0" w:line="123" w:lineRule="exact"/>
              <w:rPr>
                <w:sz w:val="20"/>
                <w:szCs w:val="20"/>
                <w:color w:val="auto"/>
              </w:rPr>
            </w:pPr>
            <w:r>
              <w:rPr>
                <w:rFonts w:ascii="Arial" w:cs="Arial" w:eastAsia="Arial" w:hAnsi="Arial"/>
                <w:sz w:val="14"/>
                <w:szCs w:val="14"/>
                <w:color w:val="auto"/>
              </w:rPr>
              <w:t>Income before income tax</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59,791</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81,513</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80,091</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106,082</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103,549</w:t>
            </w:r>
          </w:p>
        </w:tc>
        <w:tc>
          <w:tcPr>
            <w:tcW w:w="102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221,395</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249,920</w:t>
            </w:r>
          </w:p>
        </w:tc>
        <w:tc>
          <w:tcPr>
            <w:tcW w:w="8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8"/>
        </w:trPr>
        <w:tc>
          <w:tcPr>
            <w:tcW w:w="2160" w:type="dxa"/>
            <w:vAlign w:val="bottom"/>
          </w:tcPr>
          <w:p>
            <w:pPr>
              <w:ind w:left="140"/>
              <w:spacing w:after="0"/>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11,925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18,225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17,791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24,632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22,388</w:t>
            </w:r>
          </w:p>
        </w:tc>
        <w:tc>
          <w:tcPr>
            <w:tcW w:w="10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47,941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53,898</w:t>
            </w:r>
          </w:p>
        </w:tc>
        <w:tc>
          <w:tcPr>
            <w:tcW w:w="8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47,866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63,288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62,300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81,450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81,161</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173,454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196,022</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9,168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3,645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8,631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1,470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1,746</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21,444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17,905</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0"/>
              <w:spacing w:after="0" w:line="143" w:lineRule="exact"/>
              <w:rPr>
                <w:sz w:val="20"/>
                <w:szCs w:val="20"/>
                <w:color w:val="auto"/>
              </w:rPr>
            </w:pPr>
            <w:r>
              <w:rPr>
                <w:rFonts w:ascii="Arial" w:cs="Arial" w:eastAsia="Arial" w:hAnsi="Arial"/>
                <w:sz w:val="14"/>
                <w:szCs w:val="14"/>
                <w:color w:val="auto"/>
              </w:rPr>
              <w:t>Income tax benefit of merger-</w:t>
            </w: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(4,775)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related and other charges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1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4"/>
                <w:szCs w:val="14"/>
                <w:b w:val="1"/>
                <w:bCs w:val="1"/>
                <w:color w:val="auto"/>
              </w:rPr>
              <w:t xml:space="preserve">Net income - operating </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55,034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66,113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68,976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82,597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82,522</w:t>
            </w:r>
          </w:p>
        </w:tc>
        <w:tc>
          <w:tcPr>
            <w:tcW w:w="10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190,123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210,004</w:t>
            </w:r>
          </w:p>
        </w:tc>
        <w:tc>
          <w:tcPr>
            <w:tcW w:w="8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PERFORMANCE MEASURES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Per common share: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 net income -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0.39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0.53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0.52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0.74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0.74</w:t>
            </w:r>
          </w:p>
        </w:tc>
        <w:tc>
          <w:tcPr>
            <w:tcW w:w="10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1.78</w:t>
            </w:r>
          </w:p>
        </w:tc>
        <w:tc>
          <w:tcPr>
            <w:tcW w:w="8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5"/>
        </w:trPr>
        <w:tc>
          <w:tcPr>
            <w:tcW w:w="2160" w:type="dxa"/>
            <w:vAlign w:val="bottom"/>
          </w:tcPr>
          <w:p>
            <w:pPr>
              <w:ind w:left="220"/>
              <w:spacing w:after="0" w:line="135" w:lineRule="exact"/>
              <w:rPr>
                <w:sz w:val="20"/>
                <w:szCs w:val="20"/>
                <w:color w:val="auto"/>
              </w:rPr>
            </w:pPr>
            <w:r>
              <w:rPr>
                <w:rFonts w:ascii="Arial" w:cs="Arial" w:eastAsia="Arial" w:hAnsi="Arial"/>
                <w:sz w:val="14"/>
                <w:szCs w:val="14"/>
                <w:color w:val="auto"/>
              </w:rPr>
              <w:t>Diluted net income - operating</w:t>
            </w: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0.58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0.75</w:t>
            </w:r>
          </w:p>
        </w:tc>
        <w:tc>
          <w:tcPr>
            <w:tcW w:w="102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1.91</w:t>
            </w:r>
          </w:p>
        </w:tc>
        <w:tc>
          <w:tcPr>
            <w:tcW w:w="8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6"/>
        </w:trPr>
        <w:tc>
          <w:tcPr>
            <w:tcW w:w="2160" w:type="dxa"/>
            <w:vAlign w:val="bottom"/>
          </w:tcPr>
          <w:p>
            <w:pPr>
              <w:ind w:left="220"/>
              <w:spacing w:after="0"/>
              <w:rPr>
                <w:sz w:val="20"/>
                <w:szCs w:val="20"/>
                <w:color w:val="auto"/>
              </w:rPr>
            </w:pPr>
            <w:r>
              <w:rPr>
                <w:rFonts w:ascii="Arial" w:cs="Arial" w:eastAsia="Arial" w:hAnsi="Arial"/>
                <w:sz w:val="9"/>
                <w:szCs w:val="9"/>
                <w:color w:val="auto"/>
              </w:rPr>
              <w:t>(1)</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dividends declared</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0.22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0.22</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0.69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0.64</w:t>
            </w:r>
          </w:p>
        </w:tc>
        <w:tc>
          <w:tcPr>
            <w:tcW w:w="8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2"/>
        </w:trPr>
        <w:tc>
          <w:tcPr>
            <w:tcW w:w="2160" w:type="dxa"/>
            <w:vAlign w:val="bottom"/>
          </w:tcPr>
          <w:p>
            <w:pPr>
              <w:ind w:left="220"/>
              <w:spacing w:after="0"/>
              <w:rPr>
                <w:sz w:val="20"/>
                <w:szCs w:val="20"/>
                <w:color w:val="auto"/>
              </w:rPr>
            </w:pPr>
            <w:r>
              <w:rPr>
                <w:rFonts w:ascii="Arial" w:cs="Arial" w:eastAsia="Arial" w:hAnsi="Arial"/>
                <w:sz w:val="14"/>
                <w:szCs w:val="14"/>
                <w:color w:val="auto"/>
              </w:rPr>
              <w:t>Book value</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25.87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23.78</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25.87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23.78</w:t>
            </w: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shd w:val="clear" w:color="auto" w:fill="CCEEFF"/>
          </w:tcPr>
          <w:p>
            <w:pPr>
              <w:ind w:left="220"/>
              <w:spacing w:after="0" w:line="202" w:lineRule="exact"/>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8"/>
                <w:szCs w:val="18"/>
                <w:color w:val="auto"/>
                <w:vertAlign w:val="superscript"/>
              </w:rPr>
              <w:t>(3)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c>
          <w:tcPr>
            <w:tcW w:w="8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Key performance ratios: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1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Return on common equity -</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7.47 %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7.34 %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10.86 %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11.02 %</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6.69 %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9.08 %</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160" w:type="dxa"/>
            <w:vAlign w:val="bottom"/>
            <w:shd w:val="clear" w:color="auto" w:fill="CCEEFF"/>
          </w:tcPr>
          <w:p>
            <w:pPr>
              <w:ind w:left="220"/>
              <w:spacing w:after="0" w:line="199" w:lineRule="exact"/>
              <w:rPr>
                <w:sz w:val="20"/>
                <w:szCs w:val="20"/>
                <w:color w:val="auto"/>
              </w:rPr>
            </w:pPr>
            <w:r>
              <w:rPr>
                <w:rFonts w:ascii="Arial" w:cs="Arial" w:eastAsia="Arial" w:hAnsi="Arial"/>
                <w:sz w:val="23"/>
                <w:szCs w:val="23"/>
                <w:color w:val="auto"/>
                <w:vertAlign w:val="subscript"/>
              </w:rPr>
              <w:t>GAAP</w:t>
            </w:r>
            <w:r>
              <w:rPr>
                <w:rFonts w:ascii="Arial" w:cs="Arial" w:eastAsia="Arial" w:hAnsi="Arial"/>
                <w:sz w:val="8"/>
                <w:szCs w:val="8"/>
                <w:color w:val="auto"/>
              </w:rPr>
              <w:t xml:space="preserve"> (2)(4)</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160" w:type="dxa"/>
            <w:vAlign w:val="bottom"/>
          </w:tcPr>
          <w:p>
            <w:pPr>
              <w:ind w:left="220"/>
              <w:spacing w:after="0" w:line="138" w:lineRule="exact"/>
              <w:rPr>
                <w:sz w:val="20"/>
                <w:szCs w:val="20"/>
                <w:color w:val="auto"/>
              </w:rPr>
            </w:pPr>
            <w:r>
              <w:rPr>
                <w:rFonts w:ascii="Arial" w:cs="Arial" w:eastAsia="Arial" w:hAnsi="Arial"/>
                <w:sz w:val="14"/>
                <w:szCs w:val="14"/>
                <w:color w:val="auto"/>
              </w:rPr>
              <w:t>Return on common equity -</w:t>
            </w: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20"/>
              <w:spacing w:after="0" w:line="200"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18"/>
                <w:szCs w:val="18"/>
                <w:color w:val="auto"/>
                <w:vertAlign w:val="superscript"/>
              </w:rPr>
              <w:t>(1)(2)(4)</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Return on tangible common</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15.20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15.60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160" w:type="dxa"/>
            <w:vAlign w:val="bottom"/>
            <w:shd w:val="clear" w:color="auto" w:fill="CCEEFF"/>
          </w:tcPr>
          <w:p>
            <w:pPr>
              <w:ind w:left="220"/>
              <w:spacing w:after="0" w:line="200" w:lineRule="exact"/>
              <w:rPr>
                <w:sz w:val="20"/>
                <w:szCs w:val="20"/>
                <w:color w:val="auto"/>
              </w:rPr>
            </w:pPr>
            <w:r>
              <w:rPr>
                <w:rFonts w:ascii="Arial" w:cs="Arial" w:eastAsia="Arial" w:hAnsi="Arial"/>
                <w:sz w:val="14"/>
                <w:szCs w:val="14"/>
                <w:color w:val="auto"/>
              </w:rPr>
              <w:t xml:space="preserve">equity - operating </w:t>
            </w:r>
            <w:r>
              <w:rPr>
                <w:rFonts w:ascii="Arial" w:cs="Arial" w:eastAsia="Arial" w:hAnsi="Arial"/>
                <w:sz w:val="18"/>
                <w:szCs w:val="18"/>
                <w:color w:val="auto"/>
                <w:vertAlign w:val="superscript"/>
              </w:rPr>
              <w:t>(1)(2)(3)(4)</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Return on assets - GAAP </w:t>
            </w:r>
            <w:r>
              <w:rPr>
                <w:rFonts w:ascii="Arial" w:cs="Arial" w:eastAsia="Arial" w:hAnsi="Arial"/>
                <w:sz w:val="18"/>
                <w:szCs w:val="18"/>
                <w:color w:val="auto"/>
                <w:vertAlign w:val="superscript"/>
              </w:rPr>
              <w:t>(4)</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0.95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5"/>
                <w:szCs w:val="15"/>
                <w:color w:val="auto"/>
                <w:vertAlign w:val="superscript"/>
              </w:rPr>
              <w:t>(1)</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0.95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9"/>
                <w:szCs w:val="9"/>
                <w:color w:val="auto"/>
              </w:rPr>
              <w:t>(4)</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Net interest margin (FTE) </w:t>
            </w:r>
            <w:r>
              <w:rPr>
                <w:rFonts w:ascii="Arial" w:cs="Arial" w:eastAsia="Arial" w:hAnsi="Arial"/>
                <w:sz w:val="18"/>
                <w:szCs w:val="18"/>
                <w:color w:val="auto"/>
                <w:vertAlign w:val="superscript"/>
              </w:rPr>
              <w:t>(4)</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Efficiency ratio - GAAP</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61.32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55.71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57.20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47.95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48.41</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58.06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53.94</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Efficiency ratio - operating </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57.43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54.17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53.67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47.66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55.07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51.20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to total assets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11.85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11.89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11.90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11.25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11.12</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11.85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11.12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160" w:type="dxa"/>
            <w:vAlign w:val="bottom"/>
          </w:tcPr>
          <w:p>
            <w:pPr>
              <w:ind w:left="220"/>
              <w:spacing w:after="0" w:line="138" w:lineRule="exact"/>
              <w:rPr>
                <w:sz w:val="20"/>
                <w:szCs w:val="20"/>
                <w:color w:val="auto"/>
              </w:rPr>
            </w:pPr>
            <w:r>
              <w:rPr>
                <w:rFonts w:ascii="Arial" w:cs="Arial" w:eastAsia="Arial" w:hAnsi="Arial"/>
                <w:sz w:val="14"/>
                <w:szCs w:val="14"/>
                <w:color w:val="auto"/>
              </w:rPr>
              <w:t>Tangible common equity to</w:t>
            </w: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20"/>
              <w:spacing w:after="0" w:line="200" w:lineRule="exact"/>
              <w:rPr>
                <w:sz w:val="20"/>
                <w:szCs w:val="20"/>
                <w:color w:val="auto"/>
              </w:rPr>
            </w:pPr>
            <w:r>
              <w:rPr>
                <w:rFonts w:ascii="Arial" w:cs="Arial" w:eastAsia="Arial" w:hAnsi="Arial"/>
                <w:sz w:val="14"/>
                <w:szCs w:val="14"/>
                <w:color w:val="auto"/>
              </w:rPr>
              <w:t xml:space="preserve">tangible assets </w:t>
            </w:r>
            <w:r>
              <w:rPr>
                <w:rFonts w:ascii="Arial" w:cs="Arial" w:eastAsia="Arial" w:hAnsi="Arial"/>
                <w:sz w:val="18"/>
                <w:szCs w:val="18"/>
                <w:color w:val="auto"/>
                <w:vertAlign w:val="superscript"/>
              </w:rPr>
              <w:t>(3)</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ASSET QUALITY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NPAs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90,883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103,737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73,403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44,281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35,511</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90,883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35,511</w:t>
            </w:r>
          </w:p>
        </w:tc>
        <w:tc>
          <w:tcPr>
            <w:tcW w:w="8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ACL - loans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201,557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190,705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176,534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159,357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148,502</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201,557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148,502</w:t>
            </w: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charge-offs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26,638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8,399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7,084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6,611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1,134</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42,121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3,043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ACL - loans to loans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8"/>
              </w:rPr>
              <w:t>Net charge-offs to average loans</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9"/>
                <w:szCs w:val="9"/>
                <w:color w:val="auto"/>
              </w:rPr>
              <w:t>(4)</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NPAs to total assets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18,203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17,395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17,125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15,335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14,882</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18,203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14,882</w:t>
            </w:r>
          </w:p>
        </w:tc>
        <w:tc>
          <w:tcPr>
            <w:tcW w:w="8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5,701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5,914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5,915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6,228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6,539</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5,701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6,539</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26,869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25,872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24,009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23,688</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26,869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23,688</w:t>
            </w:r>
          </w:p>
        </w:tc>
        <w:tc>
          <w:tcPr>
            <w:tcW w:w="8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Deposits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22,858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22,252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22,005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19,877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20,321</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22,858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20,321</w:t>
            </w: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Shareholders’ equity</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3,184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3,106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3,078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2,701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2,635</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3,184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2,635</w:t>
            </w:r>
          </w:p>
        </w:tc>
        <w:tc>
          <w:tcPr>
            <w:tcW w:w="8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3"/>
        </w:trPr>
        <w:tc>
          <w:tcPr>
            <w:tcW w:w="2160" w:type="dxa"/>
            <w:vAlign w:val="bottom"/>
          </w:tcPr>
          <w:p>
            <w:pPr>
              <w:ind w:left="140"/>
              <w:spacing w:after="0" w:line="143" w:lineRule="exact"/>
              <w:rPr>
                <w:sz w:val="20"/>
                <w:szCs w:val="20"/>
                <w:color w:val="auto"/>
              </w:rPr>
            </w:pPr>
            <w:r>
              <w:rPr>
                <w:rFonts w:ascii="Arial" w:cs="Arial" w:eastAsia="Arial" w:hAnsi="Arial"/>
                <w:sz w:val="14"/>
                <w:szCs w:val="14"/>
                <w:color w:val="auto"/>
              </w:rPr>
              <w:t>Common shares outstanding</w:t>
            </w: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118,976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115,266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115,152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106,223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106,163</w:t>
            </w:r>
          </w:p>
        </w:tc>
        <w:tc>
          <w:tcPr>
            <w:tcW w:w="10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118,976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106,163</w:t>
            </w:r>
          </w:p>
        </w:tc>
        <w:tc>
          <w:tcPr>
            <w:tcW w:w="8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2"/>
        </w:trPr>
        <w:tc>
          <w:tcPr>
            <w:tcW w:w="2160" w:type="dxa"/>
            <w:vAlign w:val="bottom"/>
          </w:tcPr>
          <w:p>
            <w:pPr>
              <w:ind w:left="14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8"/>
        <w:spacing w:after="0" w:line="280" w:lineRule="auto"/>
        <w:tabs>
          <w:tab w:leader="none" w:pos="138"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 xml:space="preserve">Excludes merger-related and other charges. </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Net income less preferred stock dividends, divided by average realized common equity, which excludes AOCI. </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Excludes effect of acquisition related intangibles and associated amortization. </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Annualized.</w:t>
      </w:r>
    </w:p>
    <w:p>
      <w:pPr>
        <w:sectPr>
          <w:pgSz w:w="11900" w:h="16838" w:orient="portrait"/>
          <w:cols w:equalWidth="0" w:num="1">
            <w:col w:w="11240"/>
          </w:cols>
          <w:pgMar w:left="320" w:top="724"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Performance Measures Reconciliation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128"/>
              <w:spacing w:after="0" w:line="149" w:lineRule="exact"/>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Second</w:t>
            </w: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Fourth</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1"/>
                <w:szCs w:val="11"/>
                <w:color w:val="auto"/>
              </w:rPr>
            </w:pP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1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Noninterest expense reconciliation</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Noninterest expenses (GAAP)</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144,474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132,407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139,805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117,329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112,755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416,686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352,820</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(9,168)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(8,631)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(21,444)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(17,905)</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Noninterest expenses - operating</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135,306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128,762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131,174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115,859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111,009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395,242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334,915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Net income (GAAP)</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47,866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63,288</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62,300</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81,450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81,161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173,454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196,022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9,168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3,645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8,631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1,470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1,746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21,444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17,905</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Income tax benefit of merger-related and other charges</w:t>
            </w: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(4,775)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 operating</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55,034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66,113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68,976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82,597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82,522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190,123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210,004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Diluted income per common share (GAAP)</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0.53</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6"/>
        </w:trPr>
        <w:tc>
          <w:tcPr>
            <w:tcW w:w="3600" w:type="dxa"/>
            <w:vAlign w:val="bottom"/>
          </w:tcPr>
          <w:p>
            <w:pPr>
              <w:ind w:left="140"/>
              <w:spacing w:after="0"/>
              <w:rPr>
                <w:sz w:val="20"/>
                <w:szCs w:val="20"/>
                <w:color w:val="auto"/>
              </w:rPr>
            </w:pPr>
            <w:r>
              <w:rPr>
                <w:rFonts w:ascii="Arial" w:cs="Arial" w:eastAsia="Arial" w:hAnsi="Arial"/>
                <w:sz w:val="14"/>
                <w:szCs w:val="14"/>
                <w:color w:val="auto"/>
              </w:rPr>
              <w:t>Diluted income per common share - operating</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Book value per common share (GAAP)</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25.87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25.98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25.76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24.38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23.78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25.87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23.78</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Tangible book value per common share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17.59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Return on common equity (GAAP)</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7.47 %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9.08 %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Arial" w:cs="Arial" w:eastAsia="Arial" w:hAnsi="Arial"/>
                <w:sz w:val="14"/>
                <w:szCs w:val="14"/>
                <w:color w:val="auto"/>
              </w:rPr>
              <w:t>Return on common equity - operating</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4.39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96"/>
        </w:trPr>
        <w:tc>
          <w:tcPr>
            <w:tcW w:w="3600" w:type="dxa"/>
            <w:vAlign w:val="bottom"/>
          </w:tcPr>
          <w:p>
            <w:pPr>
              <w:ind w:left="140"/>
              <w:spacing w:after="0"/>
              <w:rPr>
                <w:sz w:val="20"/>
                <w:szCs w:val="20"/>
                <w:color w:val="auto"/>
              </w:rPr>
            </w:pPr>
            <w:r>
              <w:rPr>
                <w:rFonts w:ascii="Arial" w:cs="Arial" w:eastAsia="Arial" w:hAnsi="Arial"/>
                <w:sz w:val="14"/>
                <w:szCs w:val="14"/>
                <w:color w:val="auto"/>
              </w:rPr>
              <w:t>Return on tangible common equity - operating</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9.03 %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11.35 %</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11.63 %</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15.20 %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15.60 %</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13.64 %</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Return on assets reconciliation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Return on assets (GAAP)</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0.68 %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0.95 %</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1.32 %</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0.86 %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Return on assets - operating</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0.95 %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Efficiency ratio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Efficiency ratio (GAAP)</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55.71 %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57.20 %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47.95 %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48.41 %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58.06 %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53.94 %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(0.75)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96"/>
        </w:trPr>
        <w:tc>
          <w:tcPr>
            <w:tcW w:w="3600" w:type="dxa"/>
            <w:vAlign w:val="bottom"/>
          </w:tcPr>
          <w:p>
            <w:pPr>
              <w:ind w:left="140"/>
              <w:spacing w:after="0"/>
              <w:rPr>
                <w:sz w:val="20"/>
                <w:szCs w:val="20"/>
                <w:color w:val="auto"/>
              </w:rPr>
            </w:pPr>
            <w:r>
              <w:rPr>
                <w:rFonts w:ascii="Arial" w:cs="Arial" w:eastAsia="Arial" w:hAnsi="Arial"/>
                <w:sz w:val="14"/>
                <w:szCs w:val="14"/>
                <w:color w:val="auto"/>
              </w:rPr>
              <w:t>Efficiency ratio - operating</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57.43 %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54.17 %</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53.67 %</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47.35 %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47.66 %</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55.07 %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51.20 %</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Tangible common equity to tangible assets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reconciliation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to total assets (GAAP)</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11.85 %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11.89 %</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11.12 %</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11.85 %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11.12 %</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preferred equity</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(0.37)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96"/>
        </w:trPr>
        <w:tc>
          <w:tcPr>
            <w:tcW w:w="3600" w:type="dxa"/>
            <w:vAlign w:val="bottom"/>
          </w:tcPr>
          <w:p>
            <w:pPr>
              <w:ind w:left="140"/>
              <w:spacing w:after="0"/>
              <w:rPr>
                <w:sz w:val="20"/>
                <w:szCs w:val="20"/>
                <w:color w:val="auto"/>
              </w:rPr>
            </w:pPr>
            <w:r>
              <w:rPr>
                <w:rFonts w:ascii="Arial" w:cs="Arial" w:eastAsia="Arial" w:hAnsi="Arial"/>
                <w:sz w:val="14"/>
                <w:szCs w:val="14"/>
                <w:color w:val="auto"/>
              </w:rPr>
              <w:t>Tangible common equity to tangible assets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8.21 %</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8.17 %</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7.88 %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7.70 %</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7.70 %</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Net Interest Revenue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 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provides additional details on the average balances and net interest revenue for the periods presented. The tables that follow indicate the relationship between interest revenue and expense and the average amounts of assets and liabilities, which provides further insight into net interest spread and net interest margin for the periods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quarter:</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FTE net interest revenue for the third quarter of 2023 was $204 million, representing an increase of $2.63 million from the same period in 2022. The increase was primarily driven by the $3.40 billion increase in average loans and a 131 basis point increase in the average rate earned on loans. As a result, loan interest revenue increased $99.6 million compared to the third quarter of 2022. Approximately $3.38 million of the increase was a result of higher purchased loan accretion, which was mostly driven by the addition of First Miami and Progress loans. The FOMC raised the targeted federal funds rate a total of 525 basis points beginning in March 2022 through the third quarter of 2023. Additionally, the increase in yield earned on the investment securities portfolio, partially offset by a decrease in the average balance of the portfolio, contributed $7.49 million in additional FTE interest revenue compared to the same period of last year. The increase in yield on the securities portfolio was positively impacted by the fair value hedges on our AFS securities portfolio that we entered into in the second quarter of 2023, which contributed $3.77 million in additional interest revenue.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expense for the third quarter of 2023 increased $106 million compared to the same quarter of 2022. The increase is mostly attributable to the 259 basis point increase in rates paid on average interest-bearing deposits as a result of the rising interest rate environment and a deposit mix more heavily comprised of more costly time deposits and brokered time deposits. In addition, the daily average balance of interest-bearing deposits increased by $3.50 billion, which includes approximately $1.54 billion of interest-bearing deposits received in the acquisitions of First Miami and Progress. We also saw attrition in our noninterest-bearing deposit balances as rising interest rates offered customers more attractive alternatives, which negatively impacts our net interest margin. As a result of the decrease in noninterest-bearing deposits, in the third quarter of 2023, 65% of our interest earning assets were funded by interest-bearing liabilities compared with 57% for the same period of 2022.</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net interest spread decreased 116 basis points to 2.23% and our net interest margin decreased 33 basis points to 3.24%, reflecting a steeper increase in rates paid on deposits compared to that of loans during the third quarter of 2023. The fact that our net interest spread fell much more than our net interest margin demonstrates the increasing contribution and value of noninterest-bearing funding sources in a higher interest rate environment.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FTE net interest revenue for the first nine months of 2023 was $617 million, representing a 13% increase from the first nine months of 2022, which was primarily driven by the same factors impacting the quarter. During the first nine months of 2023, our net interest spread decreased 62 basis points and our net interest margin increased by 16 basis points compared to the same period of 2022. Our net interest margin for the nine months ended September 30, 2023 benefited from higher purchased loan accretion of $6.19 million and $4.68 million in additional interest revenue from the fair value hedges on our AFS securities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Three Months Ended September 30,</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Average Rate</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18,055,402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273,800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6.02 %</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14,658,397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174,168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4.71 %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6,539,615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368,148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493,115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538,039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614,755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24,895,297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324,213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22,305,882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215,108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1,568,824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1,261,236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26,847,697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23,950,355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5,285,513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35,613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2.67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4,335,619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4,849,705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1,301,047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1,515,350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15,891,225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12,387,784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44,164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16,260,159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120,591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12,715,670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435,592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23,612,023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21,242,304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3,235,674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2,708,051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26,847,697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23,950,355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203,622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2.23 %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3.39 %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40" w:right="100" w:hanging="332"/>
        <w:spacing w:after="0" w:line="266" w:lineRule="auto"/>
        <w:tabs>
          <w:tab w:leader="none" w:pos="327" w:val="left"/>
        </w:tabs>
        <w:numPr>
          <w:ilvl w:val="0"/>
          <w:numId w:val="13"/>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line="192" w:lineRule="auto"/>
        <w:tabs>
          <w:tab w:leader="none" w:pos="3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5" w:lineRule="exact"/>
        <w:rPr>
          <w:rFonts w:ascii="Arial" w:cs="Arial" w:eastAsia="Arial" w:hAnsi="Arial"/>
          <w:sz w:val="19"/>
          <w:szCs w:val="19"/>
          <w:color w:val="auto"/>
          <w:vertAlign w:val="superscript"/>
        </w:rPr>
      </w:pPr>
    </w:p>
    <w:p>
      <w:pPr>
        <w:ind w:left="340" w:right="20" w:hanging="332"/>
        <w:spacing w:after="0" w:line="251" w:lineRule="auto"/>
        <w:tabs>
          <w:tab w:leader="none" w:pos="336" w:val="left"/>
        </w:tabs>
        <w:numPr>
          <w:ilvl w:val="0"/>
          <w:numId w:val="13"/>
        </w:numPr>
        <w:rPr>
          <w:rFonts w:ascii="Arial" w:cs="Arial" w:eastAsia="Arial" w:hAnsi="Arial"/>
          <w:sz w:val="9"/>
          <w:szCs w:val="9"/>
          <w:color w:val="auto"/>
        </w:rPr>
      </w:pPr>
      <w:r>
        <w:rPr>
          <w:rFonts w:ascii="Arial" w:cs="Arial" w:eastAsia="Arial" w:hAnsi="Arial"/>
          <w:sz w:val="14"/>
          <w:szCs w:val="14"/>
          <w:color w:val="auto"/>
        </w:rPr>
        <w:t>Unrealized losses on securities, including those related to the transfer from AFS to HTM, have been reclassified to other assets. Pretax unrealized losses of $430 million and $318 million in 2023 and 2022, respectively, are included in other assets for purposes of this presentation.</w:t>
      </w:r>
    </w:p>
    <w:p>
      <w:pPr>
        <w:ind w:left="320" w:hanging="312"/>
        <w:spacing w:after="0"/>
        <w:tabs>
          <w:tab w:leader="none" w:pos="320" w:val="left"/>
        </w:tabs>
        <w:numPr>
          <w:ilvl w:val="0"/>
          <w:numId w:val="13"/>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200"/>
          </w:cols>
          <w:pgMar w:left="320" w:top="97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type w:val="continuous"/>
        </w:sectPr>
      </w:pPr>
    </w:p>
    <w:bookmarkStart w:id="45" w:name="page46"/>
    <w:bookmarkEnd w:id="45"/>
    <w:p>
      <w:pPr>
        <w:ind w:left="12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Nine Months Ended September 30,</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17780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Average Rate</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17,377,210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760,802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w w:val="92"/>
              </w:rPr>
              <w:t>5.85 %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14,426,470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475,989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5,982,615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120,212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6,274,230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83,281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7,470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498,177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10,425</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1,271,287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24,237,027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901,587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22,470,164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575,887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1,518,503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26,166,027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24,134,846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4,891,214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80,809</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2.21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4,520,079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7,624</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5,349,265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1,341,033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1,483,169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14,798,678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12,748,988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98,884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3,186</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322,600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589,976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15,388,654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284,097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13,072,971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29,855</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7,226,096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7,958,392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393,048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23,007,798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21,406,545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3,158,229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2,728,301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26,166,027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24,134,846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617,490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546,032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color w:val="auto"/>
                <w:w w:val="92"/>
              </w:rPr>
              <w:t>2.50 %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3.41 %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80" w:right="280" w:hanging="280"/>
        <w:spacing w:after="0" w:line="266" w:lineRule="auto"/>
        <w:tabs>
          <w:tab w:leader="none" w:pos="267" w:val="left"/>
        </w:tabs>
        <w:numPr>
          <w:ilvl w:val="0"/>
          <w:numId w:val="14"/>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line="192" w:lineRule="auto"/>
        <w:tabs>
          <w:tab w:leader="none" w:pos="2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6" w:lineRule="exact"/>
        <w:rPr>
          <w:sz w:val="20"/>
          <w:szCs w:val="20"/>
          <w:color w:val="auto"/>
        </w:rPr>
      </w:pPr>
    </w:p>
    <w:p>
      <w:pPr>
        <w:ind w:left="260" w:hanging="238"/>
        <w:spacing w:after="0"/>
        <w:tabs>
          <w:tab w:leader="none" w:pos="260" w:val="left"/>
        </w:tabs>
        <w:numPr>
          <w:ilvl w:val="0"/>
          <w:numId w:val="15"/>
        </w:numPr>
        <w:rPr>
          <w:rFonts w:ascii="Arial" w:cs="Arial" w:eastAsia="Arial" w:hAnsi="Arial"/>
          <w:sz w:val="9"/>
          <w:szCs w:val="9"/>
          <w:color w:val="auto"/>
        </w:rPr>
      </w:pPr>
      <w:r>
        <w:rPr>
          <w:rFonts w:ascii="Arial" w:cs="Arial" w:eastAsia="Arial" w:hAnsi="Arial"/>
          <w:sz w:val="13"/>
          <w:szCs w:val="13"/>
          <w:color w:val="auto"/>
        </w:rPr>
        <w:t>Unrealized gains and losses, including those related to the transfer from AFS to HTM, have been reclassified to other assets. Pretax unrealized losses of $413 million and $221 million in 2023</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and 2022, respectively, are included in other assets for purposes of this presentation.</w:t>
      </w:r>
    </w:p>
    <w:p>
      <w:pPr>
        <w:spacing w:after="0" w:line="6" w:lineRule="exact"/>
        <w:rPr>
          <w:sz w:val="20"/>
          <w:szCs w:val="20"/>
          <w:color w:val="auto"/>
        </w:rPr>
      </w:pPr>
    </w:p>
    <w:p>
      <w:pPr>
        <w:ind w:left="260" w:hanging="260"/>
        <w:spacing w:after="0"/>
        <w:tabs>
          <w:tab w:leader="none" w:pos="260" w:val="left"/>
        </w:tabs>
        <w:numPr>
          <w:ilvl w:val="0"/>
          <w:numId w:val="16"/>
        </w:numPr>
        <w:rPr>
          <w:rFonts w:ascii="Arial" w:cs="Arial" w:eastAsia="Arial" w:hAnsi="Arial"/>
          <w:sz w:val="9"/>
          <w:szCs w:val="9"/>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320"/>
          </w:cols>
          <w:pgMar w:left="2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972" w:right="359" w:bottom="1440" w:gutter="0" w:footer="0" w:header="0"/>
          <w:type w:val="continuous"/>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15" w:lineRule="exact"/>
        <w:rPr>
          <w:sz w:val="20"/>
          <w:szCs w:val="20"/>
          <w:color w:val="auto"/>
        </w:rPr>
      </w:pPr>
    </w:p>
    <w:p>
      <w:pPr>
        <w:ind w:left="20" w:right="5000"/>
        <w:spacing w:after="0" w:line="297"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6"/>
                <w:szCs w:val="16"/>
                <w:b w:val="1"/>
                <w:bCs w:val="1"/>
                <w:color w:val="auto"/>
                <w:w w:val="91"/>
              </w:rPr>
              <w:t>Three Months Ended September 30, 2023</w:t>
            </w: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w w:val="96"/>
              </w:rPr>
              <w:t>Nine Months Ended September 30, 2023</w:t>
            </w:r>
          </w:p>
        </w:tc>
      </w:tr>
      <w:tr>
        <w:trPr>
          <w:trHeight w:val="210"/>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11"/>
          </w:tcPr>
          <w:p>
            <w:pPr>
              <w:ind w:left="120"/>
              <w:spacing w:after="0"/>
              <w:rPr>
                <w:sz w:val="20"/>
                <w:szCs w:val="20"/>
                <w:color w:val="auto"/>
              </w:rPr>
            </w:pPr>
            <w:r>
              <w:rPr>
                <w:rFonts w:ascii="Arial" w:cs="Arial" w:eastAsia="Arial" w:hAnsi="Arial"/>
                <w:sz w:val="16"/>
                <w:szCs w:val="16"/>
                <w:b w:val="1"/>
                <w:bCs w:val="1"/>
                <w:color w:val="auto"/>
              </w:rPr>
              <w:t>Compared to 2022 Increase (Decrease) Due to Changes in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Rate</w:t>
            </w:r>
          </w:p>
        </w:tc>
        <w:tc>
          <w:tcPr>
            <w:tcW w:w="24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Volume</w:t>
            </w: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Rate</w:t>
            </w:r>
          </w:p>
        </w:tc>
        <w:tc>
          <w:tcPr>
            <w:tcW w:w="240" w:type="dxa"/>
            <w:vAlign w:val="bottom"/>
          </w:tcPr>
          <w:p>
            <w:pPr>
              <w:spacing w:after="0"/>
              <w:rPr>
                <w:sz w:val="17"/>
                <w:szCs w:val="17"/>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284,813</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40,967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36,931</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6,911</w:t>
            </w:r>
          </w:p>
        </w:tc>
      </w:tr>
      <w:tr>
        <w:trPr>
          <w:trHeight w:val="209"/>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109,105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97,493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228,207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325,700</w:t>
            </w:r>
          </w:p>
        </w:tc>
      </w:tr>
      <w:tr>
        <w:trPr>
          <w:trHeight w:val="199"/>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73,185</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98,400</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63,847</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9,295</w:t>
            </w:r>
          </w:p>
        </w:tc>
      </w:tr>
      <w:tr>
        <w:trPr>
          <w:trHeight w:val="210"/>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106,853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246,498</w:t>
            </w:r>
          </w:p>
        </w:tc>
      </w:tr>
      <w:tr>
        <w:trPr>
          <w:trHeight w:val="199"/>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funds purchased &amp; other borrowings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FHLB advances</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5,761</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07"/>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7,744</w:t>
            </w:r>
          </w:p>
        </w:tc>
      </w:tr>
      <w:tr>
        <w:trPr>
          <w:trHeight w:val="209"/>
        </w:trPr>
        <w:tc>
          <w:tcPr>
            <w:tcW w:w="41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106,478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254,242</w:t>
            </w:r>
          </w:p>
        </w:tc>
      </w:tr>
      <w:tr>
        <w:trPr>
          <w:trHeight w:val="199"/>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1"/>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Increase in net interest revenue (FTE)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71,458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 The provision for credit losses recorded in each period was the amount required such that the total ACL reflected the appropriate balance as determined by management reflecting expected life of loan losses.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provision for credit losses of $30.3 million and $74.8 million for the three and nine months ended September 30, 2023, compared to $15.4 million and $44.1 million for the same periods of 2022.</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provision during three and nine months ended September 30, 2023 was primarily due to a $19.0 million loss related to one relationship with a wholesale oil distributor that was part of a $218 million nationally syndicated credit, in which United’s participation was 8.7%. The borrower filed for Chapter 11 bankruptcy in March of 2023, at which time we placed the credit on nonaccrual status and included it in NPAs. When the bankruptcy converted to a Chapter 7 liquidation in August of 2023, the loan was charged off in full with no significant recovery expected.</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during the third quarter of 2023, we recorded the initial provision for credit losses on First Miami non-PCD loans and unfunded commitments of $3.92 million and $84,000, respectively. The provision recorded for the first nine months of 2023 also included the initial provision for credit losses on Progress non-PCD loans and unfunded commitments of $8.80 million and $1.65 million, respectively. Thus, the 2023 year to date initial provision for credit losses on loans and unfunded commitments resulting from acquisitions totaled $14.5 million, compared to 2022, which included $18.3 million related to the acquisition of Reliant. The remaining increase in provision expense for the three and nine months ended September 30, 2023 reflects organic loan growth, a weaker economic forecast and higher net charge-offs relative to the same periods of 2022.</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Additional discussion on credit quality and the ACL is included in the “Asset Quality and Risk Elements” section of MD&amp;A in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5 - Noninterest Income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1900" w:type="dxa"/>
            <w:vAlign w:val="bottom"/>
            <w:gridSpan w:val="4"/>
            <w:vMerge w:val="restart"/>
          </w:tcPr>
          <w:p>
            <w:pPr>
              <w:ind w:left="560"/>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6"/>
                <w:szCs w:val="16"/>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6"/>
                <w:szCs w:val="16"/>
                <w:color w:val="auto"/>
              </w:rPr>
            </w:pPr>
          </w:p>
        </w:tc>
        <w:tc>
          <w:tcPr>
            <w:tcW w:w="1800" w:type="dxa"/>
            <w:vAlign w:val="bottom"/>
            <w:gridSpan w:val="3"/>
            <w:vMerge w:val="restart"/>
          </w:tcPr>
          <w:p>
            <w:pPr>
              <w:jc w:val="right"/>
              <w:ind w:right="6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190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2800" w:type="dxa"/>
            <w:vAlign w:val="bottom"/>
          </w:tcPr>
          <w:p>
            <w:pPr>
              <w:ind w:left="20"/>
              <w:spacing w:after="0"/>
              <w:rPr>
                <w:sz w:val="20"/>
                <w:szCs w:val="20"/>
                <w:color w:val="auto"/>
              </w:rPr>
            </w:pPr>
            <w:r>
              <w:rPr>
                <w:rFonts w:ascii="Arial" w:cs="Arial" w:eastAsia="Arial" w:hAnsi="Arial"/>
                <w:sz w:val="16"/>
                <w:szCs w:val="16"/>
                <w:color w:val="auto"/>
              </w:rPr>
              <w:t>Overdraft fees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8,470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ATM and debit card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service charges and fees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8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service charges and fees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Mortgage loan gains and related fees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(12,156)</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Wealth management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Gains on sales of other loans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460</w:t>
            </w: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(2,317)</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Lending and loan servicing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Securities losses, net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Customer derivatives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336</w:t>
            </w: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w:t>
            </w: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 gains (losses)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BOLI</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691</w:t>
            </w: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766</w:t>
            </w: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management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w:t>
            </w:r>
          </w:p>
        </w:tc>
        <w:tc>
          <w:tcPr>
            <w:tcW w:w="10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c>
          <w:tcPr>
            <w:tcW w:w="10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noninterest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0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Arial" w:cs="Arial" w:eastAsia="Arial" w:hAnsi="Arial"/>
                <w:sz w:val="16"/>
                <w:szCs w:val="16"/>
                <w:color w:val="auto"/>
              </w:rPr>
              <w:t>Total noninterest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104,353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(5,780)</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increase in total service charges and fees was driven by the acquisitions of Progress and First Miami since the third quarter of 2022 and increases in transaction volume from existing customers. Overdraft fees for the nine months ended September 30, 2023 reflect the elimination of a returned item fee effective July 1, 2022.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Mortgage loan gains and related fees consist primarily of fees earned in our mortgage origination business, including secondary market gains on sales, derivative hedging gains and losses and fair value adjustments to our mortgage loans held for sale. It also includes our mortgage servicing business which includes servicing fees and fair value adjustments on our mortgage servicing rights asset. The change in mortgage income is strongly tied to the interest rate environment and industry conditions. We recognize the majority of the origination income on mortgages when customers enter into mortgage rate lock commitments, making our rate lock volume a significant driver of mortgage gains in any given period.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mortgage loan gains and related fees in the first nine months of 2023 was driven by higher interest rates which reduced demand compared to same period of 2022, as shown in the following table. In addition, during the first nine months of 2023, we recorded a $623,000 negative fair value adjustment, including decay, to the mortgage servicing rights asset, compared to a $7.40 million positive fair value adjustment, including decay, during the first nine months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b w:val="1"/>
          <w:bCs w:val="1"/>
          <w:color w:val="auto"/>
        </w:rPr>
        <w:t>Table 6 - Selected Mortgage Metrics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7"/>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38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rate locks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1,810,839</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w w:val="98"/>
              </w:rPr>
              <w:t>(48)%</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 of mortgage rate locks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1,213</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4,622</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(42)</w:t>
            </w:r>
          </w:p>
        </w:tc>
      </w:tr>
      <w:tr>
        <w:trPr>
          <w:trHeight w:val="219"/>
        </w:trPr>
        <w:tc>
          <w:tcPr>
            <w:tcW w:w="3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Mortgage loans sold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108,420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93,183</w:t>
            </w:r>
          </w:p>
        </w:tc>
        <w:tc>
          <w:tcPr>
            <w:tcW w:w="1320" w:type="dxa"/>
            <w:vAlign w:val="bottom"/>
            <w:gridSpan w:val="2"/>
          </w:tcPr>
          <w:p>
            <w:pPr>
              <w:jc w:val="right"/>
              <w:ind w:right="119"/>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329,444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460,232</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(28)</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mortgage loans sold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3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(36)</w:t>
            </w:r>
          </w:p>
        </w:tc>
      </w:tr>
      <w:tr>
        <w:trPr>
          <w:trHeight w:val="216"/>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 originated: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184,608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269,743</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610,036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977,562</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(38)</w:t>
            </w: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Refinances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47,533</w:t>
            </w:r>
          </w:p>
        </w:tc>
        <w:tc>
          <w:tcPr>
            <w:tcW w:w="13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89,339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300,128</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(70)</w:t>
            </w: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211,468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317,276</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699,375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1,277,690</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(45)</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3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 of mortgage loans originated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841</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3,243</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(39)</w:t>
            </w:r>
          </w:p>
        </w:tc>
      </w:tr>
    </w:tbl>
    <w:p>
      <w:pPr>
        <w:spacing w:after="0" w:line="3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Wealth management income for the three and nine months ended September 30, 2023 includes income from assets under management acquired in the First Miami transaction, which contributed approximately $600,000 to the periods presented.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SBA/USDA lending strategy includes selling a portion of the loan production each quarter. The amount of loans sold depends on several variables including the current lending environment and balance sheet management activities. From time to time, we also sell certain equipment financing receivables. The following table presents loans sold and the corresponding gains or losses recognized on the sale for the periods indicated.</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7 - Other Loan Sales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740" w:type="dxa"/>
            <w:vAlign w:val="bottom"/>
            <w:tcBorders>
              <w:top w:val="single" w:sz="8" w:color="auto"/>
              <w:bottom w:val="single" w:sz="8" w:color="auto"/>
            </w:tcBorders>
          </w:tcPr>
          <w:p>
            <w:pPr>
              <w:spacing w:after="0"/>
              <w:rPr>
                <w:sz w:val="18"/>
                <w:szCs w:val="18"/>
                <w:color w:val="auto"/>
              </w:rPr>
            </w:pPr>
          </w:p>
        </w:tc>
      </w:tr>
      <w:tr>
        <w:trPr>
          <w:trHeight w:val="207"/>
        </w:trPr>
        <w:tc>
          <w:tcPr>
            <w:tcW w:w="3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r>
      <w:tr>
        <w:trPr>
          <w:trHeight w:val="209"/>
        </w:trPr>
        <w:tc>
          <w:tcPr>
            <w:tcW w:w="302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24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Loans Sold</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Gain</w:t>
            </w:r>
          </w:p>
        </w:tc>
      </w:tr>
      <w:tr>
        <w:trPr>
          <w:trHeight w:val="21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Guaranteed portion of SBA/USDA loans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7,108</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financing receivables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r>
      <w:tr>
        <w:trPr>
          <w:trHeight w:val="237"/>
        </w:trPr>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Lending and loan servicing fees for the nine months ended September 30, 2023 increased compared to the same period of 2022 as a result of more favorable fair market value adjustments on our SBA loan servicing asset and an increase in fees generated by our equipment finance business. During the nine months ended September 30, 2023, we recorded negative fair value adjustments on our SBA servicing asset of $1.30 million compared to $2.14 million for the same period of 2022. Conversely, during the third quarter of 2023 we recorded a larger negative SBA servicing asset fair value adjustment of $1.24 million compared to $501,000 in the third quarter of 2022, which offset the increases in equipment finance fee income during the period.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2023 and 2022, we sold certain securities, which resulted in net securities losses. During 2023, proceeds from sales were used to fund loan growth and repay FHLB advances. During 2022, proceeds were reinvested in higher-yielding securities.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other noninterest income for the three and nine months ended September 30, 2023 compared to the same periods of 2022 was primarily driven by the following factors:</w:t>
      </w:r>
    </w:p>
    <w:p>
      <w:pPr>
        <w:spacing w:after="0" w:line="89" w:lineRule="exact"/>
        <w:rPr>
          <w:sz w:val="20"/>
          <w:szCs w:val="20"/>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third quarter and first nine months of 2023, we recorded net unrealized gains on deferred compensation plan assets and fintech and limited partnership investments, which were partially offset by unrealized losses on equity securities. For the same periods of 2022, we recorded net unrealized losses on deferred compensation plan assets, equity securities and fintech investments, which were partially offset by unrealized gains on limited partnership investments.</w:t>
      </w:r>
    </w:p>
    <w:p>
      <w:pPr>
        <w:spacing w:after="0" w:line="9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BOLI income for the three and nine months ended September 30, 2023 compared to the same periods of 2022 is mostly due to the additional policies that were obtained in connection with the Progress acquisition. Additionally, BOLI income for the 2023 periods presented includes a death benefit gain of approximately $1.03 million. During the nine months ended September 30, 2022, we recorded gains of $1.37 million.</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49" w:name="page50"/>
    <w:bookmarkEnd w:id="49"/>
    <w:p>
      <w:pPr>
        <w:jc w:val="both"/>
        <w:ind w:left="660" w:hanging="328"/>
        <w:spacing w:after="0" w:line="296" w:lineRule="auto"/>
        <w:tabs>
          <w:tab w:leader="none" w:pos="655"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color w:val="auto"/>
        </w:rPr>
        <w:t>Other income for the quarter includes a $1.00 million loss on the disposal of two of our Tennessee branches, which mainly resulted from a $656,000 write down of the core deposit intangible associated with deposits sold in the transaction as well as losses on the buildings. In addition, we recorded collateral charges related to our derivative positions of $1.99 million and $3.31 million during the three and nine months ended September 30, 2023, respectively. This represents $1.74 million and $2.99 million increases compared to the same periods of 2022. The nine months ended September 30, 2023 also includes the gain on sale of a commercial insurance book of business of $1.59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8 - Noninterest Expenses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192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40" w:type="dxa"/>
            <w:vAlign w:val="bottom"/>
          </w:tcPr>
          <w:p>
            <w:pPr>
              <w:spacing w:after="0"/>
              <w:rPr>
                <w:sz w:val="16"/>
                <w:szCs w:val="16"/>
                <w:color w:val="auto"/>
              </w:rPr>
            </w:pPr>
          </w:p>
        </w:tc>
        <w:tc>
          <w:tcPr>
            <w:tcW w:w="1820" w:type="dxa"/>
            <w:vAlign w:val="bottom"/>
            <w:gridSpan w:val="3"/>
            <w:vMerge w:val="restart"/>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employee benefits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Communications and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2,107</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3,936</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582</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Postage, printing and supplies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2,185</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Lending and loan servicing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(598)</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FDIC assessments and other regulatory</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10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5,661</w:t>
            </w:r>
          </w:p>
        </w:tc>
        <w:tc>
          <w:tcPr>
            <w:tcW w:w="102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2,493</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5,913</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46"/>
        </w:trPr>
        <w:tc>
          <w:tcPr>
            <w:tcW w:w="2740" w:type="dxa"/>
            <w:vAlign w:val="bottom"/>
          </w:tcPr>
          <w:p>
            <w:pPr>
              <w:ind w:left="140"/>
              <w:spacing w:after="0" w:line="146" w:lineRule="exact"/>
              <w:rPr>
                <w:sz w:val="20"/>
                <w:szCs w:val="20"/>
                <w:color w:val="auto"/>
              </w:rPr>
            </w:pPr>
            <w:r>
              <w:rPr>
                <w:rFonts w:ascii="Arial" w:cs="Arial" w:eastAsia="Arial" w:hAnsi="Arial"/>
                <w:sz w:val="16"/>
                <w:szCs w:val="16"/>
                <w:color w:val="auto"/>
              </w:rPr>
              <w:t>Total excluding merger-related and</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135,306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111,009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24,297</w:t>
            </w:r>
          </w:p>
        </w:tc>
        <w:tc>
          <w:tcPr>
            <w:tcW w:w="10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395,242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334,915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60,327</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2740" w:type="dxa"/>
            <w:vAlign w:val="bottom"/>
          </w:tcPr>
          <w:p>
            <w:pPr>
              <w:ind w:left="140"/>
              <w:spacing w:after="0"/>
              <w:rPr>
                <w:sz w:val="20"/>
                <w:szCs w:val="20"/>
                <w:color w:val="auto"/>
              </w:rPr>
            </w:pPr>
            <w:r>
              <w:rPr>
                <w:rFonts w:ascii="Arial" w:cs="Arial" w:eastAsia="Arial" w:hAnsi="Arial"/>
                <w:sz w:val="16"/>
                <w:szCs w:val="16"/>
                <w:color w:val="auto"/>
              </w:rPr>
              <w:t>other charges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Total noninterest expenses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144,474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31,719</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63,866</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increase in salaries and employee benefits for the third quarter and first nine months of 2023 compared to the same periods of 2022 was primarily driven by the addition of Progress and First Miami employees and expansion of existing teams in our footprint. Full-time equivalent headcount totaled 3,151 at September 30, 2023, up from 2,826 at September 30, 2022, which represents a 12% increase. The increase also reflects our annual merit-based salary increases awarded at the beginning of the second quarter of 2023. These increases were partially offset by a reduction in commissions expense, primarily due to reduced mortgage production volume, as well as reduction in our bonus accrual and lower deferred origination costs.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Communications and equipment expense increased primarily due to incremental software contract costs and the growth in our network with the addition of recent acquisitions.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occupancy costs for the third quarter and first nine months of 2023 compared to the same periods of 2022 was mostly attributable to the additional operating lease costs associated with Progress and First Miami.</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Professional fees increased for the third quarter and first nine months of 2023 compared to the same periods of 2022 mostly as a result of increased legal and consulting fees. The increase also reflects pre-conversion systems expense from the Progress and First Miami acquisitions.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FDIC assessments and other regulatory charges was primarily attributable to the 2 basis point assessment rate increase that went into effect for all banks on January 1, 2023, as well as an increased assessment base driven by higher average total assets partly resulting from the Progress and First Miami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intangibles increased with the additional customer deposit intangibles recorded as a result of the Progress and First Miami acquisitions.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color w:val="auto"/>
        </w:rPr>
        <w:t>Increases in other noninterest expense were partly attributable to increases in fraud losses and travel expenses for the first nine months of 2023.</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Merger-related and other charges for the third quarter and first nine months of 2023 were primarily related to the acquisitions of Progress and First Miami, branch closure costs and rebranding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assets at September 30, 2023 and December 31, 2022 were $26.9 billion and $24.0 billion, respectively. Total liabilities at September 30, 2023 and December 31, 2022 were $23.7 billion and $21.3 billion, respectively. Shareholders’ equity totaled $3.18 billion and $2.70 billion at September 30, 2023 and December 31,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loan portfolio is our largest category of interest-earning assets. The following table presents a summary of the loan portfolio by loan type as of September 30, 2023, of which approximately 75% was secured by real estate.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Loan Portfolio Composition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special mention and substandard performing and non-performing loans,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 xml:space="preserve">estimates and therefore, is not necessarily indicative of the specific amounts or loan categories in which charge-offs may ultimately occur. See the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Estimates </w:t>
      </w:r>
      <w:r>
        <w:rPr>
          <w:rFonts w:ascii="Arial" w:cs="Arial" w:eastAsia="Arial" w:hAnsi="Arial"/>
          <w:sz w:val="18"/>
          <w:szCs w:val="18"/>
          <w:color w:val="auto"/>
        </w:rPr>
        <w:t>section of MD&amp;A in our 2022 10-K for additional information on the ACL.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Allocation of ACL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 of loans in each</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 of loans in each</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ACL</w:t>
            </w:r>
          </w:p>
        </w:tc>
        <w:tc>
          <w:tcPr>
            <w:tcW w:w="10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category to total</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ACL</w:t>
            </w: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category to total</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loans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6"/>
              </w:rPr>
              <w:t>loans</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23,984</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19,834</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45,588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32,082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31,217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20,639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20,120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30,362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23,395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Arial" w:cs="Arial" w:eastAsia="Arial" w:hAnsi="Arial"/>
                <w:sz w:val="16"/>
                <w:szCs w:val="16"/>
                <w:color w:val="auto"/>
              </w:rPr>
              <w:t>Total commercial</w:t>
            </w:r>
          </w:p>
        </w:tc>
        <w:tc>
          <w:tcPr>
            <w:tcW w:w="32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151,790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118,935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26,884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20,809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Home equity</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9,799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8,707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2,874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Manufactured housing</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9,378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8,098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5320" w:type="dxa"/>
            <w:vAlign w:val="bottom"/>
          </w:tcPr>
          <w:p>
            <w:pPr>
              <w:ind w:left="140"/>
              <w:spacing w:after="0"/>
              <w:rPr>
                <w:sz w:val="20"/>
                <w:szCs w:val="20"/>
                <w:color w:val="auto"/>
              </w:rPr>
            </w:pPr>
            <w:r>
              <w:rPr>
                <w:rFonts w:ascii="Arial" w:cs="Arial" w:eastAsia="Arial" w:hAnsi="Arial"/>
                <w:sz w:val="16"/>
                <w:szCs w:val="16"/>
                <w:color w:val="auto"/>
              </w:rPr>
              <w:t>Total ACL - loans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201,557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159,357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9"/>
              <w:spacing w:after="0" w:line="180" w:lineRule="exact"/>
              <w:rPr>
                <w:sz w:val="20"/>
                <w:szCs w:val="20"/>
                <w:color w:val="auto"/>
              </w:rPr>
            </w:pPr>
            <w:r>
              <w:rPr>
                <w:rFonts w:ascii="Arial" w:cs="Arial" w:eastAsia="Arial" w:hAnsi="Arial"/>
                <w:sz w:val="16"/>
                <w:szCs w:val="16"/>
                <w:color w:val="auto"/>
              </w:rPr>
              <w:t>18,067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0" w:lineRule="exact"/>
              <w:rPr>
                <w:sz w:val="20"/>
                <w:szCs w:val="20"/>
                <w:color w:val="auto"/>
              </w:rPr>
            </w:pPr>
            <w:r>
              <w:rPr>
                <w:rFonts w:ascii="Arial" w:cs="Arial" w:eastAsia="Arial" w:hAnsi="Arial"/>
                <w:sz w:val="16"/>
                <w:szCs w:val="16"/>
                <w:color w:val="auto"/>
              </w:rPr>
              <w:t>21,163</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220"/>
              <w:spacing w:after="0"/>
              <w:rPr>
                <w:sz w:val="20"/>
                <w:szCs w:val="20"/>
                <w:color w:val="auto"/>
              </w:rPr>
            </w:pPr>
            <w:r>
              <w:rPr>
                <w:rFonts w:ascii="Arial" w:cs="Arial" w:eastAsia="Arial" w:hAnsi="Arial"/>
                <w:sz w:val="16"/>
                <w:szCs w:val="16"/>
                <w:color w:val="auto"/>
              </w:rPr>
              <w:t>Total ACL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219,624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180,520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ACL - loans as a percentage of total loans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as a percentage of nonaccrual loans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increase in the total ACL since December 31, 2022 was partially driven by a weaker economic forecast and the initial ACL established for loans and unfunded commitments acquired in connection with the Progress and First Miami transactions on January 3, 2023 and July 1, 2023, respectively. The initial ACL for Progress loans and unfunded commitments totaled $11.5 million and $1.65 million, respectively. The initial ACL for First Miami loans and unfunded commitment totaled $7.64 million and $84,000, respectively. The impact of the acquisitions on the ACL for unfunded commitments was more than offset by the overall decrease in unfunded commitments, which resulted in a negative provision for unfunded commitments of $3.10 million for the nine months ended September 30, 2023. See </w:t>
      </w:r>
      <w:r>
        <w:rPr>
          <w:rFonts w:ascii="Arial" w:cs="Arial" w:eastAsia="Arial" w:hAnsi="Arial"/>
          <w:sz w:val="16"/>
          <w:szCs w:val="16"/>
          <w:i w:val="1"/>
          <w:iCs w:val="1"/>
          <w:color w:val="auto"/>
        </w:rPr>
        <w:t>Provision for Credit Losses</w:t>
      </w:r>
      <w:r>
        <w:rPr>
          <w:rFonts w:ascii="Arial" w:cs="Arial" w:eastAsia="Arial" w:hAnsi="Arial"/>
          <w:sz w:val="16"/>
          <w:szCs w:val="16"/>
          <w:color w:val="auto"/>
        </w:rPr>
        <w:t xml:space="preserve"> discussion within this MD&amp;A for further information.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11 - Net Charge-offs to Average Loans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5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Borders>
              <w:bottom w:val="single" w:sz="8" w:color="auto"/>
            </w:tcBorders>
          </w:tcPr>
          <w:p>
            <w:pPr>
              <w:spacing w:after="0"/>
              <w:rPr>
                <w:sz w:val="18"/>
                <w:szCs w:val="18"/>
                <w:color w:val="auto"/>
              </w:rPr>
            </w:pPr>
          </w:p>
        </w:tc>
      </w:tr>
      <w:tr>
        <w:trPr>
          <w:trHeight w:val="210"/>
        </w:trPr>
        <w:tc>
          <w:tcPr>
            <w:tcW w:w="5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2022</w:t>
            </w:r>
          </w:p>
        </w:tc>
      </w:tr>
      <w:tr>
        <w:trPr>
          <w:trHeight w:val="199"/>
        </w:trPr>
        <w:tc>
          <w:tcPr>
            <w:tcW w:w="5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Net charge-offs (recoveries)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(1,631)</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(230)</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1,883</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(507)</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2,295</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(214)</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 equity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(208)</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r>
      <w:tr>
        <w:trPr>
          <w:trHeight w:val="213"/>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1,665</w:t>
            </w:r>
          </w:p>
        </w:tc>
      </w:tr>
      <w:tr>
        <w:trPr>
          <w:trHeight w:val="238"/>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 net charge-offs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26,638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42,121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3,043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3,240,648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2,680,906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3,136,798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2,650,505</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3,956,141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3,274,246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3,719,663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3,291,809</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2,563,692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2,237,096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2,497,002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2,285,443</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1,820,224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1,508,481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1,785,226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1,487,598</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Equipment financing</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1,544,284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1,241,322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1,494,726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1,184,201</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3,017,081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2,065,662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2,832,109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1,930,781</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Home equity</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947,027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813,637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932,424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791,673</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437,235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466,201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382,549</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Manufactured housing</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346,518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292,648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337,578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278,449</w:t>
            </w:r>
          </w:p>
        </w:tc>
      </w:tr>
      <w:tr>
        <w:trPr>
          <w:trHeight w:val="216"/>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182,552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143,719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175,483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143,462</w:t>
            </w:r>
          </w:p>
        </w:tc>
      </w:tr>
      <w:tr>
        <w:trPr>
          <w:trHeight w:val="213"/>
        </w:trPr>
        <w:tc>
          <w:tcPr>
            <w:tcW w:w="5520" w:type="dxa"/>
            <w:vAlign w:val="bottom"/>
          </w:tcPr>
          <w:p>
            <w:pPr>
              <w:ind w:left="220"/>
              <w:spacing w:after="0"/>
              <w:rPr>
                <w:sz w:val="20"/>
                <w:szCs w:val="20"/>
                <w:color w:val="auto"/>
              </w:rPr>
            </w:pPr>
            <w:r>
              <w:rPr>
                <w:rFonts w:ascii="Arial" w:cs="Arial" w:eastAsia="Arial" w:hAnsi="Arial"/>
                <w:sz w:val="16"/>
                <w:szCs w:val="16"/>
                <w:b w:val="1"/>
                <w:bCs w:val="1"/>
                <w:color w:val="auto"/>
              </w:rPr>
              <w:t>Total average loans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18,055,402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2"/>
              </w:rPr>
              <w:t>14,658,397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17,377,210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2"/>
              </w:rPr>
              <w:t>14,426,470</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55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Net charge-offs to average loans </w:t>
            </w:r>
            <w:r>
              <w:rPr>
                <w:rFonts w:ascii="Arial" w:cs="Arial" w:eastAsia="Arial" w:hAnsi="Arial"/>
                <w:sz w:val="21"/>
                <w:szCs w:val="21"/>
                <w:b w:val="1"/>
                <w:bCs w:val="1"/>
                <w:color w:val="auto"/>
                <w:vertAlign w:val="superscript"/>
              </w:rPr>
              <w:t>(1)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2"/>
              </w:rPr>
              <w:t>0.07 %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(0.01)%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2"/>
              </w:rPr>
              <w:t>0.02 %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center"/>
              <w:ind w:left="79"/>
              <w:spacing w:after="0"/>
              <w:rPr>
                <w:sz w:val="20"/>
                <w:szCs w:val="20"/>
                <w:color w:val="auto"/>
              </w:rPr>
            </w:pPr>
            <w:r>
              <w:rPr>
                <w:rFonts w:ascii="Arial" w:cs="Arial" w:eastAsia="Arial" w:hAnsi="Arial"/>
                <w:sz w:val="16"/>
                <w:szCs w:val="16"/>
                <w:color w:val="auto"/>
                <w:w w:val="95"/>
              </w:rPr>
              <w:t>(0.01)</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0.11</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center"/>
              <w:ind w:left="79"/>
              <w:spacing w:after="0"/>
              <w:rPr>
                <w:sz w:val="20"/>
                <w:szCs w:val="20"/>
                <w:color w:val="auto"/>
              </w:rPr>
            </w:pPr>
            <w:r>
              <w:rPr>
                <w:rFonts w:ascii="Arial" w:cs="Arial" w:eastAsia="Arial" w:hAnsi="Arial"/>
                <w:sz w:val="16"/>
                <w:szCs w:val="16"/>
                <w:color w:val="auto"/>
                <w:w w:val="95"/>
              </w:rPr>
              <w:t>(0.05)</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0.26</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ind w:left="34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center"/>
              <w:ind w:left="79"/>
              <w:spacing w:after="0"/>
              <w:rPr>
                <w:sz w:val="20"/>
                <w:szCs w:val="20"/>
                <w:color w:val="auto"/>
              </w:rPr>
            </w:pPr>
            <w:r>
              <w:rPr>
                <w:rFonts w:ascii="Arial" w:cs="Arial" w:eastAsia="Arial" w:hAnsi="Arial"/>
                <w:sz w:val="16"/>
                <w:szCs w:val="16"/>
                <w:color w:val="auto"/>
                <w:w w:val="95"/>
              </w:rPr>
              <w:t>(0.01)</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 equity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5"/>
              </w:rPr>
              <w:t>(0.09)</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ind w:left="340"/>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center"/>
              <w:ind w:left="79"/>
              <w:spacing w:after="0"/>
              <w:rPr>
                <w:sz w:val="20"/>
                <w:szCs w:val="20"/>
                <w:color w:val="auto"/>
              </w:rPr>
            </w:pPr>
            <w:r>
              <w:rPr>
                <w:rFonts w:ascii="Arial" w:cs="Arial" w:eastAsia="Arial" w:hAnsi="Arial"/>
                <w:sz w:val="16"/>
                <w:szCs w:val="16"/>
                <w:color w:val="auto"/>
                <w:w w:val="95"/>
              </w:rPr>
              <w:t>(0.07)</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0.25</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Consumer</w:t>
            </w:r>
          </w:p>
        </w:tc>
        <w:tc>
          <w:tcPr>
            <w:tcW w:w="30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center"/>
              <w:ind w:left="119"/>
              <w:spacing w:after="0"/>
              <w:rPr>
                <w:sz w:val="20"/>
                <w:szCs w:val="20"/>
                <w:color w:val="auto"/>
              </w:rPr>
            </w:pPr>
            <w:r>
              <w:rPr>
                <w:rFonts w:ascii="Arial" w:cs="Arial" w:eastAsia="Arial" w:hAnsi="Arial"/>
                <w:sz w:val="16"/>
                <w:szCs w:val="16"/>
                <w:color w:val="auto"/>
                <w:w w:val="89"/>
              </w:rPr>
              <w:t>1.55</w:t>
            </w:r>
          </w:p>
        </w:tc>
      </w:tr>
      <w:tr>
        <w:trPr>
          <w:trHeight w:val="219"/>
        </w:trPr>
        <w:tc>
          <w:tcPr>
            <w:tcW w:w="55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0.03</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Annualized.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table below summarizes NPAs for the periods indicated. NPAs include nonaccrual loans, OREO and repossessed assets. The increase in nonaccrual loans since December 31, 2022 is primarily driven by a small population of large commercial loans that moved to nonaccrual status and an increase in nonaccrual manufactured housing loans during the first nine months of 2023, which contributed to $46.4 million and $9.50 million of the increase, respectively. Additionally in the third quarter of 2023, $7.91 million of equipment financing loans moved to nonaccrual status. These additions were partially offset by reductions in nonaccrual loans resulting from repayments, payoffs, and charge-offs as well as loans returning to accrual status. Most notably, during the third quarter of 2023, we charged off $19.0 million in nonaccrual loans related to one relationship, which contributed to the decrease in NPAs since the second quarter of 2023.</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12 - NPAs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340" w:type="dxa"/>
            <w:vAlign w:val="bottom"/>
            <w:tcBorders>
              <w:bottom w:val="single" w:sz="8" w:color="CCEEFF"/>
            </w:tcBorders>
          </w:tcPr>
          <w:p>
            <w:pPr>
              <w:spacing w:after="0"/>
              <w:rPr>
                <w:sz w:val="18"/>
                <w:szCs w:val="18"/>
                <w:color w:val="auto"/>
              </w:rPr>
            </w:pPr>
          </w:p>
        </w:tc>
      </w:tr>
      <w:tr>
        <w:trPr>
          <w:trHeight w:val="212"/>
        </w:trPr>
        <w:tc>
          <w:tcPr>
            <w:tcW w:w="66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Nonaccrual loans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89,818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44,232</w:t>
            </w:r>
          </w:p>
        </w:tc>
        <w:tc>
          <w:tcPr>
            <w:tcW w:w="1340" w:type="dxa"/>
            <w:vAlign w:val="bottom"/>
            <w:shd w:val="clear" w:color="auto" w:fill="CCEEFF"/>
          </w:tcPr>
          <w:p>
            <w:pPr>
              <w:spacing w:after="0"/>
              <w:rPr>
                <w:sz w:val="18"/>
                <w:szCs w:val="18"/>
                <w:color w:val="auto"/>
              </w:rPr>
            </w:pPr>
          </w:p>
        </w:tc>
      </w:tr>
      <w:tr>
        <w:trPr>
          <w:trHeight w:val="213"/>
        </w:trPr>
        <w:tc>
          <w:tcPr>
            <w:tcW w:w="6640" w:type="dxa"/>
            <w:vAlign w:val="bottom"/>
            <w:tcBorders>
              <w:bottom w:val="single" w:sz="8" w:color="CCEEFF"/>
            </w:tcBorders>
          </w:tcPr>
          <w:p>
            <w:pPr>
              <w:ind w:left="1340"/>
              <w:spacing w:after="0"/>
              <w:rPr>
                <w:sz w:val="20"/>
                <w:szCs w:val="20"/>
                <w:color w:val="auto"/>
              </w:rPr>
            </w:pPr>
            <w:r>
              <w:rPr>
                <w:rFonts w:ascii="Arial" w:cs="Arial" w:eastAsia="Arial" w:hAnsi="Arial"/>
                <w:sz w:val="16"/>
                <w:szCs w:val="16"/>
                <w:color w:val="auto"/>
              </w:rPr>
              <w:t>OREO and repossessed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1340" w:type="dxa"/>
            <w:vAlign w:val="bottom"/>
            <w:tcBorders>
              <w:bottom w:val="single" w:sz="8" w:color="CCEEFF"/>
            </w:tcBorders>
          </w:tcPr>
          <w:p>
            <w:pPr>
              <w:spacing w:after="0"/>
              <w:rPr>
                <w:sz w:val="18"/>
                <w:szCs w:val="18"/>
                <w:color w:val="auto"/>
              </w:rPr>
            </w:pPr>
          </w:p>
        </w:tc>
      </w:tr>
      <w:tr>
        <w:trPr>
          <w:trHeight w:val="238"/>
        </w:trPr>
        <w:tc>
          <w:tcPr>
            <w:tcW w:w="664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Total NPAs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90,883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44,281</w:t>
            </w:r>
          </w:p>
        </w:tc>
        <w:tc>
          <w:tcPr>
            <w:tcW w:w="1340" w:type="dxa"/>
            <w:vAlign w:val="bottom"/>
            <w:tcBorders>
              <w:bottom w:val="single" w:sz="8" w:color="CCEEFF"/>
            </w:tcBorders>
            <w:shd w:val="clear" w:color="auto" w:fill="CCEEFF"/>
          </w:tcPr>
          <w:p>
            <w:pPr>
              <w:spacing w:after="0"/>
              <w:rPr>
                <w:sz w:val="20"/>
                <w:szCs w:val="20"/>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3"/>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66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Nonaccrual loans as a percentage of total loans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0.29 %</w:t>
            </w:r>
          </w:p>
        </w:tc>
        <w:tc>
          <w:tcPr>
            <w:tcW w:w="1340" w:type="dxa"/>
            <w:vAlign w:val="bottom"/>
            <w:shd w:val="clear" w:color="auto" w:fill="CCEEFF"/>
          </w:tcPr>
          <w:p>
            <w:pPr>
              <w:spacing w:after="0"/>
              <w:rPr>
                <w:sz w:val="18"/>
                <w:szCs w:val="18"/>
                <w:color w:val="auto"/>
              </w:rPr>
            </w:pPr>
          </w:p>
        </w:tc>
      </w:tr>
      <w:tr>
        <w:trPr>
          <w:trHeight w:val="210"/>
        </w:trPr>
        <w:tc>
          <w:tcPr>
            <w:tcW w:w="6640" w:type="dxa"/>
            <w:vAlign w:val="bottom"/>
          </w:tcPr>
          <w:p>
            <w:pPr>
              <w:ind w:left="1340"/>
              <w:spacing w:after="0"/>
              <w:rPr>
                <w:sz w:val="20"/>
                <w:szCs w:val="20"/>
                <w:color w:val="auto"/>
              </w:rPr>
            </w:pPr>
            <w:r>
              <w:rPr>
                <w:rFonts w:ascii="Arial" w:cs="Arial" w:eastAsia="Arial" w:hAnsi="Arial"/>
                <w:sz w:val="16"/>
                <w:szCs w:val="16"/>
                <w:color w:val="auto"/>
              </w:rPr>
              <w:t>NPAs as a percentage of total assets</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0.18</w:t>
            </w:r>
          </w:p>
        </w:tc>
        <w:tc>
          <w:tcPr>
            <w:tcW w:w="134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loan is placed on nonaccrual status when, in the opinion of management, the full principal and interest on a loan is not likely to be collected, or when the loan becomes 90 days past due. A loan may continue on accrual after 90 days with senior management approval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generally returned to accrual status when all the principal and interest amounts contractually due are brought current, there is a sustained period of repayment performance and future payments are reasonably assured.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Investment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December 31, 2022</w:t>
            </w:r>
          </w:p>
        </w:tc>
        <w:tc>
          <w:tcPr>
            <w:tcW w:w="3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5"/>
              </w:rPr>
              <w:t>Carrying Value</w:t>
            </w:r>
          </w:p>
        </w:tc>
        <w:tc>
          <w:tcPr>
            <w:tcW w:w="12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 of portfolio</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95"/>
              </w:rPr>
              <w:t>Carrying Value</w:t>
            </w:r>
          </w:p>
        </w:tc>
        <w:tc>
          <w:tcPr>
            <w:tcW w:w="10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 of portfolio</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8"/>
              </w:rPr>
              <w:t>Change</w:t>
            </w:r>
          </w:p>
        </w:tc>
        <w:tc>
          <w:tcPr>
            <w:tcW w:w="1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AFS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3,182,112</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w w:val="93"/>
              </w:rPr>
              <w:t>56 %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3,614,333</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w w:val="93"/>
              </w:rPr>
              <w:t>58 %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(432,221)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180"/>
              <w:spacing w:after="0"/>
              <w:rPr>
                <w:sz w:val="20"/>
                <w:szCs w:val="20"/>
                <w:color w:val="auto"/>
              </w:rPr>
            </w:pPr>
            <w:r>
              <w:rPr>
                <w:rFonts w:ascii="Arial" w:cs="Arial" w:eastAsia="Arial" w:hAnsi="Arial"/>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2,518,773</w:t>
            </w:r>
          </w:p>
        </w:tc>
        <w:tc>
          <w:tcPr>
            <w:tcW w:w="1260" w:type="dxa"/>
            <w:vAlign w:val="bottom"/>
            <w:tcBorders>
              <w:bottom w:val="single" w:sz="8" w:color="CCEEFF"/>
            </w:tcBorders>
            <w:gridSpan w:val="2"/>
          </w:tcPr>
          <w:p>
            <w:pPr>
              <w:ind w:left="90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2,613,648</w:t>
            </w:r>
          </w:p>
        </w:tc>
        <w:tc>
          <w:tcPr>
            <w:tcW w:w="1260" w:type="dxa"/>
            <w:vAlign w:val="bottom"/>
            <w:tcBorders>
              <w:bottom w:val="single" w:sz="8" w:color="CCEEFF"/>
            </w:tcBorders>
            <w:gridSpan w:val="2"/>
          </w:tcPr>
          <w:p>
            <w:pPr>
              <w:ind w:left="900"/>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(94,875)</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5,700,885</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6,227,981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(527,096)</w:t>
            </w: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0" w:type="dxa"/>
            <w:vAlign w:val="bottom"/>
            <w:shd w:val="clear" w:color="auto" w:fill="CCEEFF"/>
          </w:tcPr>
          <w:p>
            <w:pPr>
              <w:ind w:left="1180"/>
              <w:spacing w:after="0" w:line="166" w:lineRule="exact"/>
              <w:rPr>
                <w:sz w:val="20"/>
                <w:szCs w:val="20"/>
                <w:color w:val="auto"/>
              </w:rPr>
            </w:pPr>
            <w:r>
              <w:rPr>
                <w:rFonts w:ascii="Arial" w:cs="Arial" w:eastAsia="Arial" w:hAnsi="Arial"/>
                <w:sz w:val="16"/>
                <w:szCs w:val="16"/>
                <w:color w:val="auto"/>
                <w:w w:val="99"/>
              </w:rPr>
              <w:t>Investment securities as a % of</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4" w:name="page55"/>
    <w:bookmarkEnd w:id="54"/>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Investment Securities Portfolio Composition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2023, we sold $381 million in AFS securities, including approximately $111 million in securities received through the Progress acquisition, primarily for the purpose of providing liquidity to fund loan growth. For the same reason, during the third quarter of 2023, we sold approximately $215 million in securities received through the First Miami acquisition.</w:t>
      </w:r>
    </w:p>
    <w:p>
      <w:pPr>
        <w:spacing w:after="0" w:line="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of 2023, we entered into a fair value hedge on a portion of our AFS securities portfolio in order to mitigate the impact of any potential future unrealized losses on our tangible common equity. The notional value of the securities hedged totaled $666 million as of September 30, 2023. Gains and losses related to the hedge and hedged item are reflected in investment securities interest income. During the third quarter of 2023, we recorded net gains on the hedge and hedged item of $3.77 million, including interest accruals. See Note 7 to the financial statements for further detail.</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September 30, 2023, HTM debt securities had a fair value of $1.99 billion, indicating net unrealized losses of $526 million. Additional unrealized losses on HTM debt securities of $70.4 million (pre-tax) were included in AOCI as a result of the transfer of AFS debt securities to HTM in 2022. Unrealized losses were primarily attributable to changes in interest rates.</w:t>
      </w:r>
    </w:p>
    <w:p>
      <w:pPr>
        <w:spacing w:after="0" w:line="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September 30, 2023 and December 31, 2022, calculated credit losses on HTM debt securities were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when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September 30, 2023 and December 31, 2022, there was no ACL related to the AFS debt securities portfolio. Unrealized losses at September 30, 2023 and December 31, 2022 primarily reflected the effect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September 30, 2023 and December 31, 2022, the net carrying amount of goodwill was $920 million and $751 million,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acquisition of Progress in the first quarter of 2023, we recorded goodwill and a core deposit intangible of $146 million and $40.0 million, respectively. In connection with the acquisition of First Miami in the third quarter of 2023, we recorded goodwill and a core deposit intangible of $23.2 million and $18.0 million, respectively. See Note 4 to the financial statements for further information about these acquisitions. Also during the third quarter of 2023, United reduced its core deposit intangible related to the Reliant acquisition by $656,000 as a result of the sale of core deposits in connection with a whole branch disposal.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Customer deposits are the primary source of funds for the continued growth of our earning assets. We believe our high level of service, as evidenced by our strong customer satisfaction scores, has been instrumental in attracting and retaining customer deposit accounts. The increase in deposits since December 31, 2022 was mostly driven by the deposits assumed in the Progress and First Miami transactions, although we also generated organic growth by increasing the rates offered on deposits to remain competitive in the market in the midst of the rising rate environment. As of September 30, 2023, we had approximately $8.79 billion of uninsured deposits, of which $2.28 billion was collateralized by investment securities.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15 - Deposits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5540" w:type="dxa"/>
            <w:vAlign w:val="bottom"/>
            <w:tcBorders>
              <w:top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Noninterest-bearing demand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6,782,031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7,643,081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5,349,335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4,350,878</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Money market and savings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6,957,028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5,967,017</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Time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3,554,619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1,781,482</w:t>
            </w:r>
          </w:p>
        </w:tc>
        <w:tc>
          <w:tcPr>
            <w:tcW w:w="1500" w:type="dxa"/>
            <w:vAlign w:val="bottom"/>
            <w:tcBorders>
              <w:bottom w:val="single" w:sz="8" w:color="CCEEFF"/>
            </w:tcBorders>
          </w:tcPr>
          <w:p>
            <w:pPr>
              <w:spacing w:after="0"/>
              <w:rPr>
                <w:sz w:val="18"/>
                <w:szCs w:val="18"/>
                <w:color w:val="auto"/>
              </w:rPr>
            </w:pPr>
          </w:p>
        </w:tc>
      </w:tr>
      <w:tr>
        <w:trPr>
          <w:trHeight w:val="213"/>
        </w:trPr>
        <w:tc>
          <w:tcPr>
            <w:tcW w:w="554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Total customer deposits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22,643,013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19,742,458</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Brokered deposits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134,049</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22,857,868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19,876,507</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both September 30, 2023 and December 31, 2022, we had long-term debt outstanding of $325 million, which includes senior debentures, subordinated debentures, and trust preferred securities. Also at December 31, 2022, we had short-term borrowings outstanding of $159 million, which was mostly comprised of repurchase agreements, and we had $550 million of FHLB advances outstanding. At September 30, 2023, there were $37.3 million in short-term borrowings outstanding, which represents repurchase agreements obtained in connection with the First Miami transaction. There were no FHLB advances outstanding at September 30, 2023. The need to utilize short-term funding sources since December 31, 2022 has decreased as a result of the sale of investment securities noted above and growth in customer and brokered deposits, which allowed us to fund loan growth and repay short-term borrowings.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23 to the consolidated financial statements included in our 2022 10-K and Note 15 to the consolidated financial statements in this Report for additional information on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multiple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8"/>
          <w:szCs w:val="18"/>
          <w:b w:val="1"/>
          <w:bCs w:val="1"/>
          <w:color w:val="auto"/>
        </w:rPr>
        <w:t>Table 16 - Interest Sensitivity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jc w:val="center"/>
        <w:ind w:left="3480"/>
        <w:spacing w:after="0"/>
        <w:rPr>
          <w:sz w:val="20"/>
          <w:szCs w:val="20"/>
          <w:color w:val="auto"/>
        </w:rPr>
      </w:pPr>
      <w:r>
        <w:rPr>
          <w:rFonts w:ascii="Arial" w:cs="Arial" w:eastAsia="Arial" w:hAnsi="Arial"/>
          <w:sz w:val="16"/>
          <w:szCs w:val="16"/>
          <w:b w:val="1"/>
          <w:bCs w:val="1"/>
          <w:color w:val="auto"/>
        </w:rPr>
        <w:t>Increase (Decrease) in Net Interest Revenue from Base Scenario</w:t>
      </w:r>
    </w:p>
    <w:p>
      <w:pPr>
        <w:jc w:val="center"/>
        <w:ind w:left="3480"/>
        <w:spacing w:after="0"/>
        <w:rPr>
          <w:sz w:val="20"/>
          <w:szCs w:val="20"/>
          <w:color w:val="auto"/>
        </w:rPr>
      </w:pPr>
      <w:r>
        <w:rPr>
          <w:rFonts w:ascii="Arial" w:cs="Arial" w:eastAsia="Arial" w:hAnsi="Arial"/>
          <w:sz w:val="16"/>
          <w:szCs w:val="16"/>
          <w:b w:val="1"/>
          <w:bCs w:val="1"/>
          <w:color w:val="auto"/>
        </w:rPr>
        <w:t>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September 30, 2023</w:t>
            </w:r>
          </w:p>
        </w:tc>
        <w:tc>
          <w:tcPr>
            <w:tcW w:w="224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2022</w:t>
            </w:r>
          </w:p>
        </w:tc>
        <w:tc>
          <w:tcPr>
            <w:tcW w:w="1560" w:type="dxa"/>
            <w:vAlign w:val="bottom"/>
          </w:tcPr>
          <w:p>
            <w:pPr>
              <w:spacing w:after="0"/>
              <w:rPr>
                <w:sz w:val="18"/>
                <w:szCs w:val="18"/>
                <w:color w:val="auto"/>
              </w:rPr>
            </w:pPr>
          </w:p>
        </w:tc>
      </w:tr>
      <w:tr>
        <w:trPr>
          <w:trHeight w:val="212"/>
        </w:trPr>
        <w:tc>
          <w:tcPr>
            <w:tcW w:w="152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Change in Rates</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Ramp</w:t>
            </w: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Ramp</w:t>
            </w:r>
          </w:p>
        </w:tc>
        <w:tc>
          <w:tcPr>
            <w:tcW w:w="1560" w:type="dxa"/>
            <w:vAlign w:val="bottom"/>
            <w:tcBorders>
              <w:bottom w:val="single" w:sz="8" w:color="CCEEFF"/>
            </w:tcBorders>
          </w:tcPr>
          <w:p>
            <w:pPr>
              <w:spacing w:after="0"/>
              <w:rPr>
                <w:sz w:val="18"/>
                <w:szCs w:val="18"/>
                <w:color w:val="auto"/>
              </w:rPr>
            </w:pPr>
          </w:p>
        </w:tc>
      </w:tr>
      <w:tr>
        <w:trPr>
          <w:trHeight w:val="212"/>
        </w:trPr>
        <w:tc>
          <w:tcPr>
            <w:tcW w:w="15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200 basis point increase</w:t>
            </w: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2"/>
              </w:rPr>
              <w:t>0.42 %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(1.09)%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6"/>
              </w:rPr>
              <w:t>6.97 %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2"/>
              </w:rPr>
              <w:t>4.33 %</w:t>
            </w:r>
          </w:p>
        </w:tc>
        <w:tc>
          <w:tcPr>
            <w:tcW w:w="1560" w:type="dxa"/>
            <w:vAlign w:val="bottom"/>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100 basis point increase</w:t>
            </w:r>
          </w:p>
        </w:tc>
        <w:tc>
          <w:tcPr>
            <w:tcW w:w="1060" w:type="dxa"/>
            <w:vAlign w:val="bottom"/>
          </w:tcPr>
          <w:p>
            <w:pPr>
              <w:ind w:left="58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1080" w:type="dxa"/>
            <w:vAlign w:val="bottom"/>
          </w:tcPr>
          <w:p>
            <w:pPr>
              <w:ind w:left="580"/>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6"/>
                <w:szCs w:val="16"/>
                <w:color w:val="auto"/>
              </w:rPr>
              <w:t>2.85</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200 basis point decrease</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(5.07)</w:t>
            </w:r>
          </w:p>
        </w:tc>
        <w:tc>
          <w:tcPr>
            <w:tcW w:w="1560" w:type="dxa"/>
            <w:vAlign w:val="bottom"/>
          </w:tcPr>
          <w:p>
            <w:pPr>
              <w:spacing w:after="0"/>
              <w:rPr>
                <w:sz w:val="18"/>
                <w:szCs w:val="18"/>
                <w:color w:val="auto"/>
              </w:rPr>
            </w:pPr>
          </w:p>
        </w:tc>
      </w:tr>
    </w:tbl>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current environment is marked by the most rapid rate increases in decades, which, in part, has made non-bank products, such as U.S. Treasuries and money market funds, more attractive to our deposit customers. For this and other reasons, the banking industry’s deposit base has been shrinking since the first half of 2022. This industry-wide outflow of deposits has increased price competition for bank deposits. As such, industry deposit betas, including ours, have been increasing at a faster pace relative to the last rising rate cycle. Deposit beta is a measure of the change in a bank’s average rate paid on deposits to the change in the federal funds rate. Our cumulative total deposit beta for the current rising rate cycle increased to 37% in the third quarter of 2023, excluding First Miami. Our cumulative total deposit beta in the last upward rate cycle from November 2015 to July 2019 was 22%.</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interest sensitivity model includes significant key assumptions which may change over time. Although our model generally assumes no change in deposit portfolio size or composition, we have included an assumption for the runoff of surge deposits since 2021. In the second quarter of 2023, in response to the rapid rate increases mentioned above, we increased the beta assumption in our model. As of September 30, 2023, the modeled total deposit beta, which is measured as the change in our overall deposit rate as a percentage of the change in the targeted Federal Funds rate, was 39%. A higher total deposit beta assumption generally indicates a less asset sensitive balance sheet and lowers the expected increase in net interest revenue in the increasing rate scenarios.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In response to recent bank failures, we have focused on maximizing the amount of securities and loans available as collateral for contingent liquidity sources as well as reevaluated the assumptions in our liquidity stress test, particularly as it relates to deposit duration.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we had sufficient qualifying collateral to provide borrowing capacity for FHLB advances of $1.88 billion, Federal Reserve discount window borrowing capacity of $2.73 billion and Federal Reserve Bank Term Funding Program capacity of $2.03 billion. We also had unpledged investment securities of $1.53 billion that could be used as collateral for additional borrowings. In addition, we believe we have the ability to attract retail deposits by competing more aggressively on pricing.</w:t>
      </w:r>
    </w:p>
    <w:p>
      <w:pPr>
        <w:spacing w:after="0" w:line="7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the ultimate sources of its liquidity are subsidiary service fees and dividends from the Bank, which are limited by applicable law and regulations. A South Carolina state-chartered bank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8" w:name="page59"/>
    <w:bookmarkEnd w:id="58"/>
    <w:p>
      <w:pPr>
        <w:jc w:val="both"/>
        <w:spacing w:after="0" w:line="248" w:lineRule="auto"/>
        <w:rPr>
          <w:sz w:val="20"/>
          <w:szCs w:val="20"/>
          <w:color w:val="auto"/>
        </w:rPr>
      </w:pPr>
      <w:r>
        <w:rPr>
          <w:rFonts w:ascii="Arial" w:cs="Arial" w:eastAsia="Arial" w:hAnsi="Arial"/>
          <w:sz w:val="18"/>
          <w:szCs w:val="18"/>
          <w:color w:val="auto"/>
        </w:rPr>
        <w:t>is permitted to pay a dividend of up to 100% of its current year earnings 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uses and sources of cash during the nine months ended September 30, 2023 are as follows. See the consolidated statement of cash flows for further detail.</w:t>
      </w:r>
    </w:p>
    <w:p>
      <w:pPr>
        <w:spacing w:after="0" w:line="89" w:lineRule="exact"/>
        <w:rPr>
          <w:sz w:val="20"/>
          <w:szCs w:val="20"/>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provided by operating activities of $272 million reflects net income of $173 million adjusted for non-cash transactions, partly offset by changes in loans held for sale and other assets. Significant non-cash transactions for the period included a $74.8 million provision for credit losses and net depreciation, amortization, and accretion of $34.0 million.</w:t>
      </w:r>
    </w:p>
    <w:p>
      <w:pPr>
        <w:spacing w:after="0" w:line="8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used in investing activities of $2.37 million primarily consisted of a net increase in loans of $875 million, purchases of AFS securities and outflows for equity investments totaling $429 million and net cash paid to dispose of two of our Tennessee branches of $93.6 million. These uses of cash were partially offset by proceeds from securities sales, maturities and calls of $1.12 billion, net cash received in the acquisitions of First Miami and Progress of $208 million and equity investment inflows of $124 million.</w:t>
      </w:r>
    </w:p>
    <w:p>
      <w:pPr>
        <w:spacing w:after="0" w:line="9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used in financing activities of $157 million was driven by a net increase in deposits of $886 million, partially offset by net repayments of FHLB advances of $645 million, a net decrease in short-term borrowings of $310 million, and dividends on common and preferred stock of $82.4 million.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opinion of management, our liquidity position at September 30, 2023 was sufficient to meet our expected cash flow requirements for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Shareholders’ equity at September 30, 2023 was $3.18 billion, an increase of $483 million from December 31, 2022 primarily due to equity issued in the Progress and First Miami acquisitions and year-to-date earnings, partially offset by dividends declared on common and preferred stock.</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capital ratios, as calculated under applicable regulatory guidelines, at September 30, 2023 and December 31, 2022. As of September 30, 2023, capital levels remained characterized as “well-capitalized” under regulatory requirements in effect at the time. Additional information related to capital ratios is provided in Note 14 to the consolidated financial statements.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17 - Capital Ratios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260"/>
              <w:spacing w:after="0"/>
              <w:rPr>
                <w:sz w:val="20"/>
                <w:szCs w:val="20"/>
                <w:color w:val="auto"/>
              </w:rPr>
            </w:pPr>
            <w:r>
              <w:rPr>
                <w:rFonts w:ascii="Arial" w:cs="Arial" w:eastAsia="Arial" w:hAnsi="Arial"/>
                <w:sz w:val="16"/>
                <w:szCs w:val="16"/>
                <w:b w:val="1"/>
                <w:bCs w:val="1"/>
                <w:color w:val="auto"/>
              </w:rPr>
              <w:t>United Community Banks, Inc.</w:t>
            </w:r>
          </w:p>
        </w:tc>
        <w:tc>
          <w:tcPr>
            <w:tcW w:w="2700" w:type="dxa"/>
            <w:vAlign w:val="bottom"/>
            <w:gridSpan w:val="3"/>
            <w:vMerge w:val="restart"/>
          </w:tcPr>
          <w:p>
            <w:pPr>
              <w:jc w:val="right"/>
              <w:ind w:right="39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(Consolidated)</w:t>
            </w:r>
          </w:p>
        </w:tc>
        <w:tc>
          <w:tcPr>
            <w:tcW w:w="100" w:type="dxa"/>
            <w:vAlign w:val="bottom"/>
          </w:tcPr>
          <w:p>
            <w:pPr>
              <w:spacing w:after="0"/>
              <w:rPr>
                <w:sz w:val="18"/>
                <w:szCs w:val="18"/>
                <w:color w:val="auto"/>
              </w:rPr>
            </w:pPr>
          </w:p>
        </w:tc>
        <w:tc>
          <w:tcPr>
            <w:tcW w:w="27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Well-</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Minimum Capital Plus</w:t>
            </w:r>
          </w:p>
        </w:tc>
        <w:tc>
          <w:tcPr>
            <w:tcW w:w="1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December 31,</w:t>
            </w:r>
          </w:p>
        </w:tc>
        <w:tc>
          <w:tcPr>
            <w:tcW w:w="1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Capital Conservation</w:t>
            </w:r>
          </w:p>
        </w:tc>
        <w:tc>
          <w:tcPr>
            <w:tcW w:w="14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Capitalized</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Buffer</w:t>
            </w: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20" w:type="dxa"/>
            <w:vAlign w:val="bottom"/>
          </w:tcPr>
          <w:p>
            <w:pPr>
              <w:ind w:left="700"/>
              <w:spacing w:after="0"/>
              <w:rPr>
                <w:sz w:val="20"/>
                <w:szCs w:val="20"/>
                <w:color w:val="auto"/>
              </w:rPr>
            </w:pPr>
            <w:r>
              <w:rPr>
                <w:rFonts w:ascii="Arial" w:cs="Arial" w:eastAsia="Arial" w:hAnsi="Arial"/>
                <w:sz w:val="16"/>
                <w:szCs w:val="16"/>
                <w:color w:val="auto"/>
                <w:w w:val="97"/>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12.15 %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12.26 %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12.26 %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12.83 %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20" w:type="dxa"/>
            <w:vAlign w:val="bottom"/>
          </w:tcPr>
          <w:p>
            <w:pPr>
              <w:ind w:left="70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9" w:name="page60"/>
    <w:bookmarkEnd w:id="59"/>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as of September 30, 2023 from that presented in our 2022 10-K. Our interest rate sensitivity position at September 30, 2023 is set forth in Table 16 in MD&amp;A of this Report and incorporated herein by this reference.</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210"/>
        <w:spacing w:after="0" w:line="259" w:lineRule="auto"/>
        <w:tabs>
          <w:tab w:leader="none" w:pos="45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financial officer, we conducted an evaluation of our disclosure controls and procedures (as such term is defined in Exchange Act Rule 13a-15(e)) as of September 30, 2023. Based on that evaluation, our principal executive officer and chief financial officer concluded that our disclosure controls and procedures were effective as of the end of the period covered by this Report.</w:t>
      </w:r>
    </w:p>
    <w:p>
      <w:pPr>
        <w:spacing w:after="0" w:line="213" w:lineRule="exact"/>
        <w:rPr>
          <w:rFonts w:ascii="Arial" w:cs="Arial" w:eastAsia="Arial" w:hAnsi="Arial"/>
          <w:sz w:val="18"/>
          <w:szCs w:val="18"/>
          <w:color w:val="auto"/>
        </w:rPr>
      </w:pPr>
    </w:p>
    <w:p>
      <w:pPr>
        <w:jc w:val="both"/>
        <w:ind w:firstLine="285"/>
        <w:spacing w:after="0" w:line="263" w:lineRule="auto"/>
        <w:tabs>
          <w:tab w:leader="none" w:pos="556"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September 30, 2023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4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Except with respect to the additional risk factors related to the First Miami acquisition, which are set forth on pages 22 through 23 of the prospectus filed with the SEC on April 24, 2023 pursuant to Securities Act Rule 424(b)(3) (and incorporated herein by this reference), there have been no material changes to the risk factors previously disclosed in the 2022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regarding purchases of our preferred stock made during the quarter ended September 30, 2023 by or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or any “affiliated purchaser,” as defined by Rule 10b-18(a)(3) of the Exchange Act:</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Preferred Stock Depositary 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2"/>
              </w:rPr>
              <w:t>Total Number of</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Total Number</w:t>
            </w: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Depositary Shares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of Depositary</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Price Paid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as Part of Publicly</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for per share amounts)</w:t>
            </w:r>
          </w:p>
        </w:tc>
        <w:tc>
          <w:tcPr>
            <w:tcW w:w="120" w:type="dxa"/>
            <w:vAlign w:val="bottom"/>
            <w:vMerge w:val="restart"/>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Shares</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per Depositary</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Announced Plans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center"/>
              <w:ind w:right="239"/>
              <w:spacing w:after="0" w:line="216" w:lineRule="exact"/>
              <w:rPr>
                <w:sz w:val="20"/>
                <w:szCs w:val="20"/>
                <w:color w:val="auto"/>
              </w:rPr>
            </w:pPr>
            <w:r>
              <w:rPr>
                <w:rFonts w:ascii="Arial" w:cs="Arial" w:eastAsia="Arial" w:hAnsi="Arial"/>
                <w:sz w:val="16"/>
                <w:szCs w:val="16"/>
                <w:b w:val="1"/>
                <w:bCs w:val="1"/>
                <w:color w:val="auto"/>
                <w:w w:val="88"/>
              </w:rPr>
              <w:t xml:space="preserve">the Plans or Programs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2023 - July 31, 2023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23,534</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August 1, 2023 - August 31, 2023</w:t>
            </w:r>
          </w:p>
        </w:tc>
        <w:tc>
          <w:tcPr>
            <w:tcW w:w="1180" w:type="dxa"/>
            <w:vAlign w:val="bottom"/>
          </w:tcPr>
          <w:p>
            <w:pPr>
              <w:jc w:val="right"/>
              <w:spacing w:after="0"/>
              <w:rPr>
                <w:sz w:val="20"/>
                <w:szCs w:val="20"/>
                <w:color w:val="auto"/>
              </w:rPr>
            </w:pPr>
            <w:r>
              <w:rPr>
                <w:rFonts w:ascii="Arial" w:cs="Arial" w:eastAsia="Arial" w:hAnsi="Arial"/>
                <w:sz w:val="16"/>
                <w:szCs w:val="16"/>
                <w:color w:val="auto"/>
              </w:rPr>
              <w:t>150,139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150,139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20,438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2023 - September 30,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19,688</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8"/>
        <w:spacing w:after="0" w:line="287" w:lineRule="auto"/>
        <w:tabs>
          <w:tab w:leader="none" w:pos="162"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 May 2023, United’s Board authorized a preferred stock repurchase program to permit the repurchase of up to $25 million of its preferred stock. The program is scheduled to expire on the earlier of the repurchase of our preferred stock having an aggregate purchase price of $25 million or December 31, 2023. Under the program, shares may be repurchased in open market transactions or in privately negotiated transactions, from time to time, subject to market conditions, including transactions outside the safe harbor provided by Exchange Act Rule 10b-18 (but nevertheless adhering to Rule 10-b-18’s requirements). The preferred stock repurchase program may be modified, suspended or discontinued at any time at the Company’s discretion without prior notice, and does not commit the Company to repurchase shares of its preferred stock or depositary shares. The actual number and value of the shares to be purchased will be determined by the Company at its discretion, and will depend on a number of factors including the performance of the price of the depositary shares, market conditions, the availability of alternative investment opportunities and other factors the Company deems appropriate.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jc w:val="right"/>
        <w:spacing w:after="0"/>
        <w:tabs>
          <w:tab w:leader="none" w:pos="9600" w:val="left"/>
        </w:tabs>
        <w:rPr>
          <w:rFonts w:ascii="Arial" w:cs="Arial" w:eastAsia="Arial" w:hAnsi="Arial"/>
          <w:sz w:val="16"/>
          <w:szCs w:val="16"/>
          <w:u w:val="single" w:color="auto"/>
          <w:color w:val="0000FF"/>
        </w:rPr>
      </w:pPr>
      <w:hyperlink r:id="rId94">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94">
        <w:r>
          <w:rPr>
            <w:rFonts w:ascii="Arial" w:cs="Arial" w:eastAsia="Arial" w:hAnsi="Arial"/>
            <w:sz w:val="16"/>
            <w:szCs w:val="16"/>
            <w:u w:val="single" w:color="auto"/>
            <w:color w:val="0000FF"/>
          </w:rPr>
          <w:t>Agreement and Plan of Merger by and between United Community Banks, Inc. and First Miami Bancorp, Inc. dated as of February</w:t>
        </w:r>
      </w:hyperlink>
    </w:p>
    <w:p>
      <w:pPr>
        <w:jc w:val="right"/>
        <w:ind w:right="20"/>
        <w:spacing w:after="0" w:line="219"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13, 2023 (incorporated herein by reference from Exhibit 2.1 to the Current Report on Form 8-K of United Community Banks, Inc.</w:t>
        </w:r>
      </w:hyperlink>
    </w:p>
    <w:p>
      <w:pPr>
        <w:ind w:left="1600"/>
        <w:spacing w:after="0"/>
        <w:rPr>
          <w:rFonts w:ascii="Arial" w:cs="Arial" w:eastAsia="Arial" w:hAnsi="Arial"/>
          <w:sz w:val="18"/>
          <w:szCs w:val="18"/>
          <w:color w:val="0000FF"/>
        </w:rPr>
      </w:pPr>
      <w:hyperlink r:id="rId94">
        <w:r>
          <w:rPr>
            <w:rFonts w:ascii="Arial" w:cs="Arial" w:eastAsia="Arial" w:hAnsi="Arial"/>
            <w:sz w:val="18"/>
            <w:szCs w:val="18"/>
            <w:u w:val="single" w:color="auto"/>
            <w:color w:val="0000FF"/>
          </w:rPr>
          <w:t>filed with the SEC on February 15, 2023)</w:t>
        </w:r>
        <w:r>
          <w:rPr>
            <w:rFonts w:ascii="Arial" w:cs="Arial" w:eastAsia="Arial" w:hAnsi="Arial"/>
            <w:sz w:val="18"/>
            <w:szCs w:val="18"/>
            <w:color w:val="000000"/>
          </w:rPr>
          <w:t>.</w:t>
        </w:r>
      </w:hyperlink>
    </w:p>
    <w:p>
      <w:pPr>
        <w:spacing w:after="0" w:line="169" w:lineRule="exact"/>
        <w:rPr>
          <w:sz w:val="20"/>
          <w:szCs w:val="20"/>
          <w:color w:val="auto"/>
        </w:rPr>
      </w:pPr>
    </w:p>
    <w:p>
      <w:pPr>
        <w:jc w:val="right"/>
        <w:ind w:left="1080"/>
        <w:spacing w:after="0" w:line="233" w:lineRule="auto"/>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3.1   Restated Articles of Incorporation of United Community Banks, Inc. as amended through August 13, 2021 (incorporated herein by</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reference to Exhibit 3.1 to United Community Bank Inc.'s Quarterly Report on Form 10-Q for the period ended September 30, 2021,</w:t>
        </w:r>
      </w:hyperlink>
    </w:p>
    <w:p>
      <w:pPr>
        <w:spacing w:after="0" w:line="1" w:lineRule="exact"/>
        <w:rPr>
          <w:sz w:val="20"/>
          <w:szCs w:val="20"/>
          <w:color w:val="auto"/>
        </w:rPr>
      </w:pPr>
    </w:p>
    <w:p>
      <w:pPr>
        <w:ind w:left="1600"/>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filed on November 5, 2021).</w:t>
        </w:r>
      </w:hyperlink>
    </w:p>
    <w:p>
      <w:pPr>
        <w:spacing w:after="0" w:line="169" w:lineRule="exact"/>
        <w:rPr>
          <w:sz w:val="20"/>
          <w:szCs w:val="20"/>
          <w:color w:val="auto"/>
        </w:rPr>
      </w:pPr>
    </w:p>
    <w:p>
      <w:pPr>
        <w:jc w:val="right"/>
        <w:ind w:left="1080"/>
        <w:spacing w:after="0" w:line="233" w:lineRule="auto"/>
        <w:rPr>
          <w:rFonts w:ascii="Arial" w:cs="Arial" w:eastAsia="Arial" w:hAnsi="Arial"/>
          <w:sz w:val="17"/>
          <w:szCs w:val="17"/>
          <w:u w:val="single" w:color="auto"/>
          <w:color w:val="0000FF"/>
        </w:rPr>
      </w:pPr>
      <w:hyperlink r:id="rId96">
        <w:r>
          <w:rPr>
            <w:rFonts w:ascii="Arial" w:cs="Arial" w:eastAsia="Arial" w:hAnsi="Arial"/>
            <w:sz w:val="17"/>
            <w:szCs w:val="17"/>
            <w:u w:val="single" w:color="auto"/>
            <w:color w:val="0000FF"/>
          </w:rPr>
          <w:t>3.2   Amended and Restated Bylaws of United Community Banks, Inc., as amended (incorporated herein by reference to Exhibit 3.2 to</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United Community Banks, Inc.’s Quarterly Report on Form 10-Q for the period ended March 31, 2015, filed with the SEC on May</w:t>
        </w:r>
      </w:hyperlink>
    </w:p>
    <w:p>
      <w:pPr>
        <w:spacing w:after="0" w:line="1" w:lineRule="exact"/>
        <w:rPr>
          <w:sz w:val="20"/>
          <w:szCs w:val="20"/>
          <w:color w:val="auto"/>
        </w:rPr>
      </w:pPr>
    </w:p>
    <w:p>
      <w:pPr>
        <w:ind w:left="160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11, 2015).</w:t>
        </w:r>
      </w:hyperlink>
    </w:p>
    <w:p>
      <w:pPr>
        <w:spacing w:after="0" w:line="169" w:lineRule="exact"/>
        <w:rPr>
          <w:sz w:val="20"/>
          <w:szCs w:val="20"/>
          <w:color w:val="auto"/>
        </w:rPr>
      </w:pPr>
    </w:p>
    <w:p>
      <w:pPr>
        <w:ind w:left="1600" w:hanging="606"/>
        <w:spacing w:after="0" w:line="235" w:lineRule="auto"/>
        <w:tabs>
          <w:tab w:leader="none" w:pos="158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8"/>
          <w:szCs w:val="18"/>
          <w:u w:val="single" w:color="auto"/>
          <w:color w:val="0000FF"/>
        </w:rPr>
        <w:t>Certification by H. Lynn Harton, President and Chief Executive Officer of United Community Banks, Inc., pursuant to Exchange Act Rule 13a-14(a).</w:t>
      </w:r>
    </w:p>
    <w:p>
      <w:pPr>
        <w:spacing w:after="0" w:line="175" w:lineRule="exact"/>
        <w:rPr>
          <w:sz w:val="20"/>
          <w:szCs w:val="20"/>
          <w:color w:val="auto"/>
        </w:rPr>
      </w:pPr>
    </w:p>
    <w:p>
      <w:pPr>
        <w:ind w:left="1600" w:hanging="606"/>
        <w:spacing w:after="0" w:line="235" w:lineRule="auto"/>
        <w:tabs>
          <w:tab w:leader="none" w:pos="158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8"/>
          <w:szCs w:val="18"/>
          <w:u w:val="single" w:color="auto"/>
          <w:color w:val="0000FF"/>
        </w:rPr>
        <w:t>Certification by Jefferson L. Harralson, Executive Vice President and Chief Financial Officer of United Community Banks, Inc., pursuant to Exchange Act Rule 13a-14(a).</w:t>
      </w:r>
    </w:p>
    <w:p>
      <w:pPr>
        <w:spacing w:after="0" w:line="175" w:lineRule="exact"/>
        <w:rPr>
          <w:sz w:val="20"/>
          <w:szCs w:val="20"/>
          <w:color w:val="auto"/>
        </w:rPr>
      </w:pPr>
    </w:p>
    <w:p>
      <w:pPr>
        <w:ind w:left="1140"/>
        <w:spacing w:after="0"/>
        <w:tabs>
          <w:tab w:leader="none" w:pos="1580" w:val="left"/>
        </w:tabs>
        <w:rPr>
          <w:sz w:val="20"/>
          <w:szCs w:val="20"/>
          <w:color w:val="auto"/>
        </w:rPr>
      </w:pPr>
      <w:r>
        <w:rPr>
          <w:rFonts w:ascii="Arial" w:cs="Arial" w:eastAsia="Arial" w:hAnsi="Arial"/>
          <w:sz w:val="18"/>
          <w:szCs w:val="18"/>
          <w:u w:val="single" w:color="auto"/>
          <w:color w:val="0000FF"/>
        </w:rPr>
        <w:t>32</w:t>
      </w:r>
      <w:r>
        <w:rPr>
          <w:sz w:val="20"/>
          <w:szCs w:val="20"/>
          <w:color w:val="auto"/>
        </w:rPr>
        <w:tab/>
      </w:r>
      <w:r>
        <w:rPr>
          <w:rFonts w:ascii="Arial" w:cs="Arial" w:eastAsia="Arial" w:hAnsi="Arial"/>
          <w:sz w:val="18"/>
          <w:szCs w:val="18"/>
          <w:u w:val="single" w:color="auto"/>
          <w:color w:val="0000FF"/>
        </w:rPr>
        <w:t>Certification of CEO and CFO pursuant to 18 U.S.C. Section 1350.</w:t>
      </w:r>
    </w:p>
    <w:p>
      <w:pPr>
        <w:spacing w:after="0" w:line="185" w:lineRule="exact"/>
        <w:rPr>
          <w:sz w:val="20"/>
          <w:szCs w:val="20"/>
          <w:color w:val="auto"/>
        </w:rPr>
      </w:pPr>
    </w:p>
    <w:p>
      <w:pPr>
        <w:jc w:val="both"/>
        <w:ind w:left="1600" w:hanging="557"/>
        <w:spacing w:after="0" w:line="248" w:lineRule="auto"/>
        <w:tabs>
          <w:tab w:leader="none" w:pos="1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Interactive data files for United Community Bank, Inc.’s Quarterly Report on Form 10-Q for the quarter ended September 30, 2023, formatted in Inline XBRL: </w:t>
      </w:r>
      <w:r>
        <w:rPr>
          <w:rFonts w:ascii="Arial" w:cs="Arial" w:eastAsia="Arial" w:hAnsi="Arial"/>
          <w:sz w:val="16"/>
          <w:szCs w:val="16"/>
          <w:color w:val="212529"/>
        </w:rPr>
        <w:t>(i) the Consolidated Balance Sheets (unaudited); (ii) the Consolidated Statements of Income (unaudited);</w:t>
      </w:r>
    </w:p>
    <w:p>
      <w:pPr>
        <w:jc w:val="both"/>
        <w:ind w:left="1600" w:firstLine="5"/>
        <w:spacing w:after="0" w:line="218" w:lineRule="auto"/>
        <w:tabs>
          <w:tab w:leader="none" w:pos="1981" w:val="left"/>
        </w:tabs>
        <w:numPr>
          <w:ilvl w:val="1"/>
          <w:numId w:val="23"/>
        </w:numPr>
        <w:rPr>
          <w:rFonts w:ascii="Arial" w:cs="Arial" w:eastAsia="Arial" w:hAnsi="Arial"/>
          <w:sz w:val="18"/>
          <w:szCs w:val="18"/>
          <w:color w:val="212529"/>
        </w:rPr>
      </w:pPr>
      <w:r>
        <w:rPr>
          <w:rFonts w:ascii="Arial" w:cs="Arial" w:eastAsia="Arial" w:hAnsi="Arial"/>
          <w:sz w:val="18"/>
          <w:szCs w:val="18"/>
          <w:color w:val="212529"/>
        </w:rPr>
        <w:t>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Arial" w:cs="Arial" w:eastAsia="Arial" w:hAnsi="Arial"/>
          <w:sz w:val="18"/>
          <w:szCs w:val="18"/>
          <w:color w:val="000000"/>
        </w:rPr>
        <w:t>.</w:t>
      </w:r>
    </w:p>
    <w:p>
      <w:pPr>
        <w:spacing w:after="0" w:line="176" w:lineRule="exact"/>
        <w:rPr>
          <w:sz w:val="20"/>
          <w:szCs w:val="20"/>
          <w:color w:val="auto"/>
        </w:rPr>
      </w:pPr>
    </w:p>
    <w:p>
      <w:pPr>
        <w:ind w:left="1600" w:hanging="557"/>
        <w:spacing w:after="0" w:line="235" w:lineRule="auto"/>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cover page from United Community Bank’s Quarterly Report on Form 10-Q for the quarter ended September 30, 2023 (formatted in Inline XBRL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November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931"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3, 2023</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891" w:right="339"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3, 2023</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2023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30"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Lynn Harton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H. Lynn Harton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November 3, 2023</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Jefferson L. Harralson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November 3, 2023</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4"/>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lvl w:ilvl="1">
      <w:lvlJc w:val="left"/>
      <w:lvlText w:val="(%2)"/>
      <w:numFmt w:val="lowerLetter"/>
      <w:start w:val="2"/>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Letter"/>
      <w:start w:val="4"/>
    </w:lvl>
  </w:abstractNum>
  <w:abstractNum w:abstractNumId="22">
    <w:nsid w:val="79838CB2"/>
    <w:multiLevelType w:val="hybridMultilevel"/>
    <w:lvl w:ilvl="0">
      <w:lvlJc w:val="left"/>
      <w:lvlText w:val="%1"/>
      <w:numFmt w:val="decimal"/>
      <w:start w:val="101"/>
    </w:lvl>
    <w:lvl w:ilvl="1">
      <w:lvlJc w:val="left"/>
      <w:lvlText w:val="(%2)"/>
      <w:numFmt w:val="lowerRoman"/>
      <w:start w:val="3"/>
    </w:lvl>
  </w:abstractNum>
  <w:abstractNum w:abstractNumId="23">
    <w:nsid w:val="4353D0CD"/>
    <w:multiLevelType w:val="hybridMultilevel"/>
    <w:lvl w:ilvl="0">
      <w:lvlJc w:val="left"/>
      <w:lvlText w:val="%1"/>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94" Type="http://schemas.openxmlformats.org/officeDocument/2006/relationships/hyperlink" Target="http://www.sec.gov/Archives/edgar/data/857855/000110465923022325/tm236951d1_ex2-1.htm" TargetMode="External"/><Relationship Id="rId95" Type="http://schemas.openxmlformats.org/officeDocument/2006/relationships/hyperlink" Target="http://www.sec.gov/Archives/edgar/data/857855/000085785521000109/ucbi93021ex31restatedartic.htm" TargetMode="External"/><Relationship Id="rId96"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2023-11-03T11:13:50Z</dcterms:created>
  <dcterms:modified xsi:type="dcterms:W3CDTF">2023-11-03T11:13:50Z</dcterms:modified>
</cp:coreProperties>
</file>