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ind w:left="5160"/>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001-35095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UNITED COMMUNITY BANKS,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8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1"/>
              </w:rPr>
              <w:t>Georgia</w:t>
            </w:r>
          </w:p>
        </w:tc>
        <w:tc>
          <w:tcPr>
            <w:tcW w:w="4560" w:type="dxa"/>
            <w:vAlign w:val="bottom"/>
          </w:tcPr>
          <w:p>
            <w:pPr>
              <w:jc w:val="right"/>
              <w:ind w:right="1410"/>
              <w:spacing w:after="0"/>
              <w:rPr>
                <w:sz w:val="20"/>
                <w:szCs w:val="20"/>
                <w:color w:val="auto"/>
              </w:rPr>
            </w:pPr>
            <w:r>
              <w:rPr>
                <w:rFonts w:ascii="Arial" w:cs="Arial" w:eastAsia="Arial" w:hAnsi="Arial"/>
                <w:sz w:val="18"/>
                <w:szCs w:val="18"/>
                <w:b w:val="1"/>
                <w:bCs w:val="1"/>
                <w:color w:val="auto"/>
              </w:rPr>
              <w:t>58-1807304</w:t>
            </w:r>
          </w:p>
        </w:tc>
      </w:tr>
      <w:tr>
        <w:trPr>
          <w:trHeight w:val="191"/>
        </w:trPr>
        <w:tc>
          <w:tcPr>
            <w:tcW w:w="60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2"/>
              </w:rPr>
              <w:t>(State or other jurisdiction of incorporation or organization)</w:t>
            </w:r>
          </w:p>
        </w:tc>
        <w:tc>
          <w:tcPr>
            <w:tcW w:w="800" w:type="dxa"/>
            <w:vAlign w:val="bottom"/>
          </w:tcPr>
          <w:p>
            <w:pPr>
              <w:spacing w:after="0"/>
              <w:rPr>
                <w:sz w:val="16"/>
                <w:szCs w:val="16"/>
                <w:color w:val="auto"/>
              </w:rPr>
            </w:pPr>
          </w:p>
        </w:tc>
        <w:tc>
          <w:tcPr>
            <w:tcW w:w="4560" w:type="dxa"/>
            <w:vAlign w:val="bottom"/>
            <w:tcBorders>
              <w:top w:val="single" w:sz="8" w:color="auto"/>
            </w:tcBorders>
          </w:tcPr>
          <w:p>
            <w:pPr>
              <w:jc w:val="center"/>
              <w:ind w:left="610"/>
              <w:spacing w:after="0" w:line="191" w:lineRule="exact"/>
              <w:rPr>
                <w:sz w:val="20"/>
                <w:szCs w:val="20"/>
                <w:color w:val="auto"/>
              </w:rPr>
            </w:pPr>
            <w:r>
              <w:rPr>
                <w:rFonts w:ascii="Arial" w:cs="Arial" w:eastAsia="Arial" w:hAnsi="Arial"/>
                <w:sz w:val="18"/>
                <w:szCs w:val="18"/>
                <w:color w:val="auto"/>
                <w:w w:val="94"/>
              </w:rPr>
              <w:t>(I.R.S. Employer Identification No.)</w:t>
            </w:r>
          </w:p>
        </w:tc>
      </w:tr>
      <w:tr>
        <w:trPr>
          <w:trHeight w:val="234"/>
        </w:trPr>
        <w:tc>
          <w:tcPr>
            <w:tcW w:w="686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w w:val="91"/>
              </w:rPr>
              <w:t>125 Highway 515 East, Blairsville, Georgia</w:t>
            </w:r>
          </w:p>
        </w:tc>
        <w:tc>
          <w:tcPr>
            <w:tcW w:w="4560" w:type="dxa"/>
            <w:vAlign w:val="bottom"/>
          </w:tcPr>
          <w:p>
            <w:pPr>
              <w:jc w:val="right"/>
              <w:ind w:right="1610"/>
              <w:spacing w:after="0"/>
              <w:rPr>
                <w:sz w:val="20"/>
                <w:szCs w:val="20"/>
                <w:color w:val="auto"/>
              </w:rPr>
            </w:pPr>
            <w:r>
              <w:rPr>
                <w:rFonts w:ascii="Arial" w:cs="Arial" w:eastAsia="Arial" w:hAnsi="Arial"/>
                <w:sz w:val="18"/>
                <w:szCs w:val="18"/>
                <w:b w:val="1"/>
                <w:bCs w:val="1"/>
                <w:color w:val="auto"/>
              </w:rPr>
              <w:t>30512</w:t>
            </w:r>
          </w:p>
        </w:tc>
      </w:tr>
      <w:tr>
        <w:trPr>
          <w:trHeight w:val="224"/>
        </w:trPr>
        <w:tc>
          <w:tcPr>
            <w:tcW w:w="6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19"/>
                <w:szCs w:val="19"/>
                <w:color w:val="auto"/>
              </w:rPr>
            </w:pPr>
          </w:p>
        </w:tc>
        <w:tc>
          <w:tcPr>
            <w:tcW w:w="456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(706) 781-2265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exchange on which registered: Nasdaq Global Select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$1.00 par value</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tabs>
          <w:tab w:leader="none" w:pos="8480" w:val="left"/>
        </w:tabs>
        <w:rPr>
          <w:sz w:val="20"/>
          <w:szCs w:val="20"/>
          <w:color w:val="auto"/>
        </w:rPr>
      </w:pPr>
      <w:r>
        <w:rPr>
          <w:rFonts w:ascii="Arial" w:cs="Arial" w:eastAsia="Arial" w:hAnsi="Arial"/>
          <w:sz w:val="18"/>
          <w:szCs w:val="18"/>
          <w:color w:val="auto"/>
        </w:rPr>
        <w:t>Indicate by check mark if the registrant is not required to file reports pursuant to Sections 13 or 15(d)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8" w:lineRule="exact"/>
        <w:rPr>
          <w:sz w:val="24"/>
          <w:szCs w:val="24"/>
          <w:color w:val="auto"/>
        </w:rPr>
      </w:pPr>
    </w:p>
    <w:p>
      <w:pPr>
        <w:jc w:val="both"/>
        <w:spacing w:after="0" w:line="27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w:t>
      </w:r>
    </w:p>
    <w:p>
      <w:pPr>
        <w:spacing w:after="0" w:line="207" w:lineRule="exact"/>
        <w:tabs>
          <w:tab w:leader="none" w:pos="288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w:t>
      </w:r>
    </w:p>
    <w:p>
      <w:pPr>
        <w:spacing w:after="0" w:line="1" w:lineRule="exact"/>
        <w:rPr>
          <w:sz w:val="24"/>
          <w:szCs w:val="24"/>
          <w:color w:val="auto"/>
        </w:rPr>
      </w:pPr>
    </w:p>
    <w:p>
      <w:pPr>
        <w:spacing w:after="0" w:line="207" w:lineRule="exact"/>
        <w:tabs>
          <w:tab w:leader="none" w:pos="4240" w:val="left"/>
        </w:tabs>
        <w:rPr>
          <w:sz w:val="20"/>
          <w:szCs w:val="20"/>
          <w:color w:val="auto"/>
        </w:rPr>
      </w:pPr>
      <w:r>
        <w:rPr>
          <w:rFonts w:ascii="Arial" w:cs="Arial" w:eastAsia="Arial" w:hAnsi="Arial"/>
          <w:sz w:val="18"/>
          <w:szCs w:val="18"/>
          <w:color w:val="auto"/>
        </w:rPr>
        <w:t>registrant was required to submit and post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760" w:right="239" w:bottom="856" w:gutter="0" w:footer="0" w:header="0"/>
        </w:sectPr>
      </w:pPr>
    </w:p>
    <w:p>
      <w:pPr>
        <w:spacing w:after="0" w:line="114" w:lineRule="exact"/>
        <w:rPr>
          <w:sz w:val="24"/>
          <w:szCs w:val="24"/>
          <w:color w:val="auto"/>
        </w:rPr>
      </w:pPr>
    </w:p>
    <w:p>
      <w:pPr>
        <w:ind w:left="1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ind w:left="17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ind w:left="88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6700" w:space="720"/>
            <w:col w:w="4000"/>
          </w:cols>
          <w:pgMar w:left="240" w:top="760" w:right="239" w:bottom="856"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7440" w:space="380"/>
            <w:col w:w="3600"/>
          </w:cols>
          <w:pgMar w:left="240" w:top="760" w:right="239" w:bottom="856" w:gutter="0" w:footer="0" w:header="0"/>
          <w:type w:val="continuous"/>
        </w:sectPr>
      </w:pPr>
    </w:p>
    <w:p>
      <w:pPr>
        <w:spacing w:after="0" w:line="48"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$1,076,328,754 (based on shares held by non-affiliates at $20.87 per share, the closing stock price on the Nasdaq stock market on June 30, 2015).</w:t>
      </w:r>
    </w:p>
    <w:p>
      <w:pPr>
        <w:spacing w:after="0" w:line="187"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As of January 31, 2016, 71,501,103 shares of common stock were issued and outstanding including 66,215,587 voting shares and 5,285,516 non-voting shares. Also outstanding were presently exercisable options to acquire 235,771 shares, presently exercisable warrants to acquire 219,909 shares and 521,630 shares issuable under United Community Banks, Inc.’s deferred compensation plan.</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registrant’s Proxy Statement for the 2016 Annual Meeting of Shareholders are incorporated herein into Part III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856"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40" w:type="dxa"/>
            <w:vAlign w:val="bottom"/>
            <w:gridSpan w:val="8"/>
          </w:tcPr>
          <w:p>
            <w:pPr>
              <w:ind w:left="340"/>
              <w:spacing w:after="0"/>
              <w:rPr>
                <w:sz w:val="20"/>
                <w:szCs w:val="20"/>
                <w:color w:val="auto"/>
              </w:rPr>
            </w:pPr>
            <w:r>
              <w:rPr>
                <w:rFonts w:ascii="Arial" w:cs="Arial" w:eastAsia="Arial" w:hAnsi="Arial"/>
                <w:sz w:val="18"/>
                <w:szCs w:val="18"/>
                <w:b w:val="1"/>
                <w:bCs w:val="1"/>
                <w:color w:val="auto"/>
              </w:rPr>
              <w:t>INDEX</w:t>
            </w:r>
          </w:p>
        </w:tc>
        <w:tc>
          <w:tcPr>
            <w:tcW w:w="900" w:type="dxa"/>
            <w:vAlign w:val="bottom"/>
          </w:tcPr>
          <w:p>
            <w:pPr>
              <w:spacing w:after="0"/>
              <w:rPr>
                <w:sz w:val="20"/>
                <w:szCs w:val="20"/>
                <w:color w:val="auto"/>
              </w:rPr>
            </w:pPr>
          </w:p>
        </w:tc>
      </w:tr>
      <w:tr>
        <w:trPr>
          <w:trHeight w:val="392"/>
        </w:trPr>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720" w:type="dxa"/>
            <w:vAlign w:val="bottom"/>
            <w:gridSpan w:val="8"/>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540" w:type="dxa"/>
            <w:vAlign w:val="bottom"/>
            <w:gridSpan w:val="5"/>
          </w:tcPr>
          <w:p>
            <w:pPr>
              <w:spacing w:after="0"/>
              <w:rPr>
                <w:rFonts w:ascii="Arial" w:cs="Arial" w:eastAsia="Arial" w:hAnsi="Arial"/>
                <w:sz w:val="18"/>
                <w:szCs w:val="18"/>
                <w:b w:val="1"/>
                <w:bCs w:val="1"/>
                <w:color w:val="0000EE"/>
                <w:w w:val="87"/>
              </w:rPr>
            </w:pPr>
            <w:hyperlink w:anchor="page3">
              <w:r>
                <w:rPr>
                  <w:rFonts w:ascii="Arial" w:cs="Arial" w:eastAsia="Arial" w:hAnsi="Arial"/>
                  <w:sz w:val="18"/>
                  <w:szCs w:val="18"/>
                  <w:b w:val="1"/>
                  <w:bCs w:val="1"/>
                  <w:color w:val="0000EE"/>
                  <w:w w:val="87"/>
                </w:rPr>
                <w:t>Item 1.</w:t>
              </w:r>
            </w:hyperlink>
          </w:p>
        </w:tc>
        <w:tc>
          <w:tcPr>
            <w:tcW w:w="440" w:type="dxa"/>
            <w:vAlign w:val="bottom"/>
            <w:gridSpan w:val="4"/>
          </w:tcPr>
          <w:p>
            <w:pPr>
              <w:spacing w:after="0"/>
              <w:rPr>
                <w:sz w:val="24"/>
                <w:szCs w:val="24"/>
                <w:color w:val="auto"/>
              </w:rPr>
            </w:pPr>
          </w:p>
        </w:tc>
        <w:tc>
          <w:tcPr>
            <w:tcW w:w="9200" w:type="dxa"/>
            <w:vAlign w:val="bottom"/>
            <w:gridSpan w:val="18"/>
          </w:tcPr>
          <w:p>
            <w:pPr>
              <w:ind w:left="18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Business</w:t>
              </w:r>
            </w:hyperlink>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gridSpan w:val="7"/>
          </w:tcPr>
          <w:p>
            <w:pPr>
              <w:spacing w:after="0" w:line="196" w:lineRule="exact"/>
              <w:rPr>
                <w:rFonts w:ascii="Arial" w:cs="Arial" w:eastAsia="Arial" w:hAnsi="Arial"/>
                <w:sz w:val="18"/>
                <w:szCs w:val="18"/>
                <w:b w:val="1"/>
                <w:bCs w:val="1"/>
                <w:color w:val="0000EE"/>
                <w:w w:val="85"/>
              </w:rPr>
            </w:pPr>
            <w:hyperlink w:anchor="page16">
              <w:r>
                <w:rPr>
                  <w:rFonts w:ascii="Arial" w:cs="Arial" w:eastAsia="Arial" w:hAnsi="Arial"/>
                  <w:sz w:val="18"/>
                  <w:szCs w:val="18"/>
                  <w:b w:val="1"/>
                  <w:bCs w:val="1"/>
                  <w:color w:val="0000EE"/>
                  <w:w w:val="85"/>
                </w:rPr>
                <w:t>Item 1A.</w:t>
              </w:r>
            </w:hyperlink>
          </w:p>
        </w:tc>
        <w:tc>
          <w:tcPr>
            <w:tcW w:w="340" w:type="dxa"/>
            <w:vAlign w:val="bottom"/>
            <w:gridSpan w:val="2"/>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Risk Factors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gridSpan w:val="7"/>
          </w:tcPr>
          <w:p>
            <w:pPr>
              <w:spacing w:after="0" w:line="196" w:lineRule="exact"/>
              <w:rPr>
                <w:rFonts w:ascii="Arial" w:cs="Arial" w:eastAsia="Arial" w:hAnsi="Arial"/>
                <w:sz w:val="18"/>
                <w:szCs w:val="18"/>
                <w:b w:val="1"/>
                <w:bCs w:val="1"/>
                <w:color w:val="0000EE"/>
                <w:w w:val="85"/>
              </w:rPr>
            </w:pPr>
            <w:hyperlink w:anchor="page22">
              <w:r>
                <w:rPr>
                  <w:rFonts w:ascii="Arial" w:cs="Arial" w:eastAsia="Arial" w:hAnsi="Arial"/>
                  <w:sz w:val="18"/>
                  <w:szCs w:val="18"/>
                  <w:b w:val="1"/>
                  <w:bCs w:val="1"/>
                  <w:color w:val="0000EE"/>
                  <w:w w:val="85"/>
                </w:rPr>
                <w:t>Item 1B.</w:t>
              </w:r>
            </w:hyperlink>
          </w:p>
        </w:tc>
        <w:tc>
          <w:tcPr>
            <w:tcW w:w="340" w:type="dxa"/>
            <w:vAlign w:val="bottom"/>
            <w:gridSpan w:val="2"/>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Unresolved Staff Comments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40" w:type="dxa"/>
            <w:vAlign w:val="bottom"/>
            <w:gridSpan w:val="5"/>
          </w:tcPr>
          <w:p>
            <w:pPr>
              <w:spacing w:after="0" w:line="196" w:lineRule="exact"/>
              <w:rPr>
                <w:rFonts w:ascii="Arial" w:cs="Arial" w:eastAsia="Arial" w:hAnsi="Arial"/>
                <w:sz w:val="18"/>
                <w:szCs w:val="18"/>
                <w:b w:val="1"/>
                <w:bCs w:val="1"/>
                <w:color w:val="0000EE"/>
                <w:w w:val="87"/>
              </w:rPr>
            </w:pPr>
            <w:hyperlink w:anchor="page22">
              <w:r>
                <w:rPr>
                  <w:rFonts w:ascii="Arial" w:cs="Arial" w:eastAsia="Arial" w:hAnsi="Arial"/>
                  <w:sz w:val="18"/>
                  <w:szCs w:val="18"/>
                  <w:b w:val="1"/>
                  <w:bCs w:val="1"/>
                  <w:color w:val="0000EE"/>
                  <w:w w:val="87"/>
                </w:rPr>
                <w:t>Item 2.</w:t>
              </w:r>
            </w:hyperlink>
          </w:p>
        </w:tc>
        <w:tc>
          <w:tcPr>
            <w:tcW w:w="10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Properties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40" w:type="dxa"/>
            <w:vAlign w:val="bottom"/>
            <w:gridSpan w:val="5"/>
          </w:tcPr>
          <w:p>
            <w:pPr>
              <w:spacing w:after="0" w:line="196" w:lineRule="exact"/>
              <w:rPr>
                <w:rFonts w:ascii="Arial" w:cs="Arial" w:eastAsia="Arial" w:hAnsi="Arial"/>
                <w:sz w:val="18"/>
                <w:szCs w:val="18"/>
                <w:b w:val="1"/>
                <w:bCs w:val="1"/>
                <w:color w:val="0000EE"/>
                <w:w w:val="87"/>
              </w:rPr>
            </w:pPr>
            <w:hyperlink w:anchor="page22">
              <w:r>
                <w:rPr>
                  <w:rFonts w:ascii="Arial" w:cs="Arial" w:eastAsia="Arial" w:hAnsi="Arial"/>
                  <w:sz w:val="18"/>
                  <w:szCs w:val="18"/>
                  <w:b w:val="1"/>
                  <w:bCs w:val="1"/>
                  <w:color w:val="0000EE"/>
                  <w:w w:val="87"/>
                </w:rPr>
                <w:t>Item 3.</w:t>
              </w:r>
            </w:hyperlink>
          </w:p>
        </w:tc>
        <w:tc>
          <w:tcPr>
            <w:tcW w:w="440" w:type="dxa"/>
            <w:vAlign w:val="bottom"/>
            <w:gridSpan w:val="4"/>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Legal Proceedings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40" w:type="dxa"/>
            <w:vAlign w:val="bottom"/>
            <w:gridSpan w:val="5"/>
          </w:tcPr>
          <w:p>
            <w:pPr>
              <w:spacing w:after="0" w:line="196" w:lineRule="exact"/>
              <w:rPr>
                <w:rFonts w:ascii="Arial" w:cs="Arial" w:eastAsia="Arial" w:hAnsi="Arial"/>
                <w:sz w:val="18"/>
                <w:szCs w:val="18"/>
                <w:b w:val="1"/>
                <w:bCs w:val="1"/>
                <w:color w:val="0000EE"/>
                <w:w w:val="87"/>
              </w:rPr>
            </w:pPr>
            <w:hyperlink w:anchor="page22">
              <w:r>
                <w:rPr>
                  <w:rFonts w:ascii="Arial" w:cs="Arial" w:eastAsia="Arial" w:hAnsi="Arial"/>
                  <w:sz w:val="18"/>
                  <w:szCs w:val="18"/>
                  <w:b w:val="1"/>
                  <w:bCs w:val="1"/>
                  <w:color w:val="0000EE"/>
                  <w:w w:val="87"/>
                </w:rPr>
                <w:t>Item 4.</w:t>
              </w:r>
            </w:hyperlink>
          </w:p>
        </w:tc>
        <w:tc>
          <w:tcPr>
            <w:tcW w:w="440" w:type="dxa"/>
            <w:vAlign w:val="bottom"/>
            <w:gridSpan w:val="4"/>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Mine Safety Disclosures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20" w:type="dxa"/>
            <w:vAlign w:val="bottom"/>
            <w:gridSpan w:val="10"/>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w:t>
              </w:r>
            </w:hyperlink>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540" w:type="dxa"/>
            <w:vAlign w:val="bottom"/>
            <w:gridSpan w:val="5"/>
          </w:tcPr>
          <w:p>
            <w:pPr>
              <w:spacing w:after="0"/>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Item 5.</w:t>
              </w:r>
            </w:hyperlink>
          </w:p>
        </w:tc>
        <w:tc>
          <w:tcPr>
            <w:tcW w:w="440" w:type="dxa"/>
            <w:vAlign w:val="bottom"/>
            <w:gridSpan w:val="4"/>
          </w:tcPr>
          <w:p>
            <w:pPr>
              <w:spacing w:after="0"/>
              <w:rPr>
                <w:sz w:val="24"/>
                <w:szCs w:val="24"/>
                <w:color w:val="auto"/>
              </w:rPr>
            </w:pPr>
          </w:p>
        </w:tc>
        <w:tc>
          <w:tcPr>
            <w:tcW w:w="9200" w:type="dxa"/>
            <w:vAlign w:val="bottom"/>
            <w:gridSpan w:val="18"/>
          </w:tcPr>
          <w:p>
            <w:pPr>
              <w:ind w:left="180"/>
              <w:spacing w:after="0"/>
              <w:rPr>
                <w:rFonts w:ascii="Arial" w:cs="Arial" w:eastAsia="Arial" w:hAnsi="Arial"/>
                <w:sz w:val="18"/>
                <w:szCs w:val="18"/>
                <w:b w:val="1"/>
                <w:bCs w:val="1"/>
                <w:color w:val="0000EE"/>
                <w:w w:val="97"/>
              </w:rPr>
            </w:pPr>
            <w:hyperlink w:anchor="page23">
              <w:r>
                <w:rPr>
                  <w:rFonts w:ascii="Arial" w:cs="Arial" w:eastAsia="Arial" w:hAnsi="Arial"/>
                  <w:sz w:val="18"/>
                  <w:szCs w:val="18"/>
                  <w:b w:val="1"/>
                  <w:bCs w:val="1"/>
                  <w:color w:val="0000EE"/>
                  <w:w w:val="97"/>
                </w:rPr>
                <w:t>Market for United’s Common Equity, Related Stockholder Matters and Issuer Purchases of Equity Securities</w:t>
              </w:r>
            </w:hyperlink>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40" w:type="dxa"/>
            <w:vAlign w:val="bottom"/>
            <w:gridSpan w:val="5"/>
          </w:tcPr>
          <w:p>
            <w:pPr>
              <w:spacing w:after="0" w:line="196" w:lineRule="exact"/>
              <w:rPr>
                <w:rFonts w:ascii="Arial" w:cs="Arial" w:eastAsia="Arial" w:hAnsi="Arial"/>
                <w:sz w:val="18"/>
                <w:szCs w:val="18"/>
                <w:b w:val="1"/>
                <w:bCs w:val="1"/>
                <w:color w:val="0000EE"/>
                <w:w w:val="87"/>
              </w:rPr>
            </w:pPr>
            <w:hyperlink w:anchor="page25">
              <w:r>
                <w:rPr>
                  <w:rFonts w:ascii="Arial" w:cs="Arial" w:eastAsia="Arial" w:hAnsi="Arial"/>
                  <w:sz w:val="18"/>
                  <w:szCs w:val="18"/>
                  <w:b w:val="1"/>
                  <w:bCs w:val="1"/>
                  <w:color w:val="0000EE"/>
                  <w:w w:val="87"/>
                </w:rPr>
                <w:t>Item 6.</w:t>
              </w:r>
            </w:hyperlink>
          </w:p>
        </w:tc>
        <w:tc>
          <w:tcPr>
            <w:tcW w:w="440" w:type="dxa"/>
            <w:vAlign w:val="bottom"/>
            <w:gridSpan w:val="4"/>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Selected Financial Data</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40" w:type="dxa"/>
            <w:vAlign w:val="bottom"/>
            <w:gridSpan w:val="5"/>
          </w:tcPr>
          <w:p>
            <w:pPr>
              <w:spacing w:after="0" w:line="196" w:lineRule="exact"/>
              <w:rPr>
                <w:rFonts w:ascii="Arial" w:cs="Arial" w:eastAsia="Arial" w:hAnsi="Arial"/>
                <w:sz w:val="18"/>
                <w:szCs w:val="18"/>
                <w:b w:val="1"/>
                <w:bCs w:val="1"/>
                <w:color w:val="0000EE"/>
                <w:w w:val="87"/>
              </w:rPr>
            </w:pPr>
            <w:hyperlink w:anchor="page29">
              <w:r>
                <w:rPr>
                  <w:rFonts w:ascii="Arial" w:cs="Arial" w:eastAsia="Arial" w:hAnsi="Arial"/>
                  <w:sz w:val="18"/>
                  <w:szCs w:val="18"/>
                  <w:b w:val="1"/>
                  <w:bCs w:val="1"/>
                  <w:color w:val="0000EE"/>
                  <w:w w:val="87"/>
                </w:rPr>
                <w:t>Item 7.</w:t>
              </w:r>
            </w:hyperlink>
          </w:p>
        </w:tc>
        <w:tc>
          <w:tcPr>
            <w:tcW w:w="440" w:type="dxa"/>
            <w:vAlign w:val="bottom"/>
            <w:gridSpan w:val="4"/>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Management’s Discussion and Analysis of Financial Condition and Results of Operations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27</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gridSpan w:val="7"/>
          </w:tcPr>
          <w:p>
            <w:pPr>
              <w:spacing w:after="0" w:line="196" w:lineRule="exact"/>
              <w:rPr>
                <w:rFonts w:ascii="Arial" w:cs="Arial" w:eastAsia="Arial" w:hAnsi="Arial"/>
                <w:sz w:val="18"/>
                <w:szCs w:val="18"/>
                <w:b w:val="1"/>
                <w:bCs w:val="1"/>
                <w:color w:val="0000EE"/>
                <w:w w:val="85"/>
              </w:rPr>
            </w:pPr>
            <w:hyperlink w:anchor="page58">
              <w:r>
                <w:rPr>
                  <w:rFonts w:ascii="Arial" w:cs="Arial" w:eastAsia="Arial" w:hAnsi="Arial"/>
                  <w:sz w:val="18"/>
                  <w:szCs w:val="18"/>
                  <w:b w:val="1"/>
                  <w:bCs w:val="1"/>
                  <w:color w:val="0000EE"/>
                  <w:w w:val="85"/>
                </w:rPr>
                <w:t>Item 7A.</w:t>
              </w:r>
            </w:hyperlink>
          </w:p>
        </w:tc>
        <w:tc>
          <w:tcPr>
            <w:tcW w:w="340" w:type="dxa"/>
            <w:vAlign w:val="bottom"/>
            <w:gridSpan w:val="2"/>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Quantitative and Qualitative Disclosures About Market Risk</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56</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40" w:type="dxa"/>
            <w:vAlign w:val="bottom"/>
            <w:gridSpan w:val="5"/>
          </w:tcPr>
          <w:p>
            <w:pPr>
              <w:spacing w:after="0" w:line="196" w:lineRule="exact"/>
              <w:rPr>
                <w:rFonts w:ascii="Arial" w:cs="Arial" w:eastAsia="Arial" w:hAnsi="Arial"/>
                <w:sz w:val="18"/>
                <w:szCs w:val="18"/>
                <w:b w:val="1"/>
                <w:bCs w:val="1"/>
                <w:color w:val="0000EE"/>
                <w:w w:val="87"/>
              </w:rPr>
            </w:pPr>
            <w:hyperlink w:anchor="page59">
              <w:r>
                <w:rPr>
                  <w:rFonts w:ascii="Arial" w:cs="Arial" w:eastAsia="Arial" w:hAnsi="Arial"/>
                  <w:sz w:val="18"/>
                  <w:szCs w:val="18"/>
                  <w:b w:val="1"/>
                  <w:bCs w:val="1"/>
                  <w:color w:val="0000EE"/>
                  <w:w w:val="87"/>
                </w:rPr>
                <w:t>Item 8.</w:t>
              </w:r>
            </w:hyperlink>
          </w:p>
        </w:tc>
        <w:tc>
          <w:tcPr>
            <w:tcW w:w="100" w:type="dxa"/>
            <w:vAlign w:val="bottom"/>
            <w:gridSpan w:val="2"/>
          </w:tcPr>
          <w:p>
            <w:pPr>
              <w:spacing w:after="0"/>
              <w:rPr>
                <w:sz w:val="17"/>
                <w:szCs w:val="17"/>
                <w:color w:val="auto"/>
              </w:rPr>
            </w:pPr>
          </w:p>
        </w:tc>
        <w:tc>
          <w:tcPr>
            <w:tcW w:w="340" w:type="dxa"/>
            <w:vAlign w:val="bottom"/>
            <w:gridSpan w:val="2"/>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Financial Statements and Supplementary Data</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57</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540" w:type="dxa"/>
            <w:vAlign w:val="bottom"/>
            <w:gridSpan w:val="5"/>
          </w:tcPr>
          <w:p>
            <w:pPr>
              <w:spacing w:after="0" w:line="196" w:lineRule="exact"/>
              <w:rPr>
                <w:rFonts w:ascii="Arial" w:cs="Arial" w:eastAsia="Arial" w:hAnsi="Arial"/>
                <w:sz w:val="18"/>
                <w:szCs w:val="18"/>
                <w:b w:val="1"/>
                <w:bCs w:val="1"/>
                <w:color w:val="0000EE"/>
                <w:w w:val="87"/>
              </w:rPr>
            </w:pPr>
            <w:hyperlink w:anchor="page128">
              <w:r>
                <w:rPr>
                  <w:rFonts w:ascii="Arial" w:cs="Arial" w:eastAsia="Arial" w:hAnsi="Arial"/>
                  <w:sz w:val="18"/>
                  <w:szCs w:val="18"/>
                  <w:b w:val="1"/>
                  <w:bCs w:val="1"/>
                  <w:color w:val="0000EE"/>
                  <w:w w:val="87"/>
                </w:rPr>
                <w:t>Item 9.</w:t>
              </w:r>
            </w:hyperlink>
          </w:p>
        </w:tc>
        <w:tc>
          <w:tcPr>
            <w:tcW w:w="440" w:type="dxa"/>
            <w:vAlign w:val="bottom"/>
            <w:gridSpan w:val="4"/>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Changes in and Disagreements with Accountants on Accounting and Financial Disclosure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122</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gridSpan w:val="7"/>
          </w:tcPr>
          <w:p>
            <w:pPr>
              <w:spacing w:after="0" w:line="196" w:lineRule="exact"/>
              <w:rPr>
                <w:rFonts w:ascii="Arial" w:cs="Arial" w:eastAsia="Arial" w:hAnsi="Arial"/>
                <w:sz w:val="18"/>
                <w:szCs w:val="18"/>
                <w:b w:val="1"/>
                <w:bCs w:val="1"/>
                <w:color w:val="0000EE"/>
                <w:w w:val="85"/>
              </w:rPr>
            </w:pPr>
            <w:hyperlink w:anchor="page128">
              <w:r>
                <w:rPr>
                  <w:rFonts w:ascii="Arial" w:cs="Arial" w:eastAsia="Arial" w:hAnsi="Arial"/>
                  <w:sz w:val="18"/>
                  <w:szCs w:val="18"/>
                  <w:b w:val="1"/>
                  <w:bCs w:val="1"/>
                  <w:color w:val="0000EE"/>
                  <w:w w:val="85"/>
                </w:rPr>
                <w:t>Item 9A.</w:t>
              </w:r>
            </w:hyperlink>
          </w:p>
        </w:tc>
        <w:tc>
          <w:tcPr>
            <w:tcW w:w="340" w:type="dxa"/>
            <w:vAlign w:val="bottom"/>
            <w:gridSpan w:val="2"/>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Controls and Procedures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122</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tcBorders>
              <w:left w:val="single" w:sz="8" w:color="0000EE"/>
            </w:tcBorders>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gridSpan w:val="7"/>
          </w:tcPr>
          <w:p>
            <w:pPr>
              <w:spacing w:after="0" w:line="196" w:lineRule="exact"/>
              <w:rPr>
                <w:rFonts w:ascii="Arial" w:cs="Arial" w:eastAsia="Arial" w:hAnsi="Arial"/>
                <w:sz w:val="18"/>
                <w:szCs w:val="18"/>
                <w:b w:val="1"/>
                <w:bCs w:val="1"/>
                <w:color w:val="0000EE"/>
                <w:w w:val="85"/>
              </w:rPr>
            </w:pPr>
            <w:hyperlink w:anchor="page128">
              <w:r>
                <w:rPr>
                  <w:rFonts w:ascii="Arial" w:cs="Arial" w:eastAsia="Arial" w:hAnsi="Arial"/>
                  <w:sz w:val="18"/>
                  <w:szCs w:val="18"/>
                  <w:b w:val="1"/>
                  <w:bCs w:val="1"/>
                  <w:color w:val="0000EE"/>
                  <w:w w:val="85"/>
                </w:rPr>
                <w:t>Item 9B.</w:t>
              </w:r>
            </w:hyperlink>
          </w:p>
        </w:tc>
        <w:tc>
          <w:tcPr>
            <w:tcW w:w="340" w:type="dxa"/>
            <w:vAlign w:val="bottom"/>
            <w:gridSpan w:val="2"/>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128">
              <w:r>
                <w:rPr>
                  <w:rFonts w:ascii="Arial" w:cs="Arial" w:eastAsia="Arial" w:hAnsi="Arial"/>
                  <w:sz w:val="18"/>
                  <w:szCs w:val="18"/>
                  <w:b w:val="1"/>
                  <w:bCs w:val="1"/>
                  <w:color w:val="0000EE"/>
                </w:rPr>
                <w:t>Other Information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122</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PART III</w:t>
              </w:r>
            </w:hyperlink>
          </w:p>
        </w:tc>
        <w:tc>
          <w:tcPr>
            <w:tcW w:w="580" w:type="dxa"/>
            <w:vAlign w:val="bottom"/>
            <w:gridSpan w:val="5"/>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340" w:type="dxa"/>
            <w:vAlign w:val="bottom"/>
          </w:tcPr>
          <w:p>
            <w:pPr>
              <w:spacing w:after="0"/>
              <w:rPr>
                <w:sz w:val="24"/>
                <w:szCs w:val="24"/>
                <w:color w:val="auto"/>
              </w:rPr>
            </w:pPr>
          </w:p>
        </w:tc>
        <w:tc>
          <w:tcPr>
            <w:tcW w:w="980" w:type="dxa"/>
            <w:vAlign w:val="bottom"/>
            <w:gridSpan w:val="9"/>
          </w:tcPr>
          <w:p>
            <w:pPr>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Item 10.</w:t>
              </w:r>
            </w:hyperlink>
          </w:p>
        </w:tc>
        <w:tc>
          <w:tcPr>
            <w:tcW w:w="9200" w:type="dxa"/>
            <w:vAlign w:val="bottom"/>
            <w:gridSpan w:val="18"/>
          </w:tcPr>
          <w:p>
            <w:pPr>
              <w:ind w:left="180"/>
              <w:spacing w:after="0"/>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Directors, Executive Officers and Corporate Governance</w:t>
              </w:r>
            </w:hyperlink>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123</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112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20" w:type="dxa"/>
            <w:vAlign w:val="bottom"/>
            <w:gridSpan w:val="6"/>
          </w:tcPr>
          <w:p>
            <w:pPr>
              <w:spacing w:after="0" w:line="196" w:lineRule="exact"/>
              <w:rPr>
                <w:rFonts w:ascii="Arial" w:cs="Arial" w:eastAsia="Arial" w:hAnsi="Arial"/>
                <w:sz w:val="18"/>
                <w:szCs w:val="18"/>
                <w:b w:val="1"/>
                <w:bCs w:val="1"/>
                <w:color w:val="0000EE"/>
                <w:w w:val="89"/>
              </w:rPr>
            </w:pPr>
            <w:hyperlink w:anchor="page129">
              <w:r>
                <w:rPr>
                  <w:rFonts w:ascii="Arial" w:cs="Arial" w:eastAsia="Arial" w:hAnsi="Arial"/>
                  <w:sz w:val="18"/>
                  <w:szCs w:val="18"/>
                  <w:b w:val="1"/>
                  <w:bCs w:val="1"/>
                  <w:color w:val="0000EE"/>
                  <w:w w:val="89"/>
                </w:rPr>
                <w:t>Item 11.</w:t>
              </w:r>
            </w:hyperlink>
          </w:p>
        </w:tc>
        <w:tc>
          <w:tcPr>
            <w:tcW w:w="360" w:type="dxa"/>
            <w:vAlign w:val="bottom"/>
            <w:gridSpan w:val="3"/>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Executive Compensation</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123</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6"/>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gridSpan w:val="7"/>
          </w:tcPr>
          <w:p>
            <w:pPr>
              <w:spacing w:after="0" w:line="196" w:lineRule="exact"/>
              <w:rPr>
                <w:rFonts w:ascii="Arial" w:cs="Arial" w:eastAsia="Arial" w:hAnsi="Arial"/>
                <w:sz w:val="18"/>
                <w:szCs w:val="18"/>
                <w:b w:val="1"/>
                <w:bCs w:val="1"/>
                <w:color w:val="0000EE"/>
                <w:w w:val="89"/>
              </w:rPr>
            </w:pPr>
            <w:hyperlink w:anchor="page129">
              <w:r>
                <w:rPr>
                  <w:rFonts w:ascii="Arial" w:cs="Arial" w:eastAsia="Arial" w:hAnsi="Arial"/>
                  <w:sz w:val="18"/>
                  <w:szCs w:val="18"/>
                  <w:b w:val="1"/>
                  <w:bCs w:val="1"/>
                  <w:color w:val="0000EE"/>
                  <w:w w:val="89"/>
                </w:rPr>
                <w:t>Item 12.</w:t>
              </w:r>
            </w:hyperlink>
          </w:p>
        </w:tc>
        <w:tc>
          <w:tcPr>
            <w:tcW w:w="340" w:type="dxa"/>
            <w:vAlign w:val="bottom"/>
            <w:gridSpan w:val="2"/>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Security Ownership of Certain Beneficial Owners and Management and Related Stockholder Matters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123</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8"/>
            <w:shd w:val="clear" w:color="auto" w:fill="0000EE"/>
          </w:tcPr>
          <w:p>
            <w:pPr>
              <w:spacing w:after="0" w:line="20" w:lineRule="exact"/>
              <w:rPr>
                <w:sz w:val="1"/>
                <w:szCs w:val="1"/>
                <w:color w:val="auto"/>
              </w:rPr>
            </w:pPr>
          </w:p>
        </w:tc>
        <w:tc>
          <w:tcPr>
            <w:tcW w:w="2840" w:type="dxa"/>
            <w:vAlign w:val="bottom"/>
            <w:tcBorders>
              <w:left w:val="single" w:sz="8" w:color="0000EE"/>
            </w:tcBorders>
            <w:gridSpan w:val="4"/>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gridSpan w:val="7"/>
          </w:tcPr>
          <w:p>
            <w:pPr>
              <w:spacing w:after="0" w:line="196" w:lineRule="exact"/>
              <w:rPr>
                <w:rFonts w:ascii="Arial" w:cs="Arial" w:eastAsia="Arial" w:hAnsi="Arial"/>
                <w:sz w:val="18"/>
                <w:szCs w:val="18"/>
                <w:b w:val="1"/>
                <w:bCs w:val="1"/>
                <w:color w:val="0000EE"/>
                <w:w w:val="89"/>
              </w:rPr>
            </w:pPr>
            <w:hyperlink w:anchor="page129">
              <w:r>
                <w:rPr>
                  <w:rFonts w:ascii="Arial" w:cs="Arial" w:eastAsia="Arial" w:hAnsi="Arial"/>
                  <w:sz w:val="18"/>
                  <w:szCs w:val="18"/>
                  <w:b w:val="1"/>
                  <w:bCs w:val="1"/>
                  <w:color w:val="0000EE"/>
                  <w:w w:val="89"/>
                </w:rPr>
                <w:t>Item 13.</w:t>
              </w:r>
            </w:hyperlink>
          </w:p>
        </w:tc>
        <w:tc>
          <w:tcPr>
            <w:tcW w:w="340" w:type="dxa"/>
            <w:vAlign w:val="bottom"/>
            <w:gridSpan w:val="2"/>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Certain Relationships and Related Transactions, and Director Independence</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123</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8"/>
            <w:shd w:val="clear" w:color="auto" w:fill="0000EE"/>
          </w:tcPr>
          <w:p>
            <w:pPr>
              <w:spacing w:after="0" w:line="20" w:lineRule="exact"/>
              <w:rPr>
                <w:sz w:val="1"/>
                <w:szCs w:val="1"/>
                <w:color w:val="auto"/>
              </w:rPr>
            </w:pPr>
          </w:p>
        </w:tc>
        <w:tc>
          <w:tcPr>
            <w:tcW w:w="2840" w:type="dxa"/>
            <w:vAlign w:val="bottom"/>
            <w:tcBorders>
              <w:left w:val="single" w:sz="8" w:color="0000EE"/>
            </w:tcBorders>
            <w:gridSpan w:val="4"/>
            <w:shd w:val="clear" w:color="auto" w:fill="0000EE"/>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gridSpan w:val="7"/>
          </w:tcPr>
          <w:p>
            <w:pPr>
              <w:spacing w:after="0" w:line="196" w:lineRule="exact"/>
              <w:rPr>
                <w:rFonts w:ascii="Arial" w:cs="Arial" w:eastAsia="Arial" w:hAnsi="Arial"/>
                <w:sz w:val="18"/>
                <w:szCs w:val="18"/>
                <w:b w:val="1"/>
                <w:bCs w:val="1"/>
                <w:color w:val="0000EE"/>
                <w:w w:val="89"/>
              </w:rPr>
            </w:pPr>
            <w:hyperlink w:anchor="page129">
              <w:r>
                <w:rPr>
                  <w:rFonts w:ascii="Arial" w:cs="Arial" w:eastAsia="Arial" w:hAnsi="Arial"/>
                  <w:sz w:val="18"/>
                  <w:szCs w:val="18"/>
                  <w:b w:val="1"/>
                  <w:bCs w:val="1"/>
                  <w:color w:val="0000EE"/>
                  <w:w w:val="89"/>
                </w:rPr>
                <w:t>Item 14.</w:t>
              </w:r>
            </w:hyperlink>
          </w:p>
        </w:tc>
        <w:tc>
          <w:tcPr>
            <w:tcW w:w="340" w:type="dxa"/>
            <w:vAlign w:val="bottom"/>
            <w:gridSpan w:val="2"/>
          </w:tcPr>
          <w:p>
            <w:pPr>
              <w:spacing w:after="0"/>
              <w:rPr>
                <w:sz w:val="17"/>
                <w:szCs w:val="17"/>
                <w:color w:val="auto"/>
              </w:rPr>
            </w:pPr>
          </w:p>
        </w:tc>
        <w:tc>
          <w:tcPr>
            <w:tcW w:w="9200" w:type="dxa"/>
            <w:vAlign w:val="bottom"/>
            <w:gridSpan w:val="18"/>
          </w:tcPr>
          <w:p>
            <w:pPr>
              <w:ind w:left="180"/>
              <w:spacing w:after="0" w:line="196" w:lineRule="exact"/>
              <w:rPr>
                <w:rFonts w:ascii="Arial" w:cs="Arial" w:eastAsia="Arial" w:hAnsi="Arial"/>
                <w:sz w:val="18"/>
                <w:szCs w:val="18"/>
                <w:b w:val="1"/>
                <w:bCs w:val="1"/>
                <w:color w:val="0000EE"/>
              </w:rPr>
            </w:pPr>
            <w:hyperlink w:anchor="page129">
              <w:r>
                <w:rPr>
                  <w:rFonts w:ascii="Arial" w:cs="Arial" w:eastAsia="Arial" w:hAnsi="Arial"/>
                  <w:sz w:val="18"/>
                  <w:szCs w:val="18"/>
                  <w:b w:val="1"/>
                  <w:bCs w:val="1"/>
                  <w:color w:val="0000EE"/>
                </w:rPr>
                <w:t>Principal Accounting Fees and Services</w:t>
              </w:r>
            </w:hyperlink>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123</w:t>
            </w:r>
          </w:p>
        </w:tc>
      </w:tr>
      <w:tr>
        <w:trPr>
          <w:trHeight w:val="20"/>
        </w:trPr>
        <w:tc>
          <w:tcPr>
            <w:tcW w:w="34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20" w:type="dxa"/>
            <w:vAlign w:val="bottom"/>
            <w:gridSpan w:val="10"/>
          </w:tcPr>
          <w:p>
            <w:pPr>
              <w:spacing w:after="0"/>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PART IV</w:t>
              </w:r>
            </w:hyperlink>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640" w:type="dxa"/>
            <w:vAlign w:val="bottom"/>
            <w:gridSpan w:val="7"/>
          </w:tcPr>
          <w:p>
            <w:pPr>
              <w:spacing w:after="0"/>
              <w:rPr>
                <w:rFonts w:ascii="Arial" w:cs="Arial" w:eastAsia="Arial" w:hAnsi="Arial"/>
                <w:sz w:val="18"/>
                <w:szCs w:val="18"/>
                <w:b w:val="1"/>
                <w:bCs w:val="1"/>
                <w:color w:val="0000EE"/>
                <w:w w:val="89"/>
              </w:rPr>
            </w:pPr>
            <w:hyperlink w:anchor="page130">
              <w:r>
                <w:rPr>
                  <w:rFonts w:ascii="Arial" w:cs="Arial" w:eastAsia="Arial" w:hAnsi="Arial"/>
                  <w:sz w:val="18"/>
                  <w:szCs w:val="18"/>
                  <w:b w:val="1"/>
                  <w:bCs w:val="1"/>
                  <w:color w:val="0000EE"/>
                  <w:w w:val="89"/>
                </w:rPr>
                <w:t>Item 15.</w:t>
              </w:r>
            </w:hyperlink>
          </w:p>
        </w:tc>
        <w:tc>
          <w:tcPr>
            <w:tcW w:w="340" w:type="dxa"/>
            <w:vAlign w:val="bottom"/>
            <w:gridSpan w:val="2"/>
          </w:tcPr>
          <w:p>
            <w:pPr>
              <w:spacing w:after="0"/>
              <w:rPr>
                <w:sz w:val="24"/>
                <w:szCs w:val="24"/>
                <w:color w:val="auto"/>
              </w:rPr>
            </w:pPr>
          </w:p>
        </w:tc>
        <w:tc>
          <w:tcPr>
            <w:tcW w:w="9200" w:type="dxa"/>
            <w:vAlign w:val="bottom"/>
            <w:gridSpan w:val="18"/>
          </w:tcPr>
          <w:p>
            <w:pPr>
              <w:ind w:left="180"/>
              <w:spacing w:after="0"/>
              <w:rPr>
                <w:rFonts w:ascii="Arial" w:cs="Arial" w:eastAsia="Arial" w:hAnsi="Arial"/>
                <w:sz w:val="18"/>
                <w:szCs w:val="18"/>
                <w:b w:val="1"/>
                <w:bCs w:val="1"/>
                <w:color w:val="0000EE"/>
              </w:rPr>
            </w:pPr>
            <w:hyperlink w:anchor="page130">
              <w:r>
                <w:rPr>
                  <w:rFonts w:ascii="Arial" w:cs="Arial" w:eastAsia="Arial" w:hAnsi="Arial"/>
                  <w:sz w:val="18"/>
                  <w:szCs w:val="18"/>
                  <w:b w:val="1"/>
                  <w:bCs w:val="1"/>
                  <w:color w:val="0000EE"/>
                </w:rPr>
                <w:t>Exhibits, Financial Statement Schedules</w:t>
              </w:r>
            </w:hyperlink>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124</w:t>
            </w:r>
          </w:p>
        </w:tc>
      </w:tr>
      <w:tr>
        <w:trPr>
          <w:trHeight w:val="20"/>
        </w:trPr>
        <w:tc>
          <w:tcPr>
            <w:tcW w:w="340" w:type="dxa"/>
            <w:vAlign w:val="bottom"/>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320" w:type="dxa"/>
            <w:vAlign w:val="bottom"/>
            <w:gridSpan w:val="10"/>
          </w:tcPr>
          <w:p>
            <w:pPr>
              <w:spacing w:after="0"/>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SIGNATURES</w:t>
              </w:r>
            </w:hyperlink>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127</w:t>
            </w:r>
          </w:p>
        </w:tc>
      </w:tr>
      <w:tr>
        <w:trPr>
          <w:trHeight w:val="669"/>
        </w:trPr>
        <w:tc>
          <w:tcPr>
            <w:tcW w:w="340" w:type="dxa"/>
            <w:vAlign w:val="bottom"/>
            <w:tcBorders>
              <w:top w:val="single" w:sz="8" w:color="0000EE"/>
              <w:bottom w:val="single" w:sz="8" w:color="DCDCDC"/>
            </w:tcBorders>
          </w:tcPr>
          <w:p>
            <w:pPr>
              <w:spacing w:after="0"/>
              <w:rPr>
                <w:sz w:val="24"/>
                <w:szCs w:val="24"/>
                <w:color w:val="auto"/>
              </w:rPr>
            </w:pPr>
          </w:p>
        </w:tc>
        <w:tc>
          <w:tcPr>
            <w:tcW w:w="26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6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140" w:type="dxa"/>
            <w:vAlign w:val="bottom"/>
            <w:tcBorders>
              <w:top w:val="single" w:sz="8" w:color="0000EE"/>
              <w:bottom w:val="single" w:sz="8" w:color="DCDCDC"/>
            </w:tcBorders>
          </w:tcPr>
          <w:p>
            <w:pPr>
              <w:spacing w:after="0"/>
              <w:rPr>
                <w:sz w:val="24"/>
                <w:szCs w:val="24"/>
                <w:color w:val="auto"/>
              </w:rPr>
            </w:pPr>
          </w:p>
        </w:tc>
        <w:tc>
          <w:tcPr>
            <w:tcW w:w="80" w:type="dxa"/>
            <w:vAlign w:val="bottom"/>
            <w:tcBorders>
              <w:top w:val="single" w:sz="8" w:color="0000EE"/>
              <w:bottom w:val="single" w:sz="8" w:color="DCDCDC"/>
            </w:tcBorders>
          </w:tcPr>
          <w:p>
            <w:pPr>
              <w:spacing w:after="0"/>
              <w:rPr>
                <w:sz w:val="24"/>
                <w:szCs w:val="24"/>
                <w:color w:val="auto"/>
              </w:rPr>
            </w:pPr>
          </w:p>
        </w:tc>
        <w:tc>
          <w:tcPr>
            <w:tcW w:w="20" w:type="dxa"/>
            <w:vAlign w:val="bottom"/>
            <w:tcBorders>
              <w:top w:val="single" w:sz="8" w:color="0000EE"/>
              <w:bottom w:val="single" w:sz="8" w:color="DCDCDC"/>
            </w:tcBorders>
          </w:tcPr>
          <w:p>
            <w:pPr>
              <w:spacing w:after="0"/>
              <w:rPr>
                <w:sz w:val="24"/>
                <w:szCs w:val="24"/>
                <w:color w:val="auto"/>
              </w:rPr>
            </w:pPr>
          </w:p>
        </w:tc>
        <w:tc>
          <w:tcPr>
            <w:tcW w:w="180" w:type="dxa"/>
            <w:vAlign w:val="bottom"/>
            <w:tcBorders>
              <w:top w:val="single" w:sz="8" w:color="0000EE"/>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4540" w:type="dxa"/>
            <w:vAlign w:val="bottom"/>
            <w:tcBorders>
              <w:bottom w:val="single" w:sz="8" w:color="DCDCDC"/>
            </w:tcBorders>
            <w:gridSpan w:val="11"/>
          </w:tcPr>
          <w:p>
            <w:pPr>
              <w:ind w:left="4360"/>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Community Banks, Inc. (“United”), a bank holding company registered under the Bank Holding Company Act of 1956, as amended (the “BHC Act”), was incorporated under the laws of Georgia in 1987 and commenced operations in 1988 by acquiring 100% of the outstanding shares of Union County Bank, Blairsville, Georgia, now known as United Community Bank, Blairsville, Georgia (the “Bank”).</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Since the early 1990’s, United has actively expanded its market coverage through organic growth complemented by selective acquisitions, primarily of banks whose managements share United’s community banking and customer service philosophies. Although those acquisitions have directly contributed to United’s growth, their contribution has primarily been to provide United access to new markets with attractive organic growth potential. Organic growth in assets includes growth through existing offices as well as growth at de novo locations and post-acquisition growth at acquired banking offices.</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emphasize its commitment to community banking, United conducts substantially all of its operations through a community-focused operating model of separate “community banks”, which as of December 31, 2015, operated at 134 locations throughout the Atlanta-Sandy Springs-Roswell, Georgia, and Gainesville, Georgia metropolitan statistical areas, upstate South Carolina, north and coastal Georgia, western North Carolina, and east Tennessee. Also, United has commercial loan offices in Charlotte, North Carolina and Charleston, South Carolina. The community banks offer a full range of retail and corporate banking services, including checking, savings and time deposit accounts, secured and unsecured loans, wire transfers, brokerage services and other financial services, and are led by local bank presidents (referred to herein as the “Community Bank Presidents”) and management with significant experience in, and ties to, their communities. Each of the Community Bank Presidents has authority, alone or with other local officers, to make most credit decisions. In recent years, United has developed a number of specialized lending areas focusing on asset-based lending, commercial real estate, middle market businesses, United States Small Business Administration (“SBA”) and United States Department of Agriculture (“USDA”) guaranteed loans and builder finance. Although the specialized lending areas have their own customers, they also work with the community banks to provide their specialized lending expertise to help the community banks better serve their customers. This partnership helps United to position itself as a community bank with large bank resources. Management believes that this operating model provides a competitive advantage.</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Bank, through its full-service retail mortgage lending division, United Community Mortgage Services (“UCMS”), is approved as a seller/servicer for the Federal National Mortgage Association (“Fannie Mae”) and the Federal Home Loan Mortgage Corporation (“Freddie Mac”) and provides fixed and adjustable-rate home mortgages. During 2015, the Bank originated $494 million of residential mortgage loans throughout its footprint in Georgia, North Carolina, Tennessee and South Carolina for the purchase of homes and to refinance existing mortgage debt. Substantially all of these mortgages were sold into the secondary market without recourse to the Bank, other than for breaches of warranties. With the acquisition of The Palmetto Bank in late 2015, United began retaining the servicing on some of its mortgage production. United’s residential mortgage servicing portfolio included $377 million in loans at December 31, 2015.</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owns an insurance agency, United Community Insurance Services, Inc. (“UCIS”), known as United Community Advisory Services, which is a subsidiary of the Bank. United also owns a captive insurance subsidiary, United Community Risk Management Services, Inc. (“UCRMSI”) that provides risk management services for United’s subsidiaries. Another Bank subsidiary, United Community Payment Systems, LLC (“UCPS”), provides payment processing services for the Bank’s commercial and small business customers. UCPS is a joint venture with Security Card Services, LLC, a merchant services provider headquartered in Oxford, Mississippi.</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produces fee revenue through its sale of non-deposit investment products. Those products are sold by employees of United that are licensed financial advisors doing business as United Community Advisory Services. United has an affiliation with a third party broker/dealer, Invest Financial, to facilitate this line of business.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10-K contains forward-looking statements within the meaning of Section 27A of the Securities Act of 1933, as amended, (the “Securities Act’), and Section 21E of the Securities Exchange Act of 1934,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following factors:</w:t>
      </w:r>
    </w:p>
    <w:p>
      <w:pPr>
        <w:spacing w:after="0" w:line="18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results of our internal credit stress tests may not accurately predict the impact on our financial condition if the economy were to deteriorate;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fully realize the balance of our net deferred tax asset,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risk that we may be required to increase the valuation allowance on our net deferred tax asset in future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lack of geographic diversification;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 and other interest rate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accounting and reporting policies;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communications and information systems, including risks with respect to cybersecurity breaches;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the Dodd-Frank Wall Street Reform and Consumer Protection Act of 2010 and related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laws and regulations or failures to comply with such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regulatory capital and other requirements;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 and disclosure controls and procedures.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financial statements and information contained herein have not been reviewed, or confirmed for accuracy or relevance, by the Federal Deposit Insurance Corporation.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Monetary Policy and Economic Conditions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United’s profitability depends to a substantial extent on the difference between interest revenue received from loans, investments, and other earning assets, and the interest paid on deposits and other liabilities. These rates are highly sensitive to many factors that are beyond the control of United, including national and international economic conditions and the monetary policies of various governmental and regulatory authorities, particularly the Board of Governors of the Federal Reserve System (the “Federal Reserve”). The instruments of monetary policy employed by the Federal Reserve include open market operations in U.S. government securities, changes in the discount rate on bank borrowings and changes in reserve requirements against bank deposits.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market for banking and bank-related services is highly competitive. United actively competes in its market areas, which include north Georgia, the Atlanta-Sandy Springs-Roswell, Georgia metropolitan statistical area, the Gainesville, Georgia metropolitan statistical area, coastal Georgia, western North Carolina, east Tennessee and upstate South Carolina, with other providers of deposit and credit services. These competitors include other commercial banks, savings banks, savings and loan associations, credit unions, mortgage companies, and brokerage firms.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and on the following page displays the respective percentage of total bank and thrift deposits for the last five years in each county where the Bank has deposit operations. The table also indicates the Bank’s ranking by deposit size in each county. All information in the table was obtained from the Federal Deposit Insurance Corporation Summary of Deposits as of June 30 of each year. The following information only shows market share in deposit gathering, which may not be indicative of market presence in other areas.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gridSpan w:val="5"/>
          </w:tcPr>
          <w:p>
            <w:pPr>
              <w:spacing w:after="0"/>
              <w:rPr>
                <w:sz w:val="20"/>
                <w:szCs w:val="20"/>
                <w:color w:val="auto"/>
              </w:rPr>
            </w:pPr>
            <w:r>
              <w:rPr>
                <w:rFonts w:ascii="Arial" w:cs="Arial" w:eastAsia="Arial" w:hAnsi="Arial"/>
                <w:sz w:val="14"/>
                <w:szCs w:val="14"/>
                <w:b w:val="1"/>
                <w:bCs w:val="1"/>
                <w:color w:val="auto"/>
              </w:rPr>
              <w:t>Share of Local Deposit Markets by County - Banks and Savings Institutions</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35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Market Share</w:t>
            </w: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Rank in Market</w:t>
            </w: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560" w:type="dxa"/>
            <w:vAlign w:val="bottom"/>
            <w:tcBorders>
              <w:bottom w:val="single" w:sz="8" w:color="F0FFFF"/>
            </w:tcBorders>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2015</w:t>
            </w:r>
          </w:p>
        </w:tc>
        <w:tc>
          <w:tcPr>
            <w:tcW w:w="260" w:type="dxa"/>
            <w:vAlign w:val="bottom"/>
            <w:tcBorders>
              <w:bottom w:val="single" w:sz="8" w:color="F0FFFF"/>
            </w:tcBorders>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2014</w:t>
            </w:r>
          </w:p>
        </w:tc>
        <w:tc>
          <w:tcPr>
            <w:tcW w:w="260" w:type="dxa"/>
            <w:vAlign w:val="bottom"/>
            <w:tcBorders>
              <w:bottom w:val="single" w:sz="8" w:color="F0FFFF"/>
            </w:tcBorders>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2013</w:t>
            </w:r>
          </w:p>
        </w:tc>
        <w:tc>
          <w:tcPr>
            <w:tcW w:w="280" w:type="dxa"/>
            <w:vAlign w:val="bottom"/>
            <w:tcBorders>
              <w:bottom w:val="single" w:sz="8" w:color="F0FFFF"/>
            </w:tcBorders>
          </w:tcPr>
          <w:p>
            <w:pPr>
              <w:spacing w:after="0"/>
              <w:rPr>
                <w:sz w:val="14"/>
                <w:szCs w:val="1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2012</w:t>
            </w:r>
          </w:p>
        </w:tc>
        <w:tc>
          <w:tcPr>
            <w:tcW w:w="280" w:type="dxa"/>
            <w:vAlign w:val="bottom"/>
            <w:tcBorders>
              <w:bottom w:val="single" w:sz="8" w:color="F0FFFF"/>
            </w:tcBorders>
          </w:tcPr>
          <w:p>
            <w:pPr>
              <w:spacing w:after="0"/>
              <w:rPr>
                <w:sz w:val="14"/>
                <w:szCs w:val="1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2011</w:t>
            </w:r>
          </w:p>
        </w:tc>
        <w:tc>
          <w:tcPr>
            <w:tcW w:w="280" w:type="dxa"/>
            <w:vAlign w:val="bottom"/>
            <w:tcBorders>
              <w:bottom w:val="single" w:sz="8" w:color="F0FFFF"/>
            </w:tcBorders>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F0FFFF"/>
            </w:tcBorders>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2014</w:t>
            </w:r>
          </w:p>
        </w:tc>
        <w:tc>
          <w:tcPr>
            <w:tcW w:w="220" w:type="dxa"/>
            <w:vAlign w:val="bottom"/>
            <w:tcBorders>
              <w:bottom w:val="single" w:sz="8" w:color="F0FFFF"/>
            </w:tcBorders>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2013</w:t>
            </w:r>
          </w:p>
        </w:tc>
        <w:tc>
          <w:tcPr>
            <w:tcW w:w="200" w:type="dxa"/>
            <w:vAlign w:val="bottom"/>
            <w:tcBorders>
              <w:bottom w:val="single" w:sz="8" w:color="F0FF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2012</w:t>
            </w:r>
          </w:p>
        </w:tc>
        <w:tc>
          <w:tcPr>
            <w:tcW w:w="220" w:type="dxa"/>
            <w:vAlign w:val="bottom"/>
            <w:tcBorders>
              <w:bottom w:val="single" w:sz="8" w:color="F0FFFF"/>
            </w:tcBorders>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F0FFFF"/>
            </w:tcBorders>
          </w:tcPr>
          <w:p>
            <w:pPr>
              <w:spacing w:after="0"/>
              <w:rPr>
                <w:sz w:val="14"/>
                <w:szCs w:val="14"/>
                <w:color w:val="auto"/>
              </w:rPr>
            </w:pPr>
          </w:p>
        </w:tc>
      </w:tr>
      <w:tr>
        <w:trPr>
          <w:trHeight w:val="216"/>
        </w:trPr>
        <w:tc>
          <w:tcPr>
            <w:tcW w:w="35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Atlanta, Georgia MSA</w:t>
            </w:r>
          </w:p>
        </w:tc>
        <w:tc>
          <w:tcPr>
            <w:tcW w:w="5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Bartow</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48"/>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Carroll</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88"/>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Cherokee</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5</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Cobb</w:t>
            </w: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F0FFFF"/>
          </w:tcPr>
          <w:p>
            <w:pPr>
              <w:jc w:val="right"/>
              <w:ind w:right="188"/>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Coweta</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Dawson</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36</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DeKalb</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Douglas</w:t>
            </w: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F0FFFF"/>
          </w:tcPr>
          <w:p>
            <w:pPr>
              <w:jc w:val="right"/>
              <w:ind w:right="188"/>
              <w:spacing w:after="0"/>
              <w:rPr>
                <w:sz w:val="20"/>
                <w:szCs w:val="20"/>
                <w:color w:val="auto"/>
              </w:rPr>
            </w:pPr>
            <w:r>
              <w:rPr>
                <w:rFonts w:ascii="Arial" w:cs="Arial" w:eastAsia="Arial" w:hAnsi="Arial"/>
                <w:sz w:val="18"/>
                <w:szCs w:val="18"/>
                <w:color w:val="auto"/>
              </w:rPr>
              <w:t>2</w:t>
            </w:r>
          </w:p>
        </w:tc>
        <w:tc>
          <w:tcPr>
            <w:tcW w:w="8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Fayette</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Forsyth</w:t>
            </w: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F0FFFF"/>
          </w:tcPr>
          <w:p>
            <w:pPr>
              <w:jc w:val="right"/>
              <w:ind w:right="188"/>
              <w:spacing w:after="0"/>
              <w:rPr>
                <w:sz w:val="20"/>
                <w:szCs w:val="20"/>
                <w:color w:val="auto"/>
              </w:rPr>
            </w:pPr>
            <w:r>
              <w:rPr>
                <w:rFonts w:ascii="Arial" w:cs="Arial" w:eastAsia="Arial" w:hAnsi="Arial"/>
                <w:sz w:val="18"/>
                <w:szCs w:val="18"/>
                <w:color w:val="auto"/>
              </w:rPr>
              <w:t>8</w:t>
            </w:r>
          </w:p>
        </w:tc>
        <w:tc>
          <w:tcPr>
            <w:tcW w:w="8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Fulton</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Gwinnett</w:t>
            </w: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F0FFFF"/>
          </w:tcPr>
          <w:p>
            <w:pPr>
              <w:jc w:val="right"/>
              <w:ind w:right="188"/>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Henry</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7</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Newton</w:t>
            </w: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F0FFFF"/>
          </w:tcPr>
          <w:p>
            <w:pPr>
              <w:jc w:val="right"/>
              <w:ind w:right="188"/>
              <w:spacing w:after="0"/>
              <w:rPr>
                <w:sz w:val="20"/>
                <w:szCs w:val="20"/>
                <w:color w:val="auto"/>
              </w:rPr>
            </w:pPr>
            <w:r>
              <w:rPr>
                <w:rFonts w:ascii="Arial" w:cs="Arial" w:eastAsia="Arial" w:hAnsi="Arial"/>
                <w:sz w:val="18"/>
                <w:szCs w:val="18"/>
                <w:color w:val="auto"/>
              </w:rPr>
              <w:t>3</w:t>
            </w:r>
          </w:p>
        </w:tc>
        <w:tc>
          <w:tcPr>
            <w:tcW w:w="8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Paulding</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4</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Pickens</w:t>
            </w: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F0FFFF"/>
          </w:tcPr>
          <w:p>
            <w:pPr>
              <w:jc w:val="right"/>
              <w:ind w:right="188"/>
              <w:spacing w:after="0"/>
              <w:rPr>
                <w:sz w:val="20"/>
                <w:szCs w:val="20"/>
                <w:color w:val="auto"/>
              </w:rPr>
            </w:pPr>
            <w:r>
              <w:rPr>
                <w:rFonts w:ascii="Arial" w:cs="Arial" w:eastAsia="Arial" w:hAnsi="Arial"/>
                <w:sz w:val="18"/>
                <w:szCs w:val="18"/>
                <w:color w:val="auto"/>
              </w:rPr>
              <w:t>7</w:t>
            </w:r>
          </w:p>
        </w:tc>
        <w:tc>
          <w:tcPr>
            <w:tcW w:w="8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Rockdale</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9</w:t>
            </w: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Walton</w:t>
            </w: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F0FFFF"/>
          </w:tcPr>
          <w:p>
            <w:pPr>
              <w:jc w:val="right"/>
              <w:ind w:right="188"/>
              <w:spacing w:after="0"/>
              <w:rPr>
                <w:sz w:val="20"/>
                <w:szCs w:val="20"/>
                <w:color w:val="auto"/>
              </w:rPr>
            </w:pPr>
            <w:r>
              <w:rPr>
                <w:rFonts w:ascii="Arial" w:cs="Arial" w:eastAsia="Arial" w:hAnsi="Arial"/>
                <w:sz w:val="18"/>
                <w:szCs w:val="18"/>
                <w:color w:val="auto"/>
              </w:rPr>
              <w:t>1</w:t>
            </w:r>
          </w:p>
        </w:tc>
        <w:tc>
          <w:tcPr>
            <w:tcW w:w="8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w:t>
            </w: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3560" w:type="dxa"/>
            <w:vAlign w:val="bottom"/>
          </w:tcPr>
          <w:p>
            <w:pPr>
              <w:spacing w:after="0"/>
              <w:rPr>
                <w:sz w:val="20"/>
                <w:szCs w:val="20"/>
                <w:color w:val="auto"/>
              </w:rPr>
            </w:pPr>
            <w:r>
              <w:rPr>
                <w:rFonts w:ascii="Arial" w:cs="Arial" w:eastAsia="Arial" w:hAnsi="Arial"/>
                <w:sz w:val="18"/>
                <w:szCs w:val="18"/>
                <w:b w:val="1"/>
                <w:bCs w:val="1"/>
                <w:color w:val="auto"/>
              </w:rPr>
              <w:t>Gainesville, Georgia MSA</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Hall</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14</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560" w:type="dxa"/>
            <w:vAlign w:val="bottom"/>
          </w:tcPr>
          <w:p>
            <w:pPr>
              <w:spacing w:after="0"/>
              <w:rPr>
                <w:sz w:val="20"/>
                <w:szCs w:val="20"/>
                <w:color w:val="auto"/>
              </w:rPr>
            </w:pPr>
            <w:r>
              <w:rPr>
                <w:rFonts w:ascii="Arial" w:cs="Arial" w:eastAsia="Arial" w:hAnsi="Arial"/>
                <w:sz w:val="18"/>
                <w:szCs w:val="18"/>
                <w:b w:val="1"/>
                <w:bCs w:val="1"/>
                <w:color w:val="auto"/>
              </w:rPr>
              <w:t>North Georgia</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Chattooga</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40</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Fannin</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Floyd</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16</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Gilmer</w:t>
            </w: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Habersham</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20</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Jackson</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820" w:type="dxa"/>
            <w:vAlign w:val="bottom"/>
            <w:gridSpan w:val="2"/>
          </w:tcPr>
          <w:p>
            <w:pPr>
              <w:jc w:val="right"/>
              <w:ind w:right="188"/>
              <w:spacing w:after="0"/>
              <w:rPr>
                <w:sz w:val="20"/>
                <w:szCs w:val="20"/>
                <w:color w:val="auto"/>
              </w:rPr>
            </w:pPr>
            <w:r>
              <w:rPr>
                <w:rFonts w:ascii="Arial" w:cs="Arial" w:eastAsia="Arial" w:hAnsi="Arial"/>
                <w:sz w:val="18"/>
                <w:szCs w:val="18"/>
                <w:color w:val="auto"/>
              </w:rPr>
              <w:t>8</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Lumpkin</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29</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Rabun</w:t>
            </w: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Towns</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41</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Union</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White</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46</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648"/>
        </w:trPr>
        <w:tc>
          <w:tcPr>
            <w:tcW w:w="356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gridSpan w:val="2"/>
          </w:tcPr>
          <w:p>
            <w:pPr>
              <w:jc w:val="right"/>
              <w:ind w:right="280"/>
              <w:spacing w:after="0"/>
              <w:rPr>
                <w:sz w:val="20"/>
                <w:szCs w:val="20"/>
                <w:color w:val="auto"/>
              </w:rPr>
            </w:pPr>
            <w:r>
              <w:rPr>
                <w:rFonts w:ascii="Arial" w:cs="Arial" w:eastAsia="Arial" w:hAnsi="Arial"/>
                <w:sz w:val="18"/>
                <w:szCs w:val="18"/>
                <w:color w:val="auto"/>
              </w:rPr>
              <w:t>5</w:t>
            </w:r>
          </w:p>
        </w:tc>
        <w:tc>
          <w:tcPr>
            <w:tcW w:w="54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54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gridSpan w:val="8"/>
          </w:tcPr>
          <w:p>
            <w:pPr>
              <w:spacing w:after="0"/>
              <w:rPr>
                <w:sz w:val="20"/>
                <w:szCs w:val="20"/>
                <w:color w:val="auto"/>
              </w:rPr>
            </w:pPr>
            <w:r>
              <w:rPr>
                <w:rFonts w:ascii="Arial" w:cs="Arial" w:eastAsia="Arial" w:hAnsi="Arial"/>
                <w:sz w:val="14"/>
                <w:szCs w:val="14"/>
                <w:b w:val="1"/>
                <w:bCs w:val="1"/>
                <w:color w:val="auto"/>
              </w:rPr>
              <w:t>Share of Local Deposit Markets by County - Banks and Savings Institutions, Continued</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8"/>
        </w:trPr>
        <w:tc>
          <w:tcPr>
            <w:tcW w:w="35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Market Share</w:t>
            </w: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Rank in Market</w:t>
            </w:r>
          </w:p>
        </w:tc>
        <w:tc>
          <w:tcPr>
            <w:tcW w:w="4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56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2015</w:t>
            </w:r>
          </w:p>
        </w:tc>
        <w:tc>
          <w:tcPr>
            <w:tcW w:w="24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color w:val="auto"/>
              </w:rPr>
              <w:t>2014</w:t>
            </w:r>
          </w:p>
        </w:tc>
        <w:tc>
          <w:tcPr>
            <w:tcW w:w="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2013</w:t>
            </w:r>
          </w:p>
        </w:tc>
        <w:tc>
          <w:tcPr>
            <w:tcW w:w="260" w:type="dxa"/>
            <w:vAlign w:val="bottom"/>
          </w:tcPr>
          <w:p>
            <w:pPr>
              <w:spacing w:after="0"/>
              <w:rPr>
                <w:sz w:val="14"/>
                <w:szCs w:val="14"/>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color w:val="auto"/>
              </w:rPr>
              <w:t>2012</w:t>
            </w:r>
          </w:p>
        </w:tc>
        <w:tc>
          <w:tcPr>
            <w:tcW w:w="240" w:type="dxa"/>
            <w:vAlign w:val="bottom"/>
          </w:tcPr>
          <w:p>
            <w:pPr>
              <w:spacing w:after="0"/>
              <w:rPr>
                <w:sz w:val="14"/>
                <w:szCs w:val="14"/>
                <w:color w:val="auto"/>
              </w:rPr>
            </w:pPr>
          </w:p>
        </w:tc>
        <w:tc>
          <w:tcPr>
            <w:tcW w:w="580" w:type="dxa"/>
            <w:vAlign w:val="bottom"/>
          </w:tcPr>
          <w:p>
            <w:pPr>
              <w:jc w:val="right"/>
              <w:ind w:right="71"/>
              <w:spacing w:after="0"/>
              <w:rPr>
                <w:sz w:val="20"/>
                <w:szCs w:val="20"/>
                <w:color w:val="auto"/>
              </w:rPr>
            </w:pPr>
            <w:r>
              <w:rPr>
                <w:rFonts w:ascii="Arial" w:cs="Arial" w:eastAsia="Arial" w:hAnsi="Arial"/>
                <w:sz w:val="14"/>
                <w:szCs w:val="14"/>
                <w:color w:val="auto"/>
              </w:rPr>
              <w:t>2011</w:t>
            </w:r>
          </w:p>
        </w:tc>
        <w:tc>
          <w:tcPr>
            <w:tcW w:w="240" w:type="dxa"/>
            <w:vAlign w:val="bottom"/>
          </w:tcPr>
          <w:p>
            <w:pPr>
              <w:spacing w:after="0"/>
              <w:rPr>
                <w:sz w:val="14"/>
                <w:szCs w:val="14"/>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2015</w:t>
            </w:r>
          </w:p>
        </w:tc>
        <w:tc>
          <w:tcPr>
            <w:tcW w:w="200" w:type="dxa"/>
            <w:vAlign w:val="bottom"/>
          </w:tcPr>
          <w:p>
            <w:pPr>
              <w:spacing w:after="0"/>
              <w:rPr>
                <w:sz w:val="14"/>
                <w:szCs w:val="14"/>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2014</w:t>
            </w:r>
          </w:p>
        </w:tc>
        <w:tc>
          <w:tcPr>
            <w:tcW w:w="220" w:type="dxa"/>
            <w:vAlign w:val="bottom"/>
          </w:tcPr>
          <w:p>
            <w:pPr>
              <w:spacing w:after="0"/>
              <w:rPr>
                <w:sz w:val="14"/>
                <w:szCs w:val="14"/>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2013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51"/>
              <w:spacing w:after="0"/>
              <w:rPr>
                <w:sz w:val="20"/>
                <w:szCs w:val="20"/>
                <w:color w:val="auto"/>
              </w:rPr>
            </w:pPr>
            <w:r>
              <w:rPr>
                <w:rFonts w:ascii="Arial" w:cs="Arial" w:eastAsia="Arial" w:hAnsi="Arial"/>
                <w:sz w:val="14"/>
                <w:szCs w:val="14"/>
                <w:color w:val="auto"/>
              </w:rPr>
              <w:t>2012</w:t>
            </w:r>
          </w:p>
        </w:tc>
        <w:tc>
          <w:tcPr>
            <w:tcW w:w="220" w:type="dxa"/>
            <w:vAlign w:val="bottom"/>
          </w:tcPr>
          <w:p>
            <w:pPr>
              <w:spacing w:after="0"/>
              <w:rPr>
                <w:sz w:val="14"/>
                <w:szCs w:val="14"/>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r>
      <w:tr>
        <w:trPr>
          <w:trHeight w:val="216"/>
        </w:trPr>
        <w:tc>
          <w:tcPr>
            <w:tcW w:w="35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Tennessee</w:t>
            </w:r>
          </w:p>
        </w:tc>
        <w:tc>
          <w:tcPr>
            <w:tcW w:w="58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4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Blount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Bradley</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w:t>
            </w:r>
          </w:p>
        </w:tc>
        <w:tc>
          <w:tcPr>
            <w:tcW w:w="6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w:t>
            </w:r>
          </w:p>
        </w:tc>
        <w:tc>
          <w:tcPr>
            <w:tcW w:w="102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Knox</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Loudon</w:t>
            </w: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14</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McMinn</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Monroe</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w:t>
            </w:r>
          </w:p>
        </w:tc>
        <w:tc>
          <w:tcPr>
            <w:tcW w:w="102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Roane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9</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5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Coastal Georgia</w:t>
            </w:r>
          </w:p>
        </w:tc>
        <w:tc>
          <w:tcPr>
            <w:tcW w:w="5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Chatham</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Glynn</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w:t>
            </w: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12</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Ware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35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North Carolina</w:t>
            </w:r>
          </w:p>
        </w:tc>
        <w:tc>
          <w:tcPr>
            <w:tcW w:w="5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Avery</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Cherokee</w:t>
            </w: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35</w:t>
            </w:r>
          </w:p>
        </w:tc>
        <w:tc>
          <w:tcPr>
            <w:tcW w:w="2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35</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29</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Clay</w:t>
            </w: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Graham</w:t>
            </w: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71</w:t>
            </w:r>
          </w:p>
        </w:tc>
        <w:tc>
          <w:tcPr>
            <w:tcW w:w="2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71</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72</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Haywood</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Henderson</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w:t>
            </w:r>
          </w:p>
        </w:tc>
        <w:tc>
          <w:tcPr>
            <w:tcW w:w="102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Jackson</w:t>
            </w: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Macon</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w:t>
            </w:r>
          </w:p>
        </w:tc>
        <w:tc>
          <w:tcPr>
            <w:tcW w:w="102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7</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Mitchell</w:t>
            </w: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Swain</w:t>
            </w: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w:t>
            </w:r>
          </w:p>
        </w:tc>
        <w:tc>
          <w:tcPr>
            <w:tcW w:w="2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21</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Transylvania</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Watauga</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w:t>
            </w:r>
          </w:p>
        </w:tc>
        <w:tc>
          <w:tcPr>
            <w:tcW w:w="102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Yancey</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5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South Carolina</w:t>
            </w:r>
          </w:p>
        </w:tc>
        <w:tc>
          <w:tcPr>
            <w:tcW w:w="5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Abbeville</w:t>
            </w: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Anderson</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w:t>
            </w: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Cherokee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Greenville</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w:t>
            </w:r>
          </w:p>
        </w:tc>
        <w:tc>
          <w:tcPr>
            <w:tcW w:w="6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w:t>
            </w: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Greenwood</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Laurens</w:t>
            </w: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F0FFFF"/>
          </w:tcPr>
          <w:p>
            <w:pPr>
              <w:spacing w:after="0"/>
              <w:rPr>
                <w:sz w:val="18"/>
                <w:szCs w:val="18"/>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Oconee</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Pickens</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w:t>
            </w: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Spartanburg</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634"/>
        </w:trPr>
        <w:tc>
          <w:tcPr>
            <w:tcW w:w="356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gridSpan w:val="2"/>
          </w:tcPr>
          <w:p>
            <w:pPr>
              <w:jc w:val="right"/>
              <w:ind w:right="20"/>
              <w:spacing w:after="0"/>
              <w:rPr>
                <w:sz w:val="20"/>
                <w:szCs w:val="20"/>
                <w:color w:val="auto"/>
              </w:rPr>
            </w:pPr>
            <w:r>
              <w:rPr>
                <w:rFonts w:ascii="Arial" w:cs="Arial" w:eastAsia="Arial" w:hAnsi="Arial"/>
                <w:sz w:val="18"/>
                <w:szCs w:val="18"/>
                <w:color w:val="auto"/>
              </w:rPr>
              <w:t>6</w:t>
            </w:r>
          </w:p>
        </w:tc>
        <w:tc>
          <w:tcPr>
            <w:tcW w:w="26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Loans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Bank makes both secured and unsecured loans to individuals, and businesses. Secured loans include first and second real estate mortgage loans and commercial loans secured by non-real estate assets. The Bank also makes direct installment loans to consumers on both a secured and unsecured basis.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Specific risk elements associated with the Bank’s lending categories include, but are not limited to: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ind w:left="360"/>
              <w:spacing w:after="0"/>
              <w:rPr>
                <w:sz w:val="20"/>
                <w:szCs w:val="20"/>
                <w:color w:val="auto"/>
              </w:rPr>
            </w:pPr>
            <w:r>
              <w:rPr>
                <w:rFonts w:ascii="Arial" w:cs="Arial" w:eastAsia="Arial" w:hAnsi="Arial"/>
                <w:sz w:val="14"/>
                <w:szCs w:val="14"/>
                <w:color w:val="auto"/>
              </w:rPr>
              <w:t>Percentage</w:t>
            </w:r>
          </w:p>
        </w:tc>
        <w:tc>
          <w:tcPr>
            <w:tcW w:w="6620" w:type="dxa"/>
            <w:vAlign w:val="bottom"/>
          </w:tcPr>
          <w:p>
            <w:pPr>
              <w:spacing w:after="0"/>
              <w:rPr>
                <w:sz w:val="14"/>
                <w:szCs w:val="14"/>
                <w:color w:val="auto"/>
              </w:rPr>
            </w:pPr>
          </w:p>
        </w:tc>
      </w:tr>
      <w:tr>
        <w:trPr>
          <w:trHeight w:val="174"/>
        </w:trPr>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Loan Type</w:t>
            </w:r>
          </w:p>
        </w:tc>
        <w:tc>
          <w:tcPr>
            <w:tcW w:w="140" w:type="dxa"/>
            <w:vAlign w:val="bottom"/>
          </w:tcPr>
          <w:p>
            <w:pPr>
              <w:spacing w:after="0"/>
              <w:rPr>
                <w:sz w:val="15"/>
                <w:szCs w:val="15"/>
                <w:color w:val="auto"/>
              </w:rPr>
            </w:pPr>
          </w:p>
        </w:tc>
        <w:tc>
          <w:tcPr>
            <w:tcW w:w="136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of Portfolio</w:t>
            </w:r>
          </w:p>
        </w:tc>
        <w:tc>
          <w:tcPr>
            <w:tcW w:w="100" w:type="dxa"/>
            <w:vAlign w:val="bottom"/>
          </w:tcPr>
          <w:p>
            <w:pPr>
              <w:spacing w:after="0"/>
              <w:rPr>
                <w:sz w:val="15"/>
                <w:szCs w:val="15"/>
                <w:color w:val="auto"/>
              </w:rPr>
            </w:pPr>
          </w:p>
        </w:tc>
        <w:tc>
          <w:tcPr>
            <w:tcW w:w="66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Risk Elements</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Commercial real estate - owner occupied</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24.9%</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3"/>
              </w:rPr>
              <w:t>General economic conditions; consumer spending; effect of rising interest rates; market’s</w:t>
            </w:r>
          </w:p>
        </w:tc>
      </w:tr>
      <w:tr>
        <w:trPr>
          <w:trHeight w:val="230"/>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9"/>
              </w:rPr>
              <w:t>loosening of credit underwriting standards and structures; and business confidence.</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w w:val="96"/>
              </w:rPr>
              <w:t>Commercial real estate - income producing</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13.7%</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4"/>
              </w:rPr>
              <w:t>Effect of rising interest rates, supply and demand of property type; consumer sentiment;</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4"/>
              </w:rPr>
              <w:t>business confidence; effect of financial markets, general economic conditions in the U.S</w:t>
            </w:r>
          </w:p>
        </w:tc>
      </w:tr>
      <w:tr>
        <w:trPr>
          <w:trHeight w:val="230"/>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and abroad and recovery of operating fundamentals.</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Commercial and industrial</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13.1%</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2"/>
              </w:rPr>
              <w:t>Industry concentrations; inability to monitor the condition of collateral (inventory, accounts</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2"/>
              </w:rPr>
              <w:t>receivable and other non-real estate assets); use of specialized or obsolete equipment as</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7"/>
              </w:rPr>
              <w:t>collateral; insufficient cash flow from operations to service debt payments; declines in</w:t>
            </w:r>
          </w:p>
        </w:tc>
      </w:tr>
      <w:tr>
        <w:trPr>
          <w:trHeight w:val="230"/>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general economic conditions.</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Effect of rising interest rates;  changes in market demand for property, recovery of</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0"/>
              </w:rPr>
              <w:t>operating fundamentals, market’s loosening of credit underwriting standards and structures,</w:t>
            </w:r>
          </w:p>
        </w:tc>
      </w:tr>
      <w:tr>
        <w:trPr>
          <w:trHeight w:val="230"/>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and fluctuations in both the debt and equity markets.</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17.2%</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8"/>
              </w:rPr>
              <w:t>Loan portfolio concentrations; changes in general economic conditions or in the local</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6"/>
              </w:rPr>
              <w:t>economy; loss of borrower’s employment; insufficient collateral value due to decline in</w:t>
            </w:r>
          </w:p>
        </w:tc>
      </w:tr>
      <w:tr>
        <w:trPr>
          <w:trHeight w:val="230"/>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property value.</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7"/>
              </w:rPr>
              <w:t>Unemployment and underemployment levels; rise in interest rates; household income</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3"/>
              </w:rPr>
              <w:t>growth; declining home values reducing the amount of equity; lines of credit nearing their</w:t>
            </w:r>
          </w:p>
        </w:tc>
      </w:tr>
      <w:tr>
        <w:trPr>
          <w:trHeight w:val="230"/>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“end-of-draw” period.</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5.9%</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2"/>
              </w:rPr>
              <w:t>Inadequate long-term financing arrangements; inventory levels; cost overruns, changes in</w:t>
            </w:r>
          </w:p>
        </w:tc>
      </w:tr>
      <w:tr>
        <w:trPr>
          <w:trHeight w:val="230"/>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market demand for property; rising interest rates.</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1.9%</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2"/>
              </w:rPr>
              <w:t>Consumer sentiment; elevated umemployment and underemployment in many of our local</w:t>
            </w:r>
          </w:p>
        </w:tc>
      </w:tr>
      <w:tr>
        <w:trPr>
          <w:trHeight w:val="230"/>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markets; household income stagnation; and increases in consumer prices.</w:t>
            </w:r>
          </w:p>
        </w:tc>
      </w:tr>
      <w:tr>
        <w:trPr>
          <w:trHeight w:val="418"/>
        </w:trPr>
        <w:tc>
          <w:tcPr>
            <w:tcW w:w="3340" w:type="dxa"/>
            <w:vAlign w:val="bottom"/>
            <w:gridSpan w:val="2"/>
          </w:tcPr>
          <w:p>
            <w:pPr>
              <w:spacing w:after="0"/>
              <w:rPr>
                <w:sz w:val="20"/>
                <w:szCs w:val="20"/>
                <w:color w:val="auto"/>
              </w:rPr>
            </w:pPr>
            <w:r>
              <w:rPr>
                <w:rFonts w:ascii="Arial" w:cs="Arial" w:eastAsia="Arial" w:hAnsi="Arial"/>
                <w:sz w:val="18"/>
                <w:szCs w:val="18"/>
                <w:color w:val="auto"/>
              </w:rPr>
              <w:t>Indirect auto</w:t>
            </w:r>
          </w:p>
        </w:tc>
        <w:tc>
          <w:tcPr>
            <w:tcW w:w="1360" w:type="dxa"/>
            <w:vAlign w:val="bottom"/>
          </w:tcPr>
          <w:p>
            <w:pPr>
              <w:jc w:val="center"/>
              <w:spacing w:after="0"/>
              <w:rPr>
                <w:sz w:val="20"/>
                <w:szCs w:val="20"/>
                <w:color w:val="auto"/>
              </w:rPr>
            </w:pPr>
            <w:r>
              <w:rPr>
                <w:rFonts w:ascii="Arial" w:cs="Arial" w:eastAsia="Arial" w:hAnsi="Arial"/>
                <w:sz w:val="18"/>
                <w:szCs w:val="18"/>
                <w:color w:val="auto"/>
                <w:w w:val="92"/>
              </w:rPr>
              <w:t>7.6%</w:t>
            </w:r>
          </w:p>
        </w:tc>
        <w:tc>
          <w:tcPr>
            <w:tcW w:w="10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w w:val="94"/>
              </w:rPr>
              <w:t>Consumer sentiment; unemployment and underemployment levels; rise in interest rates;</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increases in consumer prices; decline in household income and loosening of credit</w:t>
            </w:r>
          </w:p>
        </w:tc>
      </w:tr>
      <w:tr>
        <w:trPr>
          <w:trHeight w:val="230"/>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structures; decline in vehicle values.</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Policy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 makes loans primarily to persons or businesses that reside, work, own property, or operate in its primary market areas, except for specific specialized lending strategies such as SBA and franchise lending. Unsecured loans are generally made only to persons who qualify for such credit based on their credit history, net worth, income and liquidity. Secured loans are made to persons who are well established and have the credit history, net worth, collateral, and cash flow to support the loan. Exceptions to the Bank’s policies are permitted on a case-by-case basis. Major policy exceptions require an approving officer to document the reason for the exception. Loans exceeding a lending officer’s credit limit must be approved through a credit approval process involving Regional Credit Managers. Consumer loans are approved through centralized consumer credit centers.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Credit Administration department provides each lending officer with written guidelines for lending activities as approved by the Bank’s Board of Directors. Limited lending authority is delegated to lending officers by Credit Administration as authorized by the Bank’s Board of Directors. Loans in excess of individual officer credit authority must be approved by a senior officer with sufficient approval authority delegated by Credit Administration as authorized by the Bank’s Board of Directors. The Senior Credit Committee approves loans where the total relationship exposure exceeds $8.5 million. At December 31, 2015, the Bank’s secured legal lending limit was $242 million; however, the Board of Directors has established an internal lending limit of $28 million and an individual real estate project limit of $17 million.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Commercial Lending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utilizes its Regional Credit Managers to provide credit administration support for commercial loans to the Bank as needed. The Regional Credit Managers have lending authority set by Credit Administration based on characteristics of the markets they serve. The Regional Credit Managers also provide credit underwriting support as needed by the community banks they serve.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Credit Center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has implemented a centralized consumer credit center that provides underwriting, regulatory disclosure and document preparation for all consumer loan requests originated by the bank’s market lenders. Applications are processed through an automated loan origination software platform and decisioned by the credit center underwriters.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Review and Nonperforming Assets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United’s Loan Review Department reviews, or engages an independent third party to review, the Bank’s loan portfolio on an ongoing basis to identify any weaknesses in the portfolio and to assess the general quality of credit underwriting. The results of such reviews are presented to Executive Management, the Community Bank Presidents, Credit Administration Management and the Risk Committee of the Board of Directors. If an individual loan or credit relationship has a material weakness identified during the review process, the risk rating of the loan, or generally all loans comprising that credit relationship, will be downgraded to the classification that most closely matches the current risk level. The review process also provides for the upgrade of loans that show improvement since the last review. Since each loan in a credit relationship may have a different credit structure, source of repayment and guarantors, different loans in a relationship can be assigned different risk ratings. United adopted a dual risk rating system for commercial loans whereby risk is defined at the obligor level and the facility level. The obligor risk rating assigns a rating based on qualitative and quantitative metrics that measure the financial viability of the borrower which is an estimate of the probability that the borrower will default. The facility risk rating considers the loss protection provided by assigned collateral factoring in control and the loan-to-value ratio. This rating estimates the probability of loss once the borrower has defaulted.</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United’s 10-tier loan grading system for commercial loans, grades 1 through 6 are considered “pass” (acceptable) credit risk, grade 7 is a “watch” rating, and grades 8 through 10 are “adversely classified” credits that require management’s attention. The entire 10-grade rating scale provides for a higher numeric rating for increased risk. For example, a risk rating of 1 is the least risky of all credits and would be typical of a loan that is 100% secured by a deposit at the Bank. Risk ratings of 2 through 6 in the pass category each have incrementally more risk. The four watch list credit ratings and rating definitions are: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1500" w:type="dxa"/>
            <w:vAlign w:val="bottom"/>
          </w:tcPr>
          <w:p>
            <w:pPr>
              <w:ind w:left="20"/>
              <w:spacing w:after="0"/>
              <w:rPr>
                <w:sz w:val="20"/>
                <w:szCs w:val="20"/>
                <w:color w:val="auto"/>
              </w:rPr>
            </w:pPr>
            <w:r>
              <w:rPr>
                <w:rFonts w:ascii="Arial" w:cs="Arial" w:eastAsia="Arial" w:hAnsi="Arial"/>
                <w:sz w:val="18"/>
                <w:szCs w:val="18"/>
                <w:color w:val="auto"/>
              </w:rPr>
              <w:t>(Watch)</w:t>
            </w:r>
          </w:p>
        </w:tc>
        <w:tc>
          <w:tcPr>
            <w:tcW w:w="9800" w:type="dxa"/>
            <w:vAlign w:val="bottom"/>
          </w:tcPr>
          <w:p>
            <w:pPr>
              <w:ind w:left="460"/>
              <w:spacing w:after="0"/>
              <w:rPr>
                <w:sz w:val="20"/>
                <w:szCs w:val="20"/>
                <w:color w:val="auto"/>
              </w:rPr>
            </w:pPr>
            <w:r>
              <w:rPr>
                <w:rFonts w:ascii="Arial" w:cs="Arial" w:eastAsia="Arial" w:hAnsi="Arial"/>
                <w:sz w:val="18"/>
                <w:szCs w:val="18"/>
                <w:color w:val="auto"/>
                <w:w w:val="90"/>
              </w:rPr>
              <w:t>Loans in this category are presently protected from apparent loss; however weaknesses exist that could cause future impairment,</w:t>
            </w:r>
          </w:p>
        </w:tc>
      </w:tr>
      <w:tr>
        <w:trPr>
          <w:trHeight w:val="216"/>
        </w:trPr>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0" w:type="dxa"/>
            <w:vAlign w:val="bottom"/>
          </w:tcPr>
          <w:p>
            <w:pPr>
              <w:ind w:left="460"/>
              <w:spacing w:after="0"/>
              <w:rPr>
                <w:sz w:val="20"/>
                <w:szCs w:val="20"/>
                <w:color w:val="auto"/>
              </w:rPr>
            </w:pPr>
            <w:r>
              <w:rPr>
                <w:rFonts w:ascii="Arial" w:cs="Arial" w:eastAsia="Arial" w:hAnsi="Arial"/>
                <w:sz w:val="18"/>
                <w:szCs w:val="18"/>
                <w:color w:val="auto"/>
                <w:w w:val="93"/>
              </w:rPr>
              <w:t>including the deterioration of financial ratios, past due status and questionable management capabilities.  These loans require</w:t>
            </w:r>
          </w:p>
        </w:tc>
      </w:tr>
      <w:tr>
        <w:trPr>
          <w:trHeight w:val="216"/>
        </w:trPr>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0" w:type="dxa"/>
            <w:vAlign w:val="bottom"/>
          </w:tcPr>
          <w:p>
            <w:pPr>
              <w:ind w:left="460"/>
              <w:spacing w:after="0"/>
              <w:rPr>
                <w:sz w:val="20"/>
                <w:szCs w:val="20"/>
                <w:color w:val="auto"/>
              </w:rPr>
            </w:pPr>
            <w:r>
              <w:rPr>
                <w:rFonts w:ascii="Arial" w:cs="Arial" w:eastAsia="Arial" w:hAnsi="Arial"/>
                <w:sz w:val="18"/>
                <w:szCs w:val="18"/>
                <w:color w:val="auto"/>
                <w:w w:val="91"/>
              </w:rPr>
              <w:t>more than the ordinary amount of supervision. Collateral values generally afford adequate coverage, but may not be immediately</w:t>
            </w:r>
          </w:p>
        </w:tc>
      </w:tr>
      <w:tr>
        <w:trPr>
          <w:trHeight w:val="230"/>
        </w:trPr>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0" w:type="dxa"/>
            <w:vAlign w:val="bottom"/>
          </w:tcPr>
          <w:p>
            <w:pPr>
              <w:ind w:left="460"/>
              <w:spacing w:after="0"/>
              <w:rPr>
                <w:sz w:val="20"/>
                <w:szCs w:val="20"/>
                <w:color w:val="auto"/>
              </w:rPr>
            </w:pPr>
            <w:r>
              <w:rPr>
                <w:rFonts w:ascii="Arial" w:cs="Arial" w:eastAsia="Arial" w:hAnsi="Arial"/>
                <w:sz w:val="18"/>
                <w:szCs w:val="18"/>
                <w:color w:val="auto"/>
              </w:rPr>
              <w:t>marketable.</w:t>
            </w:r>
          </w:p>
        </w:tc>
      </w:tr>
      <w:tr>
        <w:trPr>
          <w:trHeight w:val="418"/>
        </w:trPr>
        <w:tc>
          <w:tcPr>
            <w:tcW w:w="120" w:type="dxa"/>
            <w:vAlign w:val="bottom"/>
          </w:tcPr>
          <w:p>
            <w:pPr>
              <w:spacing w:after="0"/>
              <w:rPr>
                <w:sz w:val="20"/>
                <w:szCs w:val="20"/>
                <w:color w:val="auto"/>
              </w:rPr>
            </w:pPr>
            <w:r>
              <w:rPr>
                <w:rFonts w:ascii="Arial" w:cs="Arial" w:eastAsia="Arial" w:hAnsi="Arial"/>
                <w:sz w:val="18"/>
                <w:szCs w:val="18"/>
                <w:color w:val="auto"/>
                <w:w w:val="99"/>
              </w:rPr>
              <w:t>8</w:t>
            </w:r>
          </w:p>
        </w:tc>
        <w:tc>
          <w:tcPr>
            <w:tcW w:w="1500" w:type="dxa"/>
            <w:vAlign w:val="bottom"/>
          </w:tcPr>
          <w:p>
            <w:pPr>
              <w:ind w:left="20"/>
              <w:spacing w:after="0"/>
              <w:rPr>
                <w:sz w:val="20"/>
                <w:szCs w:val="20"/>
                <w:color w:val="auto"/>
              </w:rPr>
            </w:pPr>
            <w:r>
              <w:rPr>
                <w:rFonts w:ascii="Arial" w:cs="Arial" w:eastAsia="Arial" w:hAnsi="Arial"/>
                <w:sz w:val="18"/>
                <w:szCs w:val="18"/>
                <w:color w:val="auto"/>
              </w:rPr>
              <w:t>(Substandard)</w:t>
            </w:r>
          </w:p>
        </w:tc>
        <w:tc>
          <w:tcPr>
            <w:tcW w:w="9800" w:type="dxa"/>
            <w:vAlign w:val="bottom"/>
          </w:tcPr>
          <w:p>
            <w:pPr>
              <w:ind w:left="460"/>
              <w:spacing w:after="0"/>
              <w:rPr>
                <w:sz w:val="20"/>
                <w:szCs w:val="20"/>
                <w:color w:val="auto"/>
              </w:rPr>
            </w:pPr>
            <w:r>
              <w:rPr>
                <w:rFonts w:ascii="Arial" w:cs="Arial" w:eastAsia="Arial" w:hAnsi="Arial"/>
                <w:sz w:val="18"/>
                <w:szCs w:val="18"/>
                <w:color w:val="auto"/>
                <w:w w:val="92"/>
              </w:rPr>
              <w:t>These loans are inadequately protected by the current net worth and paying capacity of the obligor or by the collateral pledged.</w:t>
            </w:r>
          </w:p>
        </w:tc>
      </w:tr>
      <w:tr>
        <w:trPr>
          <w:trHeight w:val="216"/>
        </w:trPr>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0" w:type="dxa"/>
            <w:vAlign w:val="bottom"/>
          </w:tcPr>
          <w:p>
            <w:pPr>
              <w:ind w:left="460"/>
              <w:spacing w:after="0"/>
              <w:rPr>
                <w:sz w:val="20"/>
                <w:szCs w:val="20"/>
                <w:color w:val="auto"/>
              </w:rPr>
            </w:pPr>
            <w:r>
              <w:rPr>
                <w:rFonts w:ascii="Arial" w:cs="Arial" w:eastAsia="Arial" w:hAnsi="Arial"/>
                <w:sz w:val="18"/>
                <w:szCs w:val="18"/>
                <w:color w:val="auto"/>
                <w:w w:val="92"/>
              </w:rPr>
              <w:t>Specific and well-defined weaknesses exist that may include poor liquidity and deterioration of financial ratios. The loan may be</w:t>
            </w:r>
          </w:p>
        </w:tc>
      </w:tr>
      <w:tr>
        <w:trPr>
          <w:trHeight w:val="216"/>
        </w:trPr>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800" w:type="dxa"/>
            <w:vAlign w:val="bottom"/>
          </w:tcPr>
          <w:p>
            <w:pPr>
              <w:ind w:left="460"/>
              <w:spacing w:after="0"/>
              <w:rPr>
                <w:sz w:val="20"/>
                <w:szCs w:val="20"/>
                <w:color w:val="auto"/>
              </w:rPr>
            </w:pPr>
            <w:r>
              <w:rPr>
                <w:rFonts w:ascii="Arial" w:cs="Arial" w:eastAsia="Arial" w:hAnsi="Arial"/>
                <w:sz w:val="18"/>
                <w:szCs w:val="18"/>
                <w:color w:val="auto"/>
                <w:w w:val="91"/>
              </w:rPr>
              <w:t>past due and related deposit accounts experiencing overdrafts. There is the distinct possibility that United will sustain some loss</w:t>
            </w:r>
          </w:p>
        </w:tc>
      </w:tr>
      <w:tr>
        <w:trPr>
          <w:trHeight w:val="230"/>
        </w:trPr>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0" w:type="dxa"/>
            <w:vAlign w:val="bottom"/>
          </w:tcPr>
          <w:p>
            <w:pPr>
              <w:ind w:left="460"/>
              <w:spacing w:after="0"/>
              <w:rPr>
                <w:sz w:val="20"/>
                <w:szCs w:val="20"/>
                <w:color w:val="auto"/>
              </w:rPr>
            </w:pPr>
            <w:r>
              <w:rPr>
                <w:rFonts w:ascii="Arial" w:cs="Arial" w:eastAsia="Arial" w:hAnsi="Arial"/>
                <w:sz w:val="18"/>
                <w:szCs w:val="18"/>
                <w:color w:val="auto"/>
              </w:rPr>
              <w:t>if deficiencies are not corrected. If possible, immediate corrective action is taken.</w:t>
            </w:r>
          </w:p>
        </w:tc>
      </w:tr>
      <w:tr>
        <w:trPr>
          <w:trHeight w:val="418"/>
        </w:trPr>
        <w:tc>
          <w:tcPr>
            <w:tcW w:w="120" w:type="dxa"/>
            <w:vAlign w:val="bottom"/>
          </w:tcPr>
          <w:p>
            <w:pPr>
              <w:spacing w:after="0"/>
              <w:rPr>
                <w:sz w:val="20"/>
                <w:szCs w:val="20"/>
                <w:color w:val="auto"/>
              </w:rPr>
            </w:pPr>
            <w:r>
              <w:rPr>
                <w:rFonts w:ascii="Arial" w:cs="Arial" w:eastAsia="Arial" w:hAnsi="Arial"/>
                <w:sz w:val="18"/>
                <w:szCs w:val="18"/>
                <w:color w:val="auto"/>
                <w:w w:val="99"/>
              </w:rPr>
              <w:t>9</w:t>
            </w:r>
          </w:p>
        </w:tc>
        <w:tc>
          <w:tcPr>
            <w:tcW w:w="1500" w:type="dxa"/>
            <w:vAlign w:val="bottom"/>
          </w:tcPr>
          <w:p>
            <w:pPr>
              <w:ind w:left="20"/>
              <w:spacing w:after="0"/>
              <w:rPr>
                <w:sz w:val="20"/>
                <w:szCs w:val="20"/>
                <w:color w:val="auto"/>
              </w:rPr>
            </w:pPr>
            <w:r>
              <w:rPr>
                <w:rFonts w:ascii="Arial" w:cs="Arial" w:eastAsia="Arial" w:hAnsi="Arial"/>
                <w:sz w:val="18"/>
                <w:szCs w:val="18"/>
                <w:color w:val="auto"/>
              </w:rPr>
              <w:t>(Doubtful)</w:t>
            </w:r>
          </w:p>
        </w:tc>
        <w:tc>
          <w:tcPr>
            <w:tcW w:w="9800" w:type="dxa"/>
            <w:vAlign w:val="bottom"/>
          </w:tcPr>
          <w:p>
            <w:pPr>
              <w:ind w:left="460"/>
              <w:spacing w:after="0"/>
              <w:rPr>
                <w:sz w:val="20"/>
                <w:szCs w:val="20"/>
                <w:color w:val="auto"/>
              </w:rPr>
            </w:pPr>
            <w:r>
              <w:rPr>
                <w:rFonts w:ascii="Arial" w:cs="Arial" w:eastAsia="Arial" w:hAnsi="Arial"/>
                <w:sz w:val="18"/>
                <w:szCs w:val="18"/>
                <w:color w:val="auto"/>
                <w:w w:val="93"/>
              </w:rPr>
              <w:t>Specific weaknesses characterized as Substandard that are severe enough to make collection in full highly questionable and</w:t>
            </w:r>
          </w:p>
        </w:tc>
      </w:tr>
      <w:tr>
        <w:trPr>
          <w:trHeight w:val="230"/>
        </w:trPr>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0" w:type="dxa"/>
            <w:vAlign w:val="bottom"/>
          </w:tcPr>
          <w:p>
            <w:pPr>
              <w:ind w:left="460"/>
              <w:spacing w:after="0"/>
              <w:rPr>
                <w:sz w:val="20"/>
                <w:szCs w:val="20"/>
                <w:color w:val="auto"/>
              </w:rPr>
            </w:pPr>
            <w:r>
              <w:rPr>
                <w:rFonts w:ascii="Arial" w:cs="Arial" w:eastAsia="Arial" w:hAnsi="Arial"/>
                <w:sz w:val="18"/>
                <w:szCs w:val="18"/>
                <w:color w:val="auto"/>
              </w:rPr>
              <w:t>improbable. There is no reliable secondary source of full repayment.</w:t>
            </w: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color w:val="auto"/>
              </w:rPr>
              <w:t>10 (Loss)</w:t>
            </w:r>
          </w:p>
        </w:tc>
        <w:tc>
          <w:tcPr>
            <w:tcW w:w="9800" w:type="dxa"/>
            <w:vAlign w:val="bottom"/>
          </w:tcPr>
          <w:p>
            <w:pPr>
              <w:ind w:left="460"/>
              <w:spacing w:after="0"/>
              <w:rPr>
                <w:sz w:val="20"/>
                <w:szCs w:val="20"/>
                <w:color w:val="auto"/>
              </w:rPr>
            </w:pPr>
            <w:r>
              <w:rPr>
                <w:rFonts w:ascii="Arial" w:cs="Arial" w:eastAsia="Arial" w:hAnsi="Arial"/>
                <w:sz w:val="18"/>
                <w:szCs w:val="18"/>
                <w:color w:val="auto"/>
                <w:w w:val="94"/>
              </w:rPr>
              <w:t>Loans categorized as Loss have the same characteristics as Doubtful, however, loss is certain.  Loans classified as Loss are</w:t>
            </w:r>
          </w:p>
        </w:tc>
      </w:tr>
      <w:tr>
        <w:trPr>
          <w:trHeight w:val="230"/>
        </w:trPr>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800" w:type="dxa"/>
            <w:vAlign w:val="bottom"/>
          </w:tcPr>
          <w:p>
            <w:pPr>
              <w:ind w:left="460"/>
              <w:spacing w:after="0"/>
              <w:rPr>
                <w:sz w:val="20"/>
                <w:szCs w:val="20"/>
                <w:color w:val="auto"/>
              </w:rPr>
            </w:pPr>
            <w:r>
              <w:rPr>
                <w:rFonts w:ascii="Arial" w:cs="Arial" w:eastAsia="Arial" w:hAnsi="Arial"/>
                <w:sz w:val="18"/>
                <w:szCs w:val="18"/>
                <w:color w:val="auto"/>
              </w:rPr>
              <w:t>charged-off.</w:t>
            </w: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Loans not meeting the criteria above that are analyzed individually as part of the above described process are considered to be pass rated loans. Consumer loans are part of a pass / fail grading system designed to segment loans based upon the risk of default resulting in a loss to the Bank. Specifically, a failed credit will be a loan that has a high probability of default within the next twelve months with the default expected to result in a loss to the Bank.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spacing w:after="0" w:line="268" w:lineRule="auto"/>
        <w:rPr>
          <w:sz w:val="20"/>
          <w:szCs w:val="20"/>
          <w:color w:val="auto"/>
        </w:rPr>
      </w:pPr>
      <w:r>
        <w:rPr>
          <w:rFonts w:ascii="Arial" w:cs="Arial" w:eastAsia="Arial" w:hAnsi="Arial"/>
          <w:sz w:val="17"/>
          <w:szCs w:val="17"/>
          <w:color w:val="auto"/>
        </w:rPr>
        <w:t>In addition, Credit Administration, with supervision and input from the Accounting Department, prepares a quarterly analysis to determine the adequacy of the Allowance for Credit Losses (“ACL”). The ACL is comprised of the allowance for loan losses and the allowance for unfunded commitments. The allowance for loan losses analysis starts with total loans and subtracts loans fully secured by deposit accounts at the Bank and the portion of loans guaranteed by the SBA or USDA, which effectively have no risk of loss. Next, all loans that are considered individually impaired are reviewed and assigned a specific reserve if one is warranted. Most collateral dependent impaired loans with specific reserves are charged down to net realizable value of the underlying collateral. The remaining loan balance for each major loan category is then multiplied by its respective estimated loss factor that is derived from the weighted average historical loss rate for the preceding two year period, weighted toward the most recent quarters, and adjusted to reflect current economic conditions. Loss factors for these loans are estimated and determined based on historical loss experience by type of loan. United multiplies the annualized loss factor by the calculated loss emergence period in order to quantify the amount of incurred losses in the loan portfolio. The loss emergence period is determined for each category of loans based on the average length of time between when a loan first becomes more than 30 days past due and when that loan is ultimately charged off. Management’s use of the loss emergence period is an estimate of the period of time from the first evidence of loss incurrence through the period of time until such losses are confirmed (or charged-off). Previously, United reported an unallocated portion of the allowance which was maintained due to imprecision in estimating loss factors and loss emergence periods, and economic and other conditions that cannot be entirely quantified in the analysis. With the incorporation of the loss emergence period into United’s allowance methodology in the first quarter of 2014, the previously unallocated balance has been allocated to other components of the allowance for loan losses.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Asset/Liability Committee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United’s Asset Liability Management Committee (“ALCO”) is composed of executive and other officers and the Treasurer of United. ALCO is charged with managing the assets and liabilities of United and the Bank. ALCO’s primary role is to balance asset growth and income generation with the prudent management of interest rate risk, market risk and liquidity risk and with the need to maintain appropriate levels of capital. ALCO directs the Bank’s overall balance sheet strategy, including the acquisition and investment of funds. At regular meetings, the committee reviews the interest rate sensitivity and liquidity positions, including stress scenarios, the net interest margin, the investment portfolio, the funding mix and other variables, such as regulatory changes, monetary policy adjustments and the overall state of the economy. A more comprehensive discussion of United’s asset/liability management and interest rate risk is contained in the </w:t>
      </w:r>
      <w:r>
        <w:rPr>
          <w:rFonts w:ascii="Arial" w:cs="Arial" w:eastAsia="Arial" w:hAnsi="Arial"/>
          <w:sz w:val="18"/>
          <w:szCs w:val="18"/>
          <w:i w:val="1"/>
          <w:iCs w:val="1"/>
          <w:color w:val="auto"/>
        </w:rPr>
        <w:t>Management’s Discussion and Analysis</w:t>
      </w:r>
      <w:r>
        <w:rPr>
          <w:rFonts w:ascii="Arial" w:cs="Arial" w:eastAsia="Arial" w:hAnsi="Arial"/>
          <w:sz w:val="18"/>
          <w:szCs w:val="18"/>
          <w:color w:val="auto"/>
        </w:rPr>
        <w:t xml:space="preserve"> (Part II, Item 7) and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xml:space="preserve"> (Part II, Item 7A) sections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investment portfolio policy is to balance income generation with liquidity, interest rate sensitivity, pledging and regulatory needs. The Chief Financial Officer and the Treasurer of United administer the policy, and it is reviewed from time to time by United’s ALCO and the Board of Directors. Portfolio activity, composition, and performance are reviewed and approved periodically by United’s Board of Directors and Risk Committee thereof.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2015, United and its subsidiaries had 1,883 full-time equivalent employees. Neither United nor any of its subsidiaries are a party to any collective bargaining agreement and management believes that employee relations are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Internet website address is www.ucbi.com. United makes available free of charge through its website Annual Reports on Form 10-K, Quarterly Reports on Form 10-Q and Current Reports on Form 8-K, and amendments to those reports, as soon as reasonably practicable after they are filed with, or furnished to,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is an explanation of the supervision and regulation of United and the Bank as financial institutions. This explanation does not purport to describe state, federal or Nasdaq Stock Market supervision and regulation of general business corporations or Nasdaq listed companies.</w:t>
      </w:r>
    </w:p>
    <w:p>
      <w:pPr>
        <w:spacing w:after="0" w:line="14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United is a registered bank holding company subject to regulation by the Federal Reserve under the BHC Act. United is required to file annual and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financial information with the Federal Reserve and is subject to periodic examination by the Federal Reserve.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BHC Act requires every bank holding company to obtain the Federal Reserve’s prior approval before (1) it may acquire direct or indirect ownership or control of more than 5% of the voting shares of any bank that it does not already control; (2) it or any of its non-bank subsidiaries may acquire all or substantially all of the assets of a bank; and (3) it may merge or consolidate with any other bank holding company. In addition, a bank holding company is generally prohibited from engaging in, or acquiring, direct or indirect control of the voting shares of any company engaged in non-banking activities. This prohibition does not apply to activities listed in the BHC Act or found by the Federal Reserve, by order or regulation, to be closely related to banking or managing or controlling banks as to be a proper incident thereto. Some of the activities that the Federal Reserve has determined by regulation or order to be closely related to banking are: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or servicing loans and certain types of leases;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performing certain data processing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acting as fiduciary or investment or financial advisor;</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providing brokerage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underwriting bank eligible securities;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underwriting debt and equity securities on a limited basis through separately capitalized subsidiaries;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making investments in corporations or projects designed primarily to promote community welfare.</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the activities of bank holding companies have traditionally been limited to the business of banking and activities closely related or incidental to banking (as discussed above), the Gramm-Leach-Bliley Act (the “GLB Act”) relaxed the previous limitations and permitted bank holding companies to engage in a broader range of financial activities. Specifically, bank holding companies may elect to become financial holding companies which may affiliate with securities firms and insurance companies and engage in other activities that are financial in nature. Among the activities that are deemed “financial in nature” include:</w:t>
      </w:r>
    </w:p>
    <w:p>
      <w:pPr>
        <w:spacing w:after="0" w:line="18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lending, exchanging, transferring, investing for others or safeguarding money or securities;</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insuring, guaranteeing, or indemnifying against loss, harm, damage, illness, disability, or death, or providing and issuing annuities, and acting as principal, agent, or broker with respect thereto;</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providing financial, investment, or economic advisory services, including advising an investment company;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issuing or selling instruments representing interests in pools of assets permissible for a bank to hold directly;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underwriting, dealing in or making a market in securities.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legislation, the Federal Reserve serves as the primary “umbrella” regulator of financial holding companies with supervisory authority over each parent company and limited authority over its subsidiaries. The primary regulator of each subsidiary of a financial holding company will depend on the type of activity conducted by the subsidiary. For example, broker-dealer subsidiaries will be regulated largely by securities regulators and insurance subsidiaries will be regulated largely by insurance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United has no current plans to register as a financial holding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 must also register with the Georgia Department of Banking and Finance (the “DBF”) and file periodic information with the DBF. As part of such registration, the DBF requires information with respect to the financial condition, operations, management and intercompany relationship of United and the Bank and related matters. The DBF may also require such other information as is necessary to keep itself informed concerning compliance with Georgia law and the regulations and orders issued thereunder by the DBF, and the DBF may examine United and the Bank. Although the Bank operates branches in North Carolina, east Tennessee and upstate South Carolina; neither the North Carolina Banking Commission, the Tennessee Department of Financial Institutions, nor the South Carolina Commissioner of Banking examines or directly regulates out-of-state holding companies.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United is an “affiliate” of the Bank under the Federal Reserve Act, which imposes certain restrictions on (1) loans by the Bank to United, (2) investments in the stock or securities of United by the Bank, (3) the Bank taking the stock or securities of an “affiliate” as collateral for loans by the Bank to a borrower, and</w:t>
      </w:r>
    </w:p>
    <w:p>
      <w:pPr>
        <w:ind w:firstLine="8"/>
        <w:spacing w:after="0" w:line="261" w:lineRule="auto"/>
        <w:tabs>
          <w:tab w:leader="none" w:pos="27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purchase of assets from United by the Bank. Further, a bank holding company and its subsidiaries are prohibited from engaging in certain tie-in arrangements in connection with any extension of credit, lease or sale of property or furnishing of services.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 and each of its subsidiaries are regularly examined by the FDIC. The Bank, as a state banking association organized under Georgia law, is subject to the supervision of, and is regularly examined by, the DBF. Both the FDIC and the DBF must grant prior approval of any merger, consolidation or other corporation reorganization involving the Bank.</w:t>
      </w:r>
    </w:p>
    <w:p>
      <w:pPr>
        <w:spacing w:after="0" w:line="177"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Payment of Dividends. </w:t>
      </w:r>
      <w:r>
        <w:rPr>
          <w:rFonts w:ascii="Arial" w:cs="Arial" w:eastAsia="Arial" w:hAnsi="Arial"/>
          <w:sz w:val="17"/>
          <w:szCs w:val="17"/>
          <w:color w:val="auto"/>
        </w:rPr>
        <w:t>United is a legal entity separate and distinct from the Bank. Most of the revenue of United results from dividends paid to it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 There are statutory and regulatory requirements applicable to the payment of dividends by the Bank, as well as by United to its shareholders.</w:t>
      </w:r>
    </w:p>
    <w:p>
      <w:pPr>
        <w:spacing w:after="0" w:line="1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regulations of the DBF, a state bank with an accumulated deficit (negative retained earnings) may declare dividends (reduction in capital) by first obtaining the written permission of the DBF and FDIC. If a state bank has positive retained earnings, it may declare a dividend without DBF approval if it meets all the following requirements:</w:t>
      </w:r>
    </w:p>
    <w:p>
      <w:pPr>
        <w:spacing w:after="0" w:line="18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classified assets as of the most recent examination of the bank do not exceed 80% of equity capital (as defined by regulation);</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aggregate amount of dividends declared or anticipated to be declared in the calendar year does not exceed 50% of the net profits after taxes but before dividends for the previous calendar year; and</w:t>
      </w: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ratio of equity capital to adjusted assets is not less than 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55" w:lineRule="auto"/>
        <w:rPr>
          <w:sz w:val="20"/>
          <w:szCs w:val="20"/>
          <w:color w:val="auto"/>
        </w:rPr>
      </w:pPr>
      <w:r>
        <w:rPr>
          <w:rFonts w:ascii="Arial" w:cs="Arial" w:eastAsia="Arial" w:hAnsi="Arial"/>
          <w:sz w:val="18"/>
          <w:szCs w:val="18"/>
          <w:color w:val="auto"/>
        </w:rPr>
        <w:t>The payment of dividends by United and the Bank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 consider the adequacy of the Bank’s total capital in relation to its assets, deposits and other such items. Capital adequacy considerations could further limit the availability of dividends from the Bank.</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rules adopted by the Federal Reserve in November 2011, known as the Comprehensive Capital Analysis and Review (“CCAR”) Rules, bank holding companies with $50 billion or more of total assets are required to submit annual capital plans to the Federal Reserve and generally may pay dividends and repurchase stock only under a capital plan as to which the Federal Reserve has not objected. The CCAR rules will not apply to United for so long as our total consolidated assets remain below $50 billion. However, it is anticipated that United capital ratios will be important factors considered by the Federal Reserve in evaluating whether proposed payments of dividends or stock repurchases may be an unsafe or unsound practices.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Due to its accumulated deficit, the Bank must receive pre-approval from the DBF and FDIC to pay cash dividends (reduction in capital) to United in 2016. In 2015, 2014 and 2013, the Bank paid a cash dividend of $77.5 million, $129 million and $50.0 million, respectively, to United as approved the DBF and FDIC. The dividends were paid out of capital surplus rather than the accumulated deficit. United declared cash dividends on its common stock in 2015 and 2014 of 22 cents and 11 cents, respectively, but did not declare any dividends in its common stock in 2013.</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18"/>
          <w:szCs w:val="18"/>
          <w:color w:val="auto"/>
        </w:rPr>
        <w:t>Banks and bank holding companies are subject to various regulatory capital requirements administered by state and federal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agencies. Capital adequacy guidelines involve quantitative measures of assets, liabilities and certain off-balance-sheet items calculated under regulatory accounting practices. Capital amounts and classifications are also subject to qualitative judgments by regulators about components, risk weighting and other factors.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Federal Reserve and the FDIC have implemented substantially identical risk-based rules for assessing bank and bank holding company capital adequacy. These regulations establish minimum capital standards in relation to assets and off-balance sheet exposures as adjusted for credit risk. “Total capital” is composed of Tier 1 capital and Tier 2 capital. “Tier 1 capital” includes common equity, retained earnings, qualifying non-cumulative perpetual preferred stock, a limited amount of qualifying cumulative perpetual stock at the holding company level, minority interests in equity accounts of consolidated subsidiaries, less goodwill, most intangible assets and certain other assets. “Tier 2 capital” includes, among other things, perpetual preferred stock and related surplus not meeting the Tier 1 capital definition, qualifying mandatorily convertible debt securities, qualifying subordinated debt and allowances for possible loan and lease losses, subject to limitations. The Federal Reserve and the FDIC use the leverage ratio in tandem with the risk-based ratio to assess the capital adequacy of banks and bank holding companies. The Federal Reserve will require a bank holding company to maintain a leverage ratio well above minimum levels if it is experiencing or anticipating significant growth or is operating with less than well-diversified risks in the opinion of the Federal Reserve. The FDIC, the Office of the Comptroller of the Currency (the “OCC”) and the Federal Reserve also require banks to maintain capital well above minimum levels.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2013, the Federal Reserve published the Basel III Capital Rules establishing a new comprehensive capital framework applicable to all depository institutions, bank holding companies with total consolidated assets of $500 million or more and all and savings and loan holding companies except for those that are substantially engaged in insurance underwriting or commercial activities (collectively, “banking organizations”). The rules implement the December 2010 framework proposed by the Basel Committee on Banking Supervision (the “Basel Committee”), known as “Basel III”, for strengthening international capital standards as well as certain provisions of the Dodd-Frank Act.</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Basel III Capital Rules substantially revised the risk-based capital requirements applicable to bank holding companies and depository institutions, including United and the Bank, compared to the prior U.S. risk-based capital rules. The Basel III Capital Rules:</w:t>
      </w:r>
    </w:p>
    <w:p>
      <w:pPr>
        <w:spacing w:after="0" w:line="170" w:lineRule="exact"/>
        <w:rPr>
          <w:sz w:val="20"/>
          <w:szCs w:val="20"/>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defined the components of capital and address other issues affecting the numerator in banking institutions’ regulatory capital ratios;</w:t>
      </w:r>
    </w:p>
    <w:p>
      <w:pPr>
        <w:spacing w:after="0" w:line="23"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addressed risk weights and other issues affecting the denominator in banking institutions’ regulatory capital ratios and replaced the prior risk-weighting approach, which was derived from the Basel I capital accords of the Basel Committee, with a more risk-sensitive approach based, in part, on the standardized approach in the Basel Committee’s 2004 “Basel II” capital accords;</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introduced a new capital measure called “common equity Tier 1” (“CET1”);</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specified that Tier 1 capital consists of CET1 and “additional Tier 1 capital” instruments meeting specified requirements; and</w:t>
      </w:r>
    </w:p>
    <w:p>
      <w:pPr>
        <w:spacing w:after="0" w:line="9" w:lineRule="exact"/>
        <w:rPr>
          <w:rFonts w:ascii="Arial" w:cs="Arial" w:eastAsia="Arial" w:hAnsi="Arial"/>
          <w:sz w:val="18"/>
          <w:szCs w:val="18"/>
          <w:color w:val="auto"/>
        </w:rPr>
      </w:pPr>
    </w:p>
    <w:p>
      <w:pPr>
        <w:ind w:left="680" w:right="20" w:hanging="321"/>
        <w:spacing w:after="0" w:line="261"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implemented the requirements of Section 939A of the Dodd-Frank Act to remove references to credit ratings from the federal banking agencies’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Basel III Capital Rules became effective for United and the Bank on January 1, 2015 subject to a phase in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Basel III Capital Rules require United and the Bank to maintain: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left="680" w:hanging="321"/>
        <w:spacing w:after="0" w:line="256"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minimum ratio of CET1 to risk-weighted assets of at least 4.5%, plus a “capital conservation buffer” (which is added to the 4.5% CET1 ratio as that buffer is phased in over four years to 2.5%, effectively resulting in a minimum ratio of CET1 to risk-weighted assets of at least 7% upon full implementation);</w:t>
      </w:r>
    </w:p>
    <w:p>
      <w:pPr>
        <w:ind w:left="680" w:hanging="321"/>
        <w:spacing w:after="0" w:line="281" w:lineRule="auto"/>
        <w:tabs>
          <w:tab w:leader="none" w:pos="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minimum ratio of Tier 1 capital to risk-weighted assets of at least 6%, plus the capital conservation buffer (which is added to the 6% Tier 1 capital ratio as that buffer is phased in over four years to 2.5%, effectively resulting in a minimum Tier 1 capital ratio of 8.5% upon full implementation);</w:t>
      </w:r>
    </w:p>
    <w:p>
      <w:pPr>
        <w:spacing w:after="0" w:line="1" w:lineRule="exact"/>
        <w:rPr>
          <w:rFonts w:ascii="Arial" w:cs="Arial" w:eastAsia="Arial" w:hAnsi="Arial"/>
          <w:sz w:val="16"/>
          <w:szCs w:val="16"/>
          <w:color w:val="auto"/>
        </w:rPr>
      </w:pPr>
    </w:p>
    <w:p>
      <w:pPr>
        <w:jc w:val="both"/>
        <w:ind w:left="680" w:hanging="321"/>
        <w:spacing w:after="0" w:line="250" w:lineRule="auto"/>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minimum ratio of total capital (that is, Tier 1 plus Tier 2) to risk-weighted assets of at least 8%, plus the capital conservation buffer (which is added to the 8% total capital ratio as that buffer is phased in over four years to 2.5%, effectively resulting in a minimum total capital ratio of 10.5% upon full implementation); and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minimum leverage ratio of 4%, calculated as the ratio of Tier 1 capital to average assets.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Section 38 of the Federal Deposit Insurance Act implemented the prompt corrective action provisions that Congress enacted as a part of the Federal Deposit Insurance Corporation Improvement Act of 1991 (the “1991 Act”). The “prompt corrective action” provisions set forth five regulatory zones in which all banks are placed largely based on their capital positions. Regulators are permitted to take increasingly harsh action as a bank’s financial condition declines. The FDIC is required to resolve a bank when its ratio of tangible equity to total assets reaches 2%. Better capitalized institutions are generally subject to less onerous regulation and supervision than banks with lesser amounts of capital.</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FDIC has adopted regulations implementing the prompt corrective action provisions of the 1991 Act, as revised by the Basel III Capital Rules effective January 1, 2015, which place financial institutions in the following five categories based upon capitalization ratios: (1) a “well-capitalized” institution has a Total risk-based capital ratio of at least 10%, a Tier 1 risk-based ratio of at least 8%, a CET1 risk-based ratio of 6.5% and a leverage ratio of at least 5%; (2) an “adequately capitalized” institution has a Total risk-based capital ratio of at least 8%, a Tier 1 risk-based ratio of at least 6%, a CET1 risk-based ratio of 4.5% and a leverage ratio of at least 4%; (3) an “undercapitalized” institution has a Total risk-based capital ratio of under 8%, a Tier 1 risk-based ratio of under 6%, a CET1 risk-based ratio of under 4.5% or a leverage ratio of under 4%; (4) a “significantly undercapitalized” institution has a Total risk-based capital ratio of under 6%, a Tier 1 risk-based ratio of under 4%, a CET1 risk-based ratio of under 3% or a leverage ratio of under 3%; and (5) a “critically undercapitalized” institution has a ratio of tangible equity to total assets of 2% or less. Institutions in any of the three undercapitalized categories would be prohibited from declaring dividends or making capital distributions. The FDIC regulations also allow it to “downgrade” an institution to a lower capital category based on supervisory factors other than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 FDIC categorized the Bank as “well-capitalized” under current regulations.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Basel III Capital Rules provide for a number of deductions from and adjustments to CET1. These include, for example, the requirement that mortgage servicing rights, deferred tax assets arising from temporary differences that could not be realized through net operating loss carrybacks and significant investments in non-consolidated financial entities be deducted from CET1 to the extent that any one such category exceeds 10% of CET1 or all such categories in the aggregate exceed 15% of CET1. Under prior capital standards, the effects of accumulated other comprehensive income items included in capital were excluded for the purposes of determining regulatory capital ratios. Under the Basel III Capital Rules, the effects of certain accumulated other comprehensive items are not excluded; however, certain banking organizations, including United and the Bank, may make a one-time permanent election to continue to exclude these items. United and the Bank made this election in first quarter 2015 in order to avoid significant variations in the level of capital depending upon the impact of interest rate fluctuations on the fair value of United’s available-for-sale securities portfolio. The Basel III Capital Rules also eliminate the inclusion of certain instruments, such as trust preferred securities, from Tier 1 capital of bank holding companies. Instruments issued prior to May 19, 2010 are grandfathered for bank holding companies with consolidated assets of $15 billion or less (subject to the 25% of Tier 1 capital limit).</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“capital conservation buffer” is designed to absorb losses during periods of economic stress. Banking organizations with a ratio of CET1 to risk-weighted assets above the minimum but below the conservation buffer (or below the combined capital conservation buffer and countercyclical capital buffer, when the latter is applied) will face constraints on dividends, equity repurchases and compensation based on the amount of the shortfall.</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Implementation of the deductions and other adjustments to CET1 began on January 1, 2015 and will be phased-in over a four-year period (beginning at 40% on January 1, 2015 and an additional 20% per year thereafter). The implementation of the capital conservation buffer began on January 1, 2016 at the 0.625% level and will be phased in over a four-year period increasing by that amount on each subsequent January 1, until it reaches 2.5% on January 1, 2019.</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Basel III Capital Rules prescribe a standardized approach for risk weightings that expand the risk-weighting categories from the current four Basel I-derived categories (0%, 20%, 50% and 100%) to a much larger and more risk-sensitive number of categories, depending on the nature of the assets, generally ranging from 0% for U.S. government and agency securities, to 600% for certain equity exposures, and resulting in higher risk weights for a variety of asset categories. Consistent with the Dodd-Frank Act, the Basel III Capital Rules replace the ratings-based approach to securitization exposures, which is based on external credit ratings, with the simplified supervisory formula approach in order to determine the appropriate risk weights for these exposures. Alternatively, banking organizations may use the existing gross-up approach to assign securitization exposures to a risk weight category or choose to assign such exposures a 1,250% risk weight. In addition, the Basel III Capital Rules provide more advantageous risk weights for derivatives and repurchase-style transactions cleared through a qualifying central counterparty and increase the scope of eligible guarantors and eligible collateral for purposes of credit risk mitigation.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Management believes that, as of December 31, 2015, United and the Bank would meet all capital adequacy requirements under the Basel III Capital Rules on a fully phased-in basis as if such requirements were currently in effect.</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Consumer Protection Laws. </w:t>
      </w:r>
      <w:r>
        <w:rPr>
          <w:rFonts w:ascii="Arial" w:cs="Arial" w:eastAsia="Arial" w:hAnsi="Arial"/>
          <w:sz w:val="18"/>
          <w:szCs w:val="18"/>
          <w:color w:val="auto"/>
        </w:rPr>
        <w:t>The Dodd-Frank Act centralized responsibility for consumer financial protection by creating a new agency, the Consumer</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Protection Bureau (“CFPB”), and giving it the power to promulgate and enforce federal consumer protection laws. Depository institutions are subject to the CFPB’s rule writing authority, and existing federal bank regulatory agencies retain examination and enforcement authority for such institutions. The CFPB and United’s existing federal regulator, the FDIC, are focused on the following:</w:t>
      </w:r>
    </w:p>
    <w:p>
      <w:pPr>
        <w:spacing w:after="0" w:line="18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to consumers and compliance with the federal consumer financial laws;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markets in which firms operate and risks to consumers posed by activities in those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depository institutions that offer a wide variety of consumer financial products and services;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depository institutions with a more specialized focus;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non-depository companies that offer one or more consumer financial products or services.</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Stress Testing. </w:t>
      </w:r>
      <w:r>
        <w:rPr>
          <w:rFonts w:ascii="Arial" w:cs="Arial" w:eastAsia="Arial" w:hAnsi="Arial"/>
          <w:sz w:val="16"/>
          <w:szCs w:val="16"/>
          <w:color w:val="auto"/>
        </w:rPr>
        <w:t>As required by the Dodd-Frank Act, the federal bank regulatory agencies have implemented stress testing requirements for certain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institutions, including bank holding companies and state chartered banks, with more than $10 billion in total consolidated assets. Although these requirements do not apply to institutions with $10 billion or less in total consolidated assets, the federal bank regulatory agencies emphasize that all banking organizations, regardless of size, should have the capacity to analyze the potential impact of adverse market conditions or outcomes on the organization’s financial condition. Based on this regulatory guidance, United and the Bank will be expected to consider the institution’s interest rate risk management, commercial real estate concentrations and other credit-related information, and funding and liquidity management during this analysis of adverse outcomes.</w:t>
      </w:r>
    </w:p>
    <w:p>
      <w:pPr>
        <w:spacing w:after="0" w:line="1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Volcker Rule. </w:t>
      </w:r>
      <w:r>
        <w:rPr>
          <w:rFonts w:ascii="Arial" w:cs="Arial" w:eastAsia="Arial" w:hAnsi="Arial"/>
          <w:sz w:val="18"/>
          <w:szCs w:val="18"/>
          <w:color w:val="auto"/>
        </w:rPr>
        <w:t>The Dodd-Frank Act amended the BHC Act to require the federal bank regulatory agencies to adopt rules that prohibit banks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from engaging in proprietary trading and investing in and sponsoring certain unregistered investment companies (defined as hedge funds and private equity funds). The statutory provision is commonly called the “Volcker Rule”. The Federal Reserve adopted final rules implementing the Volcker Rule on December 10, 2013. Although United continues to evaluate the impact of the Volcker Rule and the final rules adopted by the Federal Reserve thereunder, United does not currently anticipate that the Volcker Rule will have a material effect on its operations and the operations of its subsidiaries, including the Bank, as United does not engage in businesses prohibited by the Volcker Rule. United may incur costs to adopt additional policies and systems to ensure compliance with the Volcker Rule.</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 xml:space="preserve">Durbin Amendment. </w:t>
      </w:r>
      <w:r>
        <w:rPr>
          <w:rFonts w:ascii="Arial" w:cs="Arial" w:eastAsia="Arial" w:hAnsi="Arial"/>
          <w:sz w:val="17"/>
          <w:szCs w:val="17"/>
          <w:color w:val="auto"/>
        </w:rPr>
        <w:t>The Dodd-Frank Act included provisions which restrict interchange fees to those which are “reasonable and proportionate” for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debit card issuers and limits the ability of networks and issuers to restrict debit card transaction routing. This statutory provision is known as the “Durbin Amendment”. The Federal Reserve issued final rules implementing the Durbin Amendment on June 29, 2011. In the final rules, interchange fees for debit card transactions were capped at $0.21 plus five basis points in order to be eligible for a safe harbor such that the fee is conclusively determined to be reasonable and proportionate. Another related rule also permits an additional $0.01 per transaction “fraud prevention adjustment” to the interchange fee if certain Federal Reserve standards are implemented, including an annual review of fraud prevention policies and procedures. With respect to network exclusivity and merchant routing restrictions, it is now required that all debit cards participate in at least two unaffiliated networks so that the transactions initiated using those debit cards will have at least two independent routing channels. The interchange fee restrictions contained in the Durbin Amendment, and the rules promulgated thereunder, apply to debit card issuers with $10 billion or more in total consolidated assets. United’s total consolidated assets as of December 31, 2015 were $9.63 billion, which is below the Durbin Amendment’s $10 billion threshold. It is expected, however, that United’s normal business growth will cause its total assets to exceed the Durbin Amendment’s $10 billion threshold in the near future. United is still evaluating the impact of complying with the Durbin Amendment.</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Incentive Compensation. </w:t>
      </w:r>
      <w:r>
        <w:rPr>
          <w:rFonts w:ascii="Arial" w:cs="Arial" w:eastAsia="Arial" w:hAnsi="Arial"/>
          <w:sz w:val="18"/>
          <w:szCs w:val="18"/>
          <w:color w:val="auto"/>
        </w:rPr>
        <w:t>The federal bank regulatory agencies have issued guidance on incentive compensation policies (the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Guidance”) intended to ensure that the incentive compensation policies of financial institutions do not undermine the safety and soundness of such institutions by encouraging excessive risk-taking. The Incentive Compensation Guidance, which covers all employees that have the ability to materially affect the risk profile of an institution, either individually or as part of a group, is based upon the key principles that a financial institution’s incentive compensation arrangements should (i) provide incentives that do not encourage risk-taking beyond the institution’s ability to effectively identify and manage risks, (ii) be compatible with effective internal controls and risk management, and (iii) be supported by strong corporate governance, including active and effective oversight by the institution’s board of directors.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55" w:lineRule="auto"/>
        <w:rPr>
          <w:sz w:val="20"/>
          <w:szCs w:val="20"/>
          <w:color w:val="auto"/>
        </w:rPr>
      </w:pPr>
      <w:r>
        <w:rPr>
          <w:rFonts w:ascii="Arial" w:cs="Arial" w:eastAsia="Arial" w:hAnsi="Arial"/>
          <w:sz w:val="18"/>
          <w:szCs w:val="18"/>
          <w:color w:val="auto"/>
        </w:rPr>
        <w:t>The Federal Reserve will review, as part of the regular, risk-focused examination process, the incentive compensation arrangements of financial institutions, such as United, that are not “large, complex banking organizations.” These reviews will be tailored to each financial institution based on the scope and complexity of the institution’s activities and the prevalence of incentive compensation arrangements. The findings of the supervisory initiatives will be included in reports of examination. Deficiencies will be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scope and content of federal bank regulatory agencies’ policies on executive compensation are continuing to develop and are likely to continue evolving in the near future. It cannot be determined at this time whether compliance with such policies will adversely affect United’s ability to hire, retain and motivate its key employees.</w:t>
      </w:r>
    </w:p>
    <w:p>
      <w:pPr>
        <w:spacing w:after="0" w:line="17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Cybersecurity. </w:t>
      </w:r>
      <w:r>
        <w:rPr>
          <w:rFonts w:ascii="Arial" w:cs="Arial" w:eastAsia="Arial" w:hAnsi="Arial"/>
          <w:sz w:val="18"/>
          <w:szCs w:val="18"/>
          <w:color w:val="auto"/>
        </w:rPr>
        <w:t>Recent cyber attacks against banks and other financial institutions that resulted in unauthorized access to confidential customer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have prompted the federal bank regulatory agencies to issue extensive guidance on cybersecurity. These agencies are likely to devote more resources to this part of their safety and soundness examination than they may have in the past.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Commercial Real Estate. </w:t>
      </w:r>
      <w:r>
        <w:rPr>
          <w:rFonts w:ascii="Arial" w:cs="Arial" w:eastAsia="Arial" w:hAnsi="Arial"/>
          <w:sz w:val="18"/>
          <w:szCs w:val="18"/>
          <w:color w:val="auto"/>
        </w:rPr>
        <w:t>The federal bank regulatory agencies, including the FDIC, restrict concentrations in commercial real estate lending and have noted</w:t>
      </w:r>
      <w:r>
        <w:rPr>
          <w:rFonts w:ascii="Arial" w:cs="Arial" w:eastAsia="Arial" w:hAnsi="Arial"/>
          <w:sz w:val="18"/>
          <w:szCs w:val="18"/>
          <w:b w:val="1"/>
          <w:bCs w:val="1"/>
          <w:color w:val="auto"/>
        </w:rPr>
        <w:t xml:space="preserve"> </w:t>
      </w:r>
      <w:r>
        <w:rPr>
          <w:rFonts w:ascii="Arial" w:cs="Arial" w:eastAsia="Arial" w:hAnsi="Arial"/>
          <w:sz w:val="18"/>
          <w:szCs w:val="18"/>
          <w:color w:val="auto"/>
        </w:rPr>
        <w:t>that recent increases in banks’ commercial real estate concentrations have created safety and soundness concerns in the current economic downturn. The regulatory guidance mandates certain minimal risk management practices and categorizes banks with defined levels of such concentrations as banks requiring elevated examiner scrutiny. The Bank has concentrations in commercial real estate loans in excess of those defined levels. Although management believes that United’s credit processes and procedures meet the risk management standards dictated by this guidance, regulatory outcomes could effectively limit increases in the real estate concentrations in the Bank’s loan portfolio and require additional credit administration and management costs associated with those portfolios.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Source of Strength Doctrine. </w:t>
      </w:r>
      <w:r>
        <w:rPr>
          <w:rFonts w:ascii="Arial" w:cs="Arial" w:eastAsia="Arial" w:hAnsi="Arial"/>
          <w:sz w:val="18"/>
          <w:szCs w:val="18"/>
          <w:color w:val="auto"/>
        </w:rPr>
        <w:t>Federal Reserve regulations and policy requires bank holding companies to act as a source of financial and managerial strength</w:t>
      </w:r>
      <w:r>
        <w:rPr>
          <w:rFonts w:ascii="Arial" w:cs="Arial" w:eastAsia="Arial" w:hAnsi="Arial"/>
          <w:sz w:val="18"/>
          <w:szCs w:val="18"/>
          <w:b w:val="1"/>
          <w:bCs w:val="1"/>
          <w:color w:val="auto"/>
        </w:rPr>
        <w:t xml:space="preserve"> </w:t>
      </w:r>
      <w:r>
        <w:rPr>
          <w:rFonts w:ascii="Arial" w:cs="Arial" w:eastAsia="Arial" w:hAnsi="Arial"/>
          <w:sz w:val="18"/>
          <w:szCs w:val="18"/>
          <w:color w:val="auto"/>
        </w:rPr>
        <w:t>to their subsidiary banks. Under this policy, United is expected to commit resources to support the Bank.</w:t>
      </w:r>
    </w:p>
    <w:p>
      <w:pPr>
        <w:spacing w:after="0" w:line="162"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Loans. </w:t>
      </w:r>
      <w:r>
        <w:rPr>
          <w:rFonts w:ascii="Arial" w:cs="Arial" w:eastAsia="Arial" w:hAnsi="Arial"/>
          <w:sz w:val="17"/>
          <w:szCs w:val="17"/>
          <w:color w:val="auto"/>
        </w:rPr>
        <w:t>Inter-agency guidelines adopted by federal bank regulatory agencies mandate that financial institutions establish real estate lending policies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maximum allowable real estate loan-to-value limits, subject to an allowable amount of non-conforming loans as a percentage of capital.</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Transactions with Affiliates. </w:t>
      </w:r>
      <w:r>
        <w:rPr>
          <w:rFonts w:ascii="Arial" w:cs="Arial" w:eastAsia="Arial" w:hAnsi="Arial"/>
          <w:sz w:val="17"/>
          <w:szCs w:val="17"/>
          <w:color w:val="auto"/>
        </w:rPr>
        <w:t>Under federal law, all transactions between and among a state nonmember bank and its affiliates, which include holding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are subject to Sections 23A and 23B of the Federal Reserve Act and Regulation W promulgated thereunder. Generally, these requirements limit these transactions to a percentage of the bank’s capital and require all of them to be on terms at least as favorable to the bank as transactions with non-affiliates. In addition, a bank may not lend to any affiliate engaged in non-banking activities not permissible for a bank holding company or acquire shares of any affiliate that is not a subsidiary. The FDIC is authorized to impose additional restrictions on transactions with affiliates if necessary to protect the safety and soundness of a bank. The regulations also set forth various reporting requirements relating to transactions with affiliates.</w:t>
      </w:r>
    </w:p>
    <w:p>
      <w:pPr>
        <w:spacing w:after="0" w:line="17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Financial Privacy. </w:t>
      </w:r>
      <w:r>
        <w:rPr>
          <w:rFonts w:ascii="Arial" w:cs="Arial" w:eastAsia="Arial" w:hAnsi="Arial"/>
          <w:sz w:val="17"/>
          <w:szCs w:val="17"/>
          <w:color w:val="auto"/>
        </w:rPr>
        <w:t>In accordance with the GLB Act, federal banking regulatory agencies adopted rules that limit the ability of banks and other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Anti-Money Laundering Initiatives and the USA Patriot Act. </w:t>
      </w:r>
      <w:r>
        <w:rPr>
          <w:rFonts w:ascii="Arial" w:cs="Arial" w:eastAsia="Arial" w:hAnsi="Arial"/>
          <w:sz w:val="18"/>
          <w:szCs w:val="18"/>
          <w:color w:val="auto"/>
        </w:rPr>
        <w:t>A major focus of governmental policy on financial institutions in recent years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aimed at combating terrorist financing. This has generally been accomplished by amending existing anti-money laundering laws and regulations. The U.S. Department of the Treasury (“Treasury”) has issued a number of implementing regulations which apply various requirements of the USA Patriot Act of 2001 to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terrorist financing, or to comply with all of the relevant laws or regulations, could have serious legal and reputational consequences for the institution.</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Future Legislation. </w:t>
      </w:r>
      <w:r>
        <w:rPr>
          <w:rFonts w:ascii="Arial" w:cs="Arial" w:eastAsia="Arial" w:hAnsi="Arial"/>
          <w:sz w:val="18"/>
          <w:szCs w:val="18"/>
          <w:color w:val="auto"/>
        </w:rPr>
        <w:t>Various legislation affecting financial institutions and the financial industry is from time to time introduced in Congress. Such legislation</w:t>
      </w:r>
      <w:r>
        <w:rPr>
          <w:rFonts w:ascii="Arial" w:cs="Arial" w:eastAsia="Arial" w:hAnsi="Arial"/>
          <w:sz w:val="18"/>
          <w:szCs w:val="18"/>
          <w:b w:val="1"/>
          <w:bCs w:val="1"/>
          <w:color w:val="auto"/>
        </w:rPr>
        <w:t xml:space="preserve"> </w:t>
      </w:r>
      <w:r>
        <w:rPr>
          <w:rFonts w:ascii="Arial" w:cs="Arial" w:eastAsia="Arial" w:hAnsi="Arial"/>
          <w:sz w:val="18"/>
          <w:szCs w:val="18"/>
          <w:color w:val="auto"/>
        </w:rPr>
        <w:t>may change banking statutes and the operating environment of United and its subsidiaries in substantial and unpredictable ways, and could increase or decrease the cost of doing business, limit or expand permissible activities or affect the competitive balance depending upon whether any of this potential legislation will be enacted, and if enacted, the effect that it or any implementing regulations would have on the financial condition or results of operations of United or any of its subsidiaries. With the current economic environment, the nature and extent of future legislative and regulatory changes affecting financial institutions is not known at this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Executive Officers of United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Senior executives of United are elected by the Board of Directors annually and serve at the pleasure of the Board of Directors.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senior executive officers of United, and their ages, positions with United, past five year employment history and terms of office as of February 1, 2016,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2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color w:val="auto"/>
              </w:rPr>
              <w:t>Name (age)</w:t>
            </w:r>
          </w:p>
        </w:tc>
        <w:tc>
          <w:tcPr>
            <w:tcW w:w="220" w:type="dxa"/>
            <w:vAlign w:val="bottom"/>
          </w:tcPr>
          <w:p>
            <w:pPr>
              <w:spacing w:after="0"/>
              <w:rPr>
                <w:sz w:val="16"/>
                <w:szCs w:val="16"/>
                <w:color w:val="auto"/>
              </w:rPr>
            </w:pPr>
          </w:p>
        </w:tc>
        <w:tc>
          <w:tcPr>
            <w:tcW w:w="642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rPr>
              <w:t>Position with United and Employment History</w:t>
            </w:r>
          </w:p>
        </w:tc>
        <w:tc>
          <w:tcPr>
            <w:tcW w:w="2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Officer of United Since</w:t>
            </w:r>
          </w:p>
        </w:tc>
      </w:tr>
      <w:tr>
        <w:trPr>
          <w:trHeight w:val="418"/>
        </w:trPr>
        <w:tc>
          <w:tcPr>
            <w:tcW w:w="2520" w:type="dxa"/>
            <w:vAlign w:val="bottom"/>
            <w:gridSpan w:val="2"/>
          </w:tcPr>
          <w:p>
            <w:pPr>
              <w:spacing w:after="0"/>
              <w:rPr>
                <w:sz w:val="20"/>
                <w:szCs w:val="20"/>
                <w:color w:val="auto"/>
              </w:rPr>
            </w:pPr>
            <w:r>
              <w:rPr>
                <w:rFonts w:ascii="Arial" w:cs="Arial" w:eastAsia="Arial" w:hAnsi="Arial"/>
                <w:sz w:val="18"/>
                <w:szCs w:val="18"/>
                <w:color w:val="auto"/>
              </w:rPr>
              <w:t>Jimmy C. Tallent (63)</w:t>
            </w: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Chairman and Chief Executive Officer (2015 - present); President, Chief Executive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1988</w:t>
            </w:r>
          </w:p>
        </w:tc>
      </w:tr>
      <w:tr>
        <w:trPr>
          <w:trHeight w:val="230"/>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Officer and Director (1988 - 2015)</w:t>
            </w:r>
          </w:p>
        </w:tc>
        <w:tc>
          <w:tcPr>
            <w:tcW w:w="2060" w:type="dxa"/>
            <w:vAlign w:val="bottom"/>
          </w:tcPr>
          <w:p>
            <w:pPr>
              <w:spacing w:after="0"/>
              <w:rPr>
                <w:sz w:val="20"/>
                <w:szCs w:val="20"/>
                <w:color w:val="auto"/>
              </w:rPr>
            </w:pP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w w:val="94"/>
              </w:rPr>
              <w:t>H. Lynn Harton</w:t>
            </w:r>
          </w:p>
        </w:tc>
        <w:tc>
          <w:tcPr>
            <w:tcW w:w="1360" w:type="dxa"/>
            <w:vAlign w:val="bottom"/>
          </w:tcPr>
          <w:p>
            <w:pPr>
              <w:jc w:val="right"/>
              <w:ind w:right="890"/>
              <w:spacing w:after="0"/>
              <w:rPr>
                <w:sz w:val="20"/>
                <w:szCs w:val="20"/>
                <w:color w:val="auto"/>
              </w:rPr>
            </w:pPr>
            <w:r>
              <w:rPr>
                <w:rFonts w:ascii="Arial" w:cs="Arial" w:eastAsia="Arial" w:hAnsi="Arial"/>
                <w:sz w:val="18"/>
                <w:szCs w:val="18"/>
                <w:color w:val="auto"/>
              </w:rPr>
              <w:t>(54)</w:t>
            </w: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w w:val="99"/>
              </w:rPr>
              <w:t>President and Chief Operating Officer and Director (2015 - present); Executive Vice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216"/>
        </w:trPr>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President and Chief Operating Officer (2012 - 2015); prior to joining United was</w:t>
            </w:r>
          </w:p>
        </w:tc>
        <w:tc>
          <w:tcPr>
            <w:tcW w:w="2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Special Assistant to the Chief Executive Officer of</w:t>
            </w:r>
          </w:p>
        </w:tc>
        <w:tc>
          <w:tcPr>
            <w:tcW w:w="2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w w:val="97"/>
              </w:rPr>
              <w:t>Toronto-Dominion Bank (2010 - 2012); President and Chief Executive Officer (2009 -</w:t>
            </w:r>
          </w:p>
        </w:tc>
        <w:tc>
          <w:tcPr>
            <w:tcW w:w="2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w w:val="98"/>
              </w:rPr>
              <w:t>2010), Chief Commercial Banking Officer (2008 - 2009), Chief Risk and Chief Credit</w:t>
            </w:r>
          </w:p>
        </w:tc>
        <w:tc>
          <w:tcPr>
            <w:tcW w:w="20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Officer (2007 - 2008) of South Financial Group</w:t>
            </w:r>
          </w:p>
        </w:tc>
        <w:tc>
          <w:tcPr>
            <w:tcW w:w="206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w w:val="87"/>
              </w:rPr>
              <w:t>Rex S. Schuette</w:t>
            </w:r>
          </w:p>
        </w:tc>
        <w:tc>
          <w:tcPr>
            <w:tcW w:w="1360" w:type="dxa"/>
            <w:vAlign w:val="bottom"/>
          </w:tcPr>
          <w:p>
            <w:pPr>
              <w:jc w:val="right"/>
              <w:ind w:right="890"/>
              <w:spacing w:after="0"/>
              <w:rPr>
                <w:sz w:val="20"/>
                <w:szCs w:val="20"/>
                <w:color w:val="auto"/>
              </w:rPr>
            </w:pPr>
            <w:r>
              <w:rPr>
                <w:rFonts w:ascii="Arial" w:cs="Arial" w:eastAsia="Arial" w:hAnsi="Arial"/>
                <w:sz w:val="18"/>
                <w:szCs w:val="18"/>
                <w:color w:val="auto"/>
              </w:rPr>
              <w:t>(66)</w:t>
            </w: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Financial Officer (2001 - present)</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2001</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Bill M. Gilbert</w:t>
            </w:r>
          </w:p>
        </w:tc>
        <w:tc>
          <w:tcPr>
            <w:tcW w:w="1360" w:type="dxa"/>
            <w:vAlign w:val="bottom"/>
          </w:tcPr>
          <w:p>
            <w:pPr>
              <w:jc w:val="right"/>
              <w:ind w:right="950"/>
              <w:spacing w:after="0"/>
              <w:rPr>
                <w:sz w:val="20"/>
                <w:szCs w:val="20"/>
                <w:color w:val="auto"/>
              </w:rPr>
            </w:pPr>
            <w:r>
              <w:rPr>
                <w:rFonts w:ascii="Arial" w:cs="Arial" w:eastAsia="Arial" w:hAnsi="Arial"/>
                <w:sz w:val="18"/>
                <w:szCs w:val="18"/>
                <w:color w:val="auto"/>
                <w:w w:val="93"/>
              </w:rPr>
              <w:t>(63)</w:t>
            </w: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President, Community Banking (2015-present); Director of Banking (2013 - 2015);</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2000</w:t>
            </w:r>
          </w:p>
        </w:tc>
      </w:tr>
      <w:tr>
        <w:trPr>
          <w:trHeight w:val="216"/>
        </w:trPr>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w w:val="97"/>
              </w:rPr>
              <w:t>Regional President of North Georgia and Coastal Georgia (2011 - 2013); Senior Vice</w:t>
            </w:r>
          </w:p>
        </w:tc>
        <w:tc>
          <w:tcPr>
            <w:tcW w:w="20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President of Retail Banking (2003 - 2011)</w:t>
            </w:r>
          </w:p>
        </w:tc>
        <w:tc>
          <w:tcPr>
            <w:tcW w:w="2060" w:type="dxa"/>
            <w:vAlign w:val="bottom"/>
          </w:tcPr>
          <w:p>
            <w:pPr>
              <w:spacing w:after="0"/>
              <w:rPr>
                <w:sz w:val="20"/>
                <w:szCs w:val="20"/>
                <w:color w:val="auto"/>
              </w:rPr>
            </w:pPr>
          </w:p>
        </w:tc>
      </w:tr>
      <w:tr>
        <w:trPr>
          <w:trHeight w:val="418"/>
        </w:trPr>
        <w:tc>
          <w:tcPr>
            <w:tcW w:w="2520" w:type="dxa"/>
            <w:vAlign w:val="bottom"/>
            <w:gridSpan w:val="2"/>
          </w:tcPr>
          <w:p>
            <w:pPr>
              <w:spacing w:after="0"/>
              <w:rPr>
                <w:sz w:val="20"/>
                <w:szCs w:val="20"/>
                <w:color w:val="auto"/>
              </w:rPr>
            </w:pPr>
            <w:r>
              <w:rPr>
                <w:rFonts w:ascii="Arial" w:cs="Arial" w:eastAsia="Arial" w:hAnsi="Arial"/>
                <w:sz w:val="18"/>
                <w:szCs w:val="18"/>
                <w:color w:val="auto"/>
              </w:rPr>
              <w:t>Bradley J. Miller (45)</w:t>
            </w: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w w:val="99"/>
              </w:rPr>
              <w:t>Executive Vice President, Chief Risk Officer and General Counsel (2015 - present);</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2007</w:t>
            </w:r>
          </w:p>
        </w:tc>
      </w:tr>
      <w:tr>
        <w:trPr>
          <w:trHeight w:val="230"/>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Senior Vice President and General Counsel (2007 - 2015)</w:t>
            </w:r>
          </w:p>
        </w:tc>
        <w:tc>
          <w:tcPr>
            <w:tcW w:w="2060" w:type="dxa"/>
            <w:vAlign w:val="bottom"/>
          </w:tcPr>
          <w:p>
            <w:pPr>
              <w:spacing w:after="0"/>
              <w:rPr>
                <w:sz w:val="20"/>
                <w:szCs w:val="20"/>
                <w:color w:val="auto"/>
              </w:rPr>
            </w:pPr>
          </w:p>
        </w:tc>
      </w:tr>
      <w:tr>
        <w:trPr>
          <w:trHeight w:val="418"/>
        </w:trPr>
        <w:tc>
          <w:tcPr>
            <w:tcW w:w="2520" w:type="dxa"/>
            <w:vAlign w:val="bottom"/>
            <w:gridSpan w:val="2"/>
          </w:tcPr>
          <w:p>
            <w:pPr>
              <w:spacing w:after="0"/>
              <w:rPr>
                <w:sz w:val="20"/>
                <w:szCs w:val="20"/>
                <w:color w:val="auto"/>
              </w:rPr>
            </w:pPr>
            <w:r>
              <w:rPr>
                <w:rFonts w:ascii="Arial" w:cs="Arial" w:eastAsia="Arial" w:hAnsi="Arial"/>
                <w:sz w:val="18"/>
                <w:szCs w:val="18"/>
                <w:color w:val="auto"/>
              </w:rPr>
              <w:t>Robert A. Edwards (51)</w:t>
            </w: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Credit Officer (2015 - present); prior to joining</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216"/>
        </w:trPr>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w w:val="99"/>
              </w:rPr>
              <w:t>United was Senior Vice President and Executive Credit Officer of Toronto-Dominion</w:t>
            </w:r>
          </w:p>
        </w:tc>
        <w:tc>
          <w:tcPr>
            <w:tcW w:w="2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Bank (2010 - 2015); Executive Vice President and Chief Credit Officer of South</w:t>
            </w:r>
          </w:p>
        </w:tc>
        <w:tc>
          <w:tcPr>
            <w:tcW w:w="20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Financial Group (2008 - 2010)</w:t>
            </w:r>
          </w:p>
        </w:tc>
        <w:tc>
          <w:tcPr>
            <w:tcW w:w="2060" w:type="dxa"/>
            <w:vAlign w:val="bottom"/>
          </w:tcPr>
          <w:p>
            <w:pPr>
              <w:spacing w:after="0"/>
              <w:rPr>
                <w:sz w:val="20"/>
                <w:szCs w:val="20"/>
                <w:color w:val="auto"/>
              </w:rPr>
            </w:pPr>
          </w:p>
        </w:tc>
      </w:tr>
      <w:tr>
        <w:trPr>
          <w:trHeight w:val="418"/>
        </w:trPr>
        <w:tc>
          <w:tcPr>
            <w:tcW w:w="2520" w:type="dxa"/>
            <w:vAlign w:val="bottom"/>
            <w:gridSpan w:val="2"/>
          </w:tcPr>
          <w:p>
            <w:pPr>
              <w:spacing w:after="0"/>
              <w:rPr>
                <w:sz w:val="20"/>
                <w:szCs w:val="20"/>
                <w:color w:val="auto"/>
              </w:rPr>
            </w:pPr>
            <w:r>
              <w:rPr>
                <w:rFonts w:ascii="Arial" w:cs="Arial" w:eastAsia="Arial" w:hAnsi="Arial"/>
                <w:sz w:val="18"/>
                <w:szCs w:val="18"/>
                <w:color w:val="auto"/>
              </w:rPr>
              <w:t>Richard W. Bradshaw (54)</w:t>
            </w: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w w:val="95"/>
              </w:rPr>
              <w:t>President, Specialized Lending (2014 - present); prior to joining United was Senior Vice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w w:val="99"/>
              </w:rPr>
              <w:t>President, Head of United States SBA Programs of Toronto-Dominion Bank (2010 -</w:t>
            </w:r>
          </w:p>
        </w:tc>
        <w:tc>
          <w:tcPr>
            <w:tcW w:w="20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w w:val="97"/>
              </w:rPr>
              <w:t>2014); Executive Vice President, Director of Corporate Financial Services of Carolina</w:t>
            </w:r>
          </w:p>
        </w:tc>
        <w:tc>
          <w:tcPr>
            <w:tcW w:w="20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First Bank (2009 - 2010)</w:t>
            </w:r>
          </w:p>
        </w:tc>
        <w:tc>
          <w:tcPr>
            <w:tcW w:w="2060" w:type="dxa"/>
            <w:vAlign w:val="bottom"/>
          </w:tcPr>
          <w:p>
            <w:pPr>
              <w:spacing w:after="0"/>
              <w:rPr>
                <w:sz w:val="20"/>
                <w:szCs w:val="20"/>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None of the above officers are related and there are no arrangements or understandings between them and any other person pursuant to which any of them was elected as an officer, other than arrangements or understandings with directors or officers of United acting solely in their capacities as such.</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investment in United’s common stock involves risk. Investors should carefully consider the risks described below and all other information contained in this Form 10-K and the documents incorporated by reference before deciding to purchase common stock. It is possible that risks and uncertainties not listed below may arise or become material in the future and affect United’s business.</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As a financial services company, adverse conditions in the general business or economic environment could have a material adverse effect on our financial condition and results of operations.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Adverse changes in business and economic conditions generally or specifically in the markets in which we operate could adversely impact our business, including causing one or more of the following negative developments:</w:t>
      </w:r>
    </w:p>
    <w:p>
      <w:pPr>
        <w:spacing w:after="0" w:line="170"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demand for loans and other products and services offered by us;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value of our loans secured by residential or commercial real estate;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permanent impairment of our assets, such as our deferred tax assets; or</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the number of customers or other counterparties who default on their loans or other obligations to us, which could result in a higher level of nonperforming assets, net charge-offs and provision for loan losses.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example, if we are unable to continue to generate sufficient taxable income in the future, then we may not be able to fully realize the benefits of our deferred tax assets. Such a development or one or more other negative developments resulting from adverse conditions in the general business or economic environment, some of which are described above, could have a material adverse effect on our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results of our most recent internal credit stress test may not accurately predict the impact on our financial condition if the economy were to deteriorate.</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perform credit stress testing on our capital position no less than annually. Under the stress test, we estimate our loan losses (loan charge-offs), resources available to absorb those losses and any necessary additions to capital that would be required under the “more adverse” stress test scenario.</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results of these stress tests involve many assumptions about the economy and future loan losses and default rates, and may not accurately reflect the impact on our financial condition if the economy were to deteriorate. Any deterioration of the economy could result in credit losses significantly higher, with a corresponding impact on our financial condition and capital, than those predicted by our internal stress test.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and business may be adversely affected by conditions in the financial markets and economic conditions generally.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recent years, we have faced a challenging and uncertain economic environment, including a major recession in the U.S. economy. A return of recessionary conditions and/or a deterioration of national economic conditions could adversely affect the financial condition and operating performance of financial institutions. Specifically, declines in real estate values and sales volumes and increased unemployment levels may result in higher than expected loan delinquencies, increases in levels of non-performing and classified assets and a decline in demand for products and services offered by financial institutions. Uncertainty regarding economic conditions may also result in changes in consumer and business spending, borrowing and savings habits, which could cause us to incur losses and may adversely affect our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additional capital may be limited, which could affect our liquidity and be dilutive to existing shareholders.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may be required or choose to raise additional capital, including for strategic, regulatory or other reasons. Depending on the capital markets, traditional sources of capital may not be available to us on reasonable terms if we needed to raise additional capital. In such case, there is no guarantee that we will be able to successfully raise additional capital at all or on terms that are favorable or otherwise not dilutive to existing shareholders.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ind w:right="20"/>
        <w:spacing w:after="0" w:line="282" w:lineRule="auto"/>
        <w:rPr>
          <w:sz w:val="20"/>
          <w:szCs w:val="20"/>
          <w:color w:val="auto"/>
        </w:rPr>
      </w:pPr>
      <w:r>
        <w:rPr>
          <w:rFonts w:ascii="Arial" w:cs="Arial" w:eastAsia="Arial" w:hAnsi="Arial"/>
          <w:sz w:val="18"/>
          <w:szCs w:val="18"/>
          <w:b w:val="1"/>
          <w:bCs w:val="1"/>
          <w:color w:val="auto"/>
        </w:rPr>
        <w:t>Capital resources and liquidity are essential to our businesses and could be negatively impacted by disruptions in our ability to access other sources of funding.</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Capital resources and liquidity are essential to the Bank. We depend on access to a variety of sources of funding to provide us with sufficient capital resources and liquidity to meet our commitments and business needs, and to accommodate the transaction and cash management needs of our customers. Sources of funding available to us, and upon which we rely as regular components of our liquidity and funding management strategy, include traditional and brokered deposits, inter-bank borrowings, Federal Funds purchased, repurchase agreements and Federal Home Loan Bank advances. We also raise funds from time to time in the form of either short-or long-term borrowings or equity issuances.</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capital resources and liquidity could be negatively impacted by disruptions in our ability to access these sources of funding. The cost of brokered and other out-of-market deposits and potential future regulatory limits on the interest rate we pay for brokered deposits could make them unattractive sources of funding. Further, factors that we cannot control, such as disruption of the financial markets or negative views about the financial services industry generally, could impair our ability to access sources of funds. Other financial institutions may be unwilling to extend credit to banks because of concerns about the banking industry and the economy generally and there may not be a viable market for raising short or long-term debt or equity capital. In addition, our ability to raise funding could be impaired if lenders develop a negative perception of our long-term or short-term financial prospects. Such negative perceptions could be developed if we are downgraded or put on (or remain on) negative watch by the rating agencies, we suffer a decline in the level of our business activity or regulatory authorities take significant action against us, among other reasons.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Among other things, if we fail to remain “well-capitalized” for bank regulatory purposes, because we do not qualify under the minimum capital standards or the FDIC otherwise downgrades our capital category, it could affect customer confidence, our ability to grow, our costs of funds and FDIC insurance costs, our ability to pay dividends on common and preferred stock and trust preferred securities, and our ability to make acquisitions, and we would not be able to accept brokered deposits without prior FDIC approval. To be “well-capitalized”, a bank must generally maintain a common equity Tier 1 capital ratio of 6.5%, Tier 1 leverage capital ratio of 5%, Tier 1 risk-based capital ratio of 8% and total risk-based capital ratio of 10%. In addition, our regulators may require us to maintain higher capital levels. Our failure to remain “well-capitalized” or to maintain any higher capital requirements imposed on us could negatively affect our business, results of operations and financial condition.</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are unable to raise funds using the methods described above, we would likely need to finance or liquidate unencumbered assets to meet maturing liabilities. We may be unable to sell some of our assets, or we may have to sell assets at a discount from market value, either of which could adversely affect our results of operations and financial condition.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United is a legal entity separate and distinct from the Bank and depends on subsidiary service fees and dividends from the Bank to fund its payment of dividends to its common and preferred shareholders and of interest and principal on its outstanding debt and trust preferred securities. The Bank is also subject to other laws that authorize regulatory authorities to prohibit or reduce the flow of funds from the Bank to United and the Bank’s negative retained earnings position requires written consent of the Bank’s regulators before it can pay a dividend. Any inability of United to pay its obligations, or need to defer the payment of any such obligations, could have a material adverse effect on our business, operations, financial condition, and the value of our common stock.</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the cost and availability of funding due to changes in the deposit market and credit market, or the way in which we are perceived in such markets, may adversely affect financial condition or results of operations.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general, the amount, type and cost of our funding, including from other financial institutions, the capital markets and deposits, directly impacts our operating costs and our assets growth and therefore, can positively or negatively affect our financial condition or results of operations. A number of factors could make funding more difficult, more expensive or unavailable on any terms, including, but not limited to, our operating losses, our ability to remain “well capitalized,” events that adversely impact our reputation, enforcement actions, disruptions in the capital markets, events that adversely impact the financial services industry, changes affecting our assets, interest rate fluctuations, general economic conditions and the legal, regulatory, accounting and tax environments. Also, we compete for funding with other financial institutions, many of which are substantially larger, and have more capital and other resources than we do. In addition, as some of these competitors consolidate with other financial institutions, their competitive advantages may increase. Competition from these institutions may also increase the cost of funds.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the success of the local economies and real estate markets in which we operate.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success significantly depends on the growth in population, income levels, loans and deposits and on stability in real estate values in our markets. If the communities in which we operate do not grow or if prevailing economic conditions locally or nationally do not improve significantly, our business may be adversely affected. If market and economic conditions deteriorate, this may lead to valuation adjustments on our loan portfolio and losses on defaulted loans and on the sale of other real estate owned. Additionally, such adverse economic conditions in our market areas, specifically decreases in real estate property values due to the nature of our loan portfolio, more than 75% of which is secured by real estate, could reduce our growth rate, affect the ability of our customers to repay their loans and generally affect our financial condition and results of operations. We are less able than a larger institution to spread the risks of unfavorable local economic conditions across a large number of more diverse economies.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jc w:val="both"/>
        <w:spacing w:after="0" w:line="282" w:lineRule="auto"/>
        <w:rPr>
          <w:sz w:val="20"/>
          <w:szCs w:val="20"/>
          <w:color w:val="auto"/>
        </w:rPr>
      </w:pPr>
      <w:r>
        <w:rPr>
          <w:rFonts w:ascii="Arial" w:cs="Arial" w:eastAsia="Arial" w:hAnsi="Arial"/>
          <w:sz w:val="18"/>
          <w:szCs w:val="18"/>
          <w:b w:val="1"/>
          <w:bCs w:val="1"/>
          <w:color w:val="auto"/>
        </w:rPr>
        <w:t>Our concentration of residential construction and development loans is subject to unique risks that could adversely affect our results of operations and financial condition.</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residential construction and development loan portfolio was $352 million at December 31, 2015, comprising 6% of total loans. Of this amount, $154 million is secured by developed lots and $30 million is secured by raw land or land in the process of development. Residential construction and development loans are often riskier than home equity loans or residential mortgage loans to individuals. Poor economic conditions could result in decreased demand for residential housing, which, in turn, would adversely affect the development and construction efforts of residential real estate developer borrowers. Consequently, economic downturns adversely affect the ability of residential real estate developer borrowers to repay these loans and the value of property used as collateral for such loans. A sustained weak economy could also result in higher levels of nonperforming loans in other categories, such as commercial and industrial loans, which may result in additional losses. As a result, these loans could represent higher risk due to slower sales and reduced cash flow that affect the borrowers’ ability to repay on a timely basis which could result in a sharp increase in our total net charge-offs and require us to significantly increase our allowance for loan losses, any of which could have a material adverse effect on our financial condition or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concentration of commercial real estate loans is subject to risks that could adversely affect our results of operations and financial condition.</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commercial real estate loan portfolio was $2.32 billion at December 31, 2015, comprising 39% of total loans. Commercial real estate loans typically involve larger loan balances than compared to residential mortgage loans. The repayment of loans secured by commercial real estate is dependent upon both the successful operation of the commercial project and the business operated out of that commercial real estate site, as over half of the commercial real estate loans are for owner-occupied properties. If the cash flows from the project are reduced or if the borrower’s business is not successful, a borrower’s ability to repay the loan may be impaired. This cash flow shortage may result in the failure to make loan payments. In such cases, we may be compelled to modify the terms of the loan. In addition, the nature of these loans is such that they are generally less predictable and more difficult to evaluate and monitor. As a result, repayment of these loans may be subject to adverse conditions in the real estate market or economy. In addition, many economists believe that the potential for deterioration in income producing commercial real estate may occur through rising vacancy rates or declining absorption rates of existing square footage and/or units. As a result, these loans could represent higher risk due to slower sales and reduced cash flow that affect the borrowers’ ability to repay on a timely basis, could result in a sharp increase in our total net charge-offs and could require us to significantly increase our allowance for loan losses, any of which could have a material adverse effect on our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prevailing interest rates may negatively affect net income and the value of our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prevailing interest rates may negatively affect the level of our net interest revenue, the primary component of our net income. Federal Reserve policies, including interest rate policies, determine in large part our cost of funds for lending and investing and the return we earn on those loans and investments, both of which affect our net interest revenue. In a period of changing interest rates, interest expense may increase at different rates than the interest earned on assets. Accordingly, changes in interest rates could decrease net interest revenue. Changes in the interest rates may also negatively affect the value of our assets and our ability to realize gains or avoid losses from the sale of those assets, all of which also ultimately affect earnings. In addition, an increase in interest rates may decrease the demand for loans.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United’s reported financial results depend on the accounting and reporting policies of United, the application of which requires significant assumptions, estimates and judgments.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accounting and reporting policies are fundamental to the methods by which we record and report our financial condition and results of operations. United’s management must make significant assumptions and estimates and exercise significant judgment in selecting and applying many of these accounting and reporting policies so they comply with accounting principles generally accepted in the United States of America (“GAAP”) and reflect management’s judgment of the most appropriate manner to report United’s financial condition and results. In some cases, management must select a policy from two or more alternatives, any of which may be reasonable under the circumstances, which may result in United reporting materially different results than would have been reported under a different alternative.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accounting policies are critical to presenting United’s financial condition and results. They require management to make difficult, subjective and complex assumptions, estimates and judgments about matters that are uncertain. Materially different amounts could be reported under different conditions or using different assumptions and estimates. These critical accounting policies relate to the allowance for loan losses, fair value measurement, and income taxes. Because of the uncertainty of assumptions and estimates involved in these matters, United may be required to do one or more of the following: significantly increase the allowance for loan losses and/or sustain credit losses that are significantly higher than the reserve provided; significantly decrease the carrying value of loans, foreclosed property or other assets or liabilities to reflect a reduction in their fair value; or, significantly increase or decrease accrued taxes and the value of our deferred tax assets.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If our allowance for credit losses is not sufficient to cover actual loan losses, earnings would decrease.</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loan customers may not repay their loans according to their terms and the collateral securing the payment of these loans may be insufficient to assure repayment. We may experience significant loan losses which would have a material adverse effect on our operating results. Our management makes various assumptions and judgments about the collectability of the loan portfolio, including the creditworthiness of borrowers and the value of the real estate and other assets serving as collateral for the repayment of loans. We maintain an allowance for credit losses in an attempt to cover any probable incurred loan losses in the loan portfolio. In determining the size of the allowance, our management relies on an analysis of the loan portfolio based on historical loss experience, volume and types of loans, trends in classification, volume and real estate values, trends in delinquencies and non-accruals, national and local economic conditions and other pertinent information. As a result of these considerations, we have from time to time increased our allowance for credit losses. For the year ended December 31, 2015, we recorded a provision for credit losses of $3.70 million compared to $8.50 million and $65.5 million for the years ended December 31, 2014 and 2013, respectively. If those assumptions are incorrect, the allowance may not be sufficient to cover future loan losses and adjustments may be necessary to allow for different economic conditions or adverse developments in the loan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Reductions in interchange fees would reduce our non-interest income.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earn interchange fees on certain debit card transactions, including approximately $17.7 million in fees during 2015. The Durbin Amendment to the Dodd-Frank Act has limited the amount of interchange fees that may be charged for these transactions. Although the Durbin Amendment is not currently applicable to United because our total consolidated assets as of December 31, 2015 were less than $10 billion, it is likely that the Durbin Amendment will be applicable to United in the near future due to normal business growth. Complying with the Durbin Amendment would reduce United’s non-interest income from interchange fees, which could have a material adverse effect on our financial condition or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losses due to fraudulent and negligent conduct of our loan customers, third party service providers and employees.</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we make loans to individuals or entities, we rely upon information supplied by borrowers and other third parties, including information contained in the applicant’s loan application, property appraisal reports, title information and the borrower’s net worth, liquidity and cash flow information. While we attempt to verify information provided through available sources, we cannot be certain all such information is correct or complete. Our reliance on incorrect or incomplete information could have a material adverse effect on our financial condition or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financial institutions and other financial service providers may adversely affect our profitability.</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banking business is highly competitive and we experience competition in each of our markets from many other financial institutions. We compete with banks, credit unions, savings and loan associations, mortgage banking firms, securities brokerage firms, insurance companies, money market funds and other mutual funds, as well as community, super-regional, national and international financial institutions that operate offices in our market areas and elsewhere. We compete with these institutions both in attracting deposits and in making loans. Many of our competitors are well-established, larger financial institutions that are able to operate profitably with a narrower net interest margin and have a more diverse revenue base. We may face a competitive disadvantage as a result of our smaller size, more limited geographic diversification and inability to spread costs across broader markets.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 We may also be affected by the marketplace loosening of credit underwriting standards and structures.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face risks with respect to future expansion and acquisitions.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may engage in de novo branch expansion and, if the appropriate business opportunity becomes available, we may seek to acquire other financial institutions or parts of those institutions. These involve a number of risks, including:</w:t>
      </w:r>
    </w:p>
    <w:p>
      <w:pPr>
        <w:spacing w:after="0" w:line="170" w:lineRule="exact"/>
        <w:rPr>
          <w:sz w:val="20"/>
          <w:szCs w:val="20"/>
          <w:color w:val="auto"/>
        </w:rPr>
      </w:pPr>
    </w:p>
    <w:p>
      <w:pPr>
        <w:ind w:left="340" w:hanging="332"/>
        <w:spacing w:after="0" w:line="258"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inaccuracy of the estimates and judgments used to evaluate credit, operations, management and market risks with respect to an acquired branch or institution, a new branch office or a new market;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time and costs of evaluating new markets, hiring or retaining experienced local management and opening new offices and the time lags between these activities and the generation of sufficient assets and deposits to support the costs of the expansion;</w:t>
      </w: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incurrence and possible impairment of goodwill associated with an acquisition and possible adverse effects on results of operations;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key employees and customers of an acquired branch or institution;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difficulty or failure to successfully integrate the acquired financial institution or portion of the institution;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temporary disruption of our business or the business of the acquired institution.</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laws and regulations or failures to comply with such laws and regulations may adversely affect our financial condition and results of operations.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and our subsidiary bank are heavily regulated by federal and state authorities. This regulation is designed primarily to protect depositors, federal deposit insurance funds and the banking system as a whole, but not shareholders. Congress and state legislatures and federal and state regulatory authorities continually review banking laws, regulations and policies for possible changes. Changes to statutes, regulations or regulatory policies, including interpretation and implementation of statutes, regulations or policies could affect us in substantial and unpredictable ways, including limiting the types of financial services and products we may offer or increasing the ability of non-banks to offer competing financial services and products. Any regulatory changes or scrutiny could increase or decrease the cost of doing business, limit or expand our permissible activities, or affect the competitive balance among banks, credit unions, savings and loan associations and other institutions. We cannot predict whether new legislation will be enacted and, if enacted, the effect that it, or any regulations, would have on our business, financial condition, or results of operations.</w:t>
      </w:r>
    </w:p>
    <w:p>
      <w:pPr>
        <w:spacing w:after="0" w:line="1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and state regulators have the ability to impose or request that we consent to substantial sanctions, restrictions and requirements on our banking and nonbanking subsidiaries if they determine, upon examination or otherwise, violations of laws, rules or regulations with which we or our subsidiaries must comply, or weaknesses or failures with respect to general standards of safety and soundness. Such enforcement may be formal or informal and can include directors’ resolutions, memoranda of understanding, cease and desist or consent orders, civil money penalties and termination of deposit insurance and bank closures. Enforcement actions may be taken regardless of the capital level of the institution. In particular, institutions that are not sufficiently capitalized in accordance with regulatory standards may also face capital directives or prompt corrective action. Enforcement actions may require certain corrective steps (including staff additions or changes), impose limits on activities (such as lending, deposit taking, acquisitions or branching), prescribe lending parameters (such as loan types, volumes and terms) and require additional capital to be raised, any of which could adversely affect our financial condition and results of operations. Enforcement actions, including the imposition of monetary penalties, may have a material impact on our financial condition or results of operations, and damage to our reputation, and loss of our holding company status. In addition, compliance with any such action could distract management’s attention from our operations, cause us to incur significant expenses, restrict us from engaging in potentially profitable activities, and limit our ability to raise capital. Closure of the Bank would result in a total loss of your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a risk of noncompliance with the Bank Secrecy Act and other anti-money laundering statutes and regulations.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federal Bank Secrecy Act, USA Patriot Act of 2001 and other laws and regulations require financial institutions, among other duties, to institute and maintain effective anti-money laundering programs and file suspicious activity and currency transaction reports as appropriate. The federal Financial Crimes Enforcement Network, established by Treasury to administer the Bank Secrecy Act, is authorized to impose significant civil money penalties for violations of those requirements and has recently engaged in coordinated enforcement efforts with the individual federal bank regulatory agencies, as well as the U.S. Department of Justice, Drug Enforcement Administration and Internal Revenue Service. Federal bank regulatory agencies and state bank regulators also have begun to focus on compliance with Bank Secrecy Act and anti-money laundering regulations. If our policies, procedures and systems are deemed deficient, we would be subject to liability, including fines and regulatory actions such as restrictions on our ability to pay dividends and the necessity to obtain regulatory approvals to proceed with certain aspects of our business plan, which would negatively impact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short-term and long-term impact of the changing regulatory capital requirements is uncertain.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Basel III Capital Rules include new minimum risk-based capital and leverage ratios, which are being phased in and modify the capital and asset definitions for purposes of calculating those ratios. Among other things, the Basel III Capital Rules established a new common equity Tier 1 minimum capital requirement of 4.5%, a higher minimum Tier 1capital to risk-weighted assets requirement of 6% and a higher total capital to risk-weighted assets of 8%. In addition, the Basel III Capital Rules provide, to be considered “well-capitalized”, a new common equity Tier 1 capital requirement of 6.5% and a higher Tier 1capital to risk-weighted assets requirement of 8%. Moreover, the Basel III Capital Rules limit a banking organization’s capital distributions and certain discretionary bonus payments if the banking organization does not hold a “capital conservation buffer” consisting of an additional 2.5% of common equity Tier 1 capital in addition to the 4.5% minimum common equity Tier 1 requirement and the other amounts necessary to the minimum risk-based capital requirements that will be phased in and fully effective in 2019.</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application of the more stringent capital requirements described above could, among other things, result in lower returns on invested capital, require the raising of additional capital, and result in additional regulatory actions if we were to be unable to comply with such requirements. Furthermore, the imposition of liquidity requirements under the Basel III Capital Rules could result in our having to lengthen the term of our funding, restructure our business models, and/or increase our holdings of liquid assets. Implementation of changes to asset risk weightings for risk based capital calculations, items included or deducted in calculating regulatory capital and/or additional capital conservation buffers could result in us modifying our business strategy and could limit our ability to pay dividends.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Our ability to fully utilize deferred tax assets could be impaired.</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reported a net deferred tax asset of $198 million as of December 31, 2015, which includes approximately $156 million of deferred tax benefits related to federal and state operating loss carry-forwards. Our ability to use such assets is dependent on our ability to generate future earnings within the operating loss carry-forward periods, which are generally 20 years. If we do not realize taxable earnings within the carry-forward periods, our deferred tax asset would be permanently impaired. Additionally, our ability to use such assets to offset future tax liabilities could be permanently impaired if cumulative common stock transactions over a rolling three-year period resulted in an ownership change under Section 382 of the Internal Revenue Code. There is no guarantee that our tax benefits preservation plan will prevent us from experiencing an ownership change under Section 382. Our inability to utilize these deferred tax assets (benefits) would have a material adverse effect on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changes in tax laws, regulations and interpretations or challenges to our income tax provision.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compute our income tax provision based on enacted tax rates in the jurisdictions in which we operate. Any change in enacted tax laws, rules or regulatory or judicial interpretations, any adverse outcome in connection with tax audits in any jurisdiction or any change in the pronouncements relating to accounting for income taxes could adversely affect our effective tax rate, tax payments and results of operations. In addition, changes in enacted tax laws, such as adoption of a lower income tax rate in any of the jurisdictions in which we operate, could impact our ability to obtain the future tax benefits represented by our deferred tax assets.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2B2B2B"/>
        </w:rPr>
        <w:t>System failure or cybersecurity breaches of our network security could subject us to increased operating costs as well as litigation and other potential losses.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heavily on communications and information systems to conduct our business. The computer systems and network infrastructure we use could be vulnerable to unforeseen hardware and cybersecurity issues. Our operations are dependent upon our ability to protect our computer equipment against damage from fire, power loss, telecommunications failure or a similar catastrophic event. Any damage or failure that causes an interruption in our operations could have an adverse effect on our financial condition and results of operations. In addition, our operations are dependent upon our ability to protect the computer systems and network infrastructure we use, including our Internet banking activities, against damage from physical break-ins, cybersecurity breaches and other disruptive problems caused by the Internet or users. Such problems could jeopardize the security of our customers personal information and other information stored in and transmitted through our computer systems and network infrastructure, which may result in significant liability to us, subject us to additional regulatory scrutiny, damage our reputation, result in a loss of customers, or inhibit current and potential customers from our Internet banking services, any of all of which could have a material adverse effect on our results of operations and financial condition. Although we have security measures designed to mitigate the possibility of break-ins, breaches and other disruptive problems, including firewalls and penetration testing, there can be no assurance that such security measures will be effective in preventing such problems.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lack of geographic diversification increases our risk profile.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are located principally in Georgia, western North Carolina, east Tennessee and South Carolina. As a result of this geographic concentration, our results depend largely upon economic and business conditions in this area. Deterioration in economic and business conditions in our service area could have a material adverse impact on the quality of our loan portfolio and the demand for our products and services, which in turn may have a material adverse effect on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interest-only home equity lines of credit expose us to increased lending risk.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December 31, 2015, we had $598 million of home equity line of credit loans, which represented 10% of our loan portfolio as of that date. Historically, United’s home equity lines of credit generally had a 35 month or 10 year draw period with interest-only payment requirements for the term of the loan, a balloon payment requirement at the end of the draw period. Since June 2012, new home equity lines of credit generally have a 10 year interest only draw period followed by a 15 year amortized repayment period for any outstanding balance at the 10 year conversion date. United continues to offer a home equity line of credit with a 35 month draw period with interest-only payment requirements for the term of the loan with a balloon payment requirement at the end of the draw period. All home equity line of credit products, historically and currently available, have a maximum 80% combined loan to value ratio. Loan to value ratios are established on a case by case basis considering the borrower’s credit profile and the collateral type – primary or secondary residence. These loans are also secured by a first or second lien on the underlying home.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jc w:val="both"/>
        <w:spacing w:after="0" w:line="270" w:lineRule="auto"/>
        <w:rPr>
          <w:sz w:val="20"/>
          <w:szCs w:val="20"/>
          <w:color w:val="auto"/>
        </w:rPr>
      </w:pPr>
      <w:r>
        <w:rPr>
          <w:rFonts w:ascii="Arial" w:cs="Arial" w:eastAsia="Arial" w:hAnsi="Arial"/>
          <w:sz w:val="17"/>
          <w:szCs w:val="17"/>
          <w:color w:val="auto"/>
        </w:rPr>
        <w:t>In the case of interest-only loans, a borrower’s monthly payment is subject to change when the loan converts to fully-amortizing status. Since the borrower’s monthly payment may increase by a substantial amount even without an increase in prevailing market interest rates, the borrower might not be able to afford the increased monthly payment. In addition, interest-only loans have a large, balloon payment at the end of the loan term, which the borrower may be unable to pay. Also, real estate values may decline, dramatically reducing or even eliminating the borrower’s equity, and credit standards may tighten in concert with the higher payment requirement, making it difficult for borrowers to sell their homes or refinance their loans to pay off their mortgage obligations. The risks can be magnified by United’s limited ability to monitor the delinquency status of the first lien on the collateral. For these reasons, home equity lines of credit are considered to have an increased risk of delinquency, default and foreclosure than conforming loans and may result in higher levels of losses. The Bank mitigates these risks in its underwriting by calculating the fully amortizing principal and interest payment assuming 100% utilization and using that amount to determine the borrower’s ability to pay.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third parties to provide key components of our business infrastructure.</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Third parties provide key components of our business operations such as data processing, recording and monitoring transactions, online banking interfaces and services, Internet connections and network access. While we have selected these third party vendors carefully, we do not control their actions. Any problems caused by these third parties, including those resulting from disruptions in communication services provided by a vendor, failure of a vendor to handle current or higher volumes, cyber attacks and security breaches at a vendor, failure of a vendor to provide services for any reason or poor performance of services, could adversely affect our ability to deliver products and services to our customers and otherwise conduct our business. Financial or operational difficulties of a third party vendor could also hurt our operations if those difficulties interfere with the vendor’s ability to serve us. Furthermore, our vendors could also be sources of operational and information security risk to us, including from breakdowns or failures of their own systems or capacity constraints. Replacing these third party vendors could also create significant delay and expense. Accordingly, use of such third parties creates an unavoidable inherent risk to our business operations.</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unresolved comments from the SEC staff regarding United’s periodic or current reports under the Exchange Act.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executive offices of United are located at 125 Highway 515 East, Blairsville, Georgia. United owns this property. The Bank conducts business from facilities primarily owned by the Bank or its subsidiaries, all of which are in a good state of repair and appropriately designed for use as banking facilities. The Bank provides services or performs operational functions at 159 locations, of which 130 are owned and 29 are leased under operating leases. Note 8 to United’s consolidated financial statements includes additional information regarding amounts invested in premises and equipment.</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ordinary course of operations, United and the Bank are defendants in various legal proceedings. Additionally, in the ordinary course of business, United and the Bank are subject to regulatory examinations and investigations. Based on our knowledge and advice of counsel, in the opinion of management, there is no such pending or threatened legal matter in which an adverse decision will result in a material adverse change in the consolidated financial condition or results of operations of United. No material proceedings terminated in the fourth quarter of 2015.</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UNITED’S COMMON EQUITY, RELATED STOCKHOLDER MATTERS AND ISSUER PURCHASES OF EQUITY SECURITIES.</w:t>
      </w:r>
    </w:p>
    <w:p>
      <w:pPr>
        <w:spacing w:after="0" w:line="162"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Stock. </w:t>
      </w:r>
      <w:r>
        <w:rPr>
          <w:rFonts w:ascii="Arial" w:cs="Arial" w:eastAsia="Arial" w:hAnsi="Arial"/>
          <w:sz w:val="17"/>
          <w:szCs w:val="17"/>
          <w:color w:val="auto"/>
        </w:rPr>
        <w:t>United’s common stock trades on the Nasdaq Global Select Market under the symbol “UCBI”. The closing price for the period ended December 31,</w:t>
      </w:r>
      <w:r>
        <w:rPr>
          <w:rFonts w:ascii="Arial" w:cs="Arial" w:eastAsia="Arial" w:hAnsi="Arial"/>
          <w:sz w:val="17"/>
          <w:szCs w:val="17"/>
          <w:b w:val="1"/>
          <w:bCs w:val="1"/>
          <w:color w:val="auto"/>
        </w:rPr>
        <w:t xml:space="preserve"> </w:t>
      </w:r>
      <w:r>
        <w:rPr>
          <w:rFonts w:ascii="Arial" w:cs="Arial" w:eastAsia="Arial" w:hAnsi="Arial"/>
          <w:sz w:val="17"/>
          <w:szCs w:val="17"/>
          <w:color w:val="auto"/>
        </w:rPr>
        <w:t>2015 was $19.49. Below is a schedule of high, low and closing stock prices and average daily volume for all quarters in 2015 and 2014.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High</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Low</w:t>
            </w:r>
          </w:p>
        </w:tc>
        <w:tc>
          <w:tcPr>
            <w:tcW w:w="180" w:type="dxa"/>
            <w:vAlign w:val="bottom"/>
          </w:tcPr>
          <w:p>
            <w:pPr>
              <w:spacing w:after="0"/>
              <w:rPr>
                <w:sz w:val="10"/>
                <w:szCs w:val="10"/>
                <w:color w:val="auto"/>
              </w:rPr>
            </w:pP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Close</w:t>
            </w:r>
          </w:p>
        </w:tc>
        <w:tc>
          <w:tcPr>
            <w:tcW w:w="900" w:type="dxa"/>
            <w:vAlign w:val="bottom"/>
          </w:tcPr>
          <w:p>
            <w:pPr>
              <w:jc w:val="right"/>
              <w:ind w:right="56"/>
              <w:spacing w:after="0" w:line="126" w:lineRule="exact"/>
              <w:rPr>
                <w:sz w:val="20"/>
                <w:szCs w:val="20"/>
                <w:color w:val="auto"/>
              </w:rPr>
            </w:pPr>
            <w:r>
              <w:rPr>
                <w:rFonts w:ascii="Arial" w:cs="Arial" w:eastAsia="Arial" w:hAnsi="Arial"/>
                <w:sz w:val="14"/>
                <w:szCs w:val="14"/>
                <w:b w:val="1"/>
                <w:bCs w:val="1"/>
                <w:color w:val="auto"/>
              </w:rPr>
              <w:t>Avg Daily</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High</w:t>
            </w:r>
          </w:p>
        </w:tc>
        <w:tc>
          <w:tcPr>
            <w:tcW w:w="200" w:type="dxa"/>
            <w:vAlign w:val="bottom"/>
          </w:tcPr>
          <w:p>
            <w:pPr>
              <w:spacing w:after="0"/>
              <w:rPr>
                <w:sz w:val="10"/>
                <w:szCs w:val="10"/>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Low</w:t>
            </w:r>
          </w:p>
        </w:tc>
        <w:tc>
          <w:tcPr>
            <w:tcW w:w="200" w:type="dxa"/>
            <w:vAlign w:val="bottom"/>
          </w:tcPr>
          <w:p>
            <w:pPr>
              <w:spacing w:after="0"/>
              <w:rPr>
                <w:sz w:val="10"/>
                <w:szCs w:val="10"/>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Close</w:t>
            </w:r>
          </w:p>
        </w:tc>
        <w:tc>
          <w:tcPr>
            <w:tcW w:w="9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3"/>
              </w:rPr>
              <w:t>Avg Daily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Volume</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Volume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First quarter</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19.53</w:t>
            </w:r>
          </w:p>
        </w:tc>
        <w:tc>
          <w:tcPr>
            <w:tcW w:w="3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16.48</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18.88</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234,966</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15.74</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19.41</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494,205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Second quarter</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17.91</w:t>
            </w: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20.87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328,887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19.87</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14.86</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16.37</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308,486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Third quarter</w:t>
            </w:r>
          </w:p>
        </w:tc>
        <w:tc>
          <w:tcPr>
            <w:tcW w:w="6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22.23</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18.58</w:t>
            </w:r>
          </w:p>
        </w:tc>
        <w:tc>
          <w:tcPr>
            <w:tcW w:w="18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20.44</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319,884</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18.42</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15.42</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16.46</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331,109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Fourth quarter</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22.23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18.61</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19.49</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376,214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19.50</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18.94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262,598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2016, there were 8,182 record shareholders and approximately 18,367 beneficial shareholders of United’s common stock.</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United declared cash dividends of $.22 and $.11 per share on its common stock in 2015 and 2014, respectively. Federal and state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impose restrictions on the ability of the Bank to pay dividends to United without prior approvals.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dividends is included in Note 19 to the consolidated financial statements, under the heading of “Supervision and Regulation” in Part I of this report and in “Management’s Discussion and Analysis of Financial Condition and Results of Operations – Capital Resources and Dividends.”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Share Repurchases. </w:t>
      </w:r>
      <w:r>
        <w:rPr>
          <w:rFonts w:ascii="Arial" w:cs="Arial" w:eastAsia="Arial" w:hAnsi="Arial"/>
          <w:sz w:val="17"/>
          <w:szCs w:val="17"/>
          <w:color w:val="auto"/>
        </w:rPr>
        <w:t>United’s Amended and Restated 2000 Key Employee Stock Option Plan allows option holders to exercise stock options by delivering</w:t>
      </w:r>
      <w:r>
        <w:rPr>
          <w:rFonts w:ascii="Arial" w:cs="Arial" w:eastAsia="Arial" w:hAnsi="Arial"/>
          <w:sz w:val="17"/>
          <w:szCs w:val="17"/>
          <w:b w:val="1"/>
          <w:bCs w:val="1"/>
          <w:color w:val="auto"/>
        </w:rPr>
        <w:t xml:space="preserve"> </w:t>
      </w:r>
      <w:r>
        <w:rPr>
          <w:rFonts w:ascii="Arial" w:cs="Arial" w:eastAsia="Arial" w:hAnsi="Arial"/>
          <w:sz w:val="17"/>
          <w:szCs w:val="17"/>
          <w:color w:val="auto"/>
        </w:rPr>
        <w:t>previously acquired shares having a fair market value equal to the exercise price provided that the shares delivered must have been held by the option holder for at least six months. In addition, United may withhold a sufficient number of restricted stock shares at the time of vesting to cover payroll tax withholdings at the election of the restricted stock recipient. In 2015 and 2014, 74,275 and 74,644 shares, respectively, were withheld to cover payroll taxes owed at the time of restricted stock vesting. No shares were delivered to exercise stock options in 2015 or 2014.</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 w:name="page24"/>
    <w:bookmarkEnd w:id="23"/>
    <w:p>
      <w:pPr>
        <w:jc w:val="both"/>
        <w:spacing w:after="0" w:line="266"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Set forth below is a line graph comparing the yearly percentage change in the cumulative total shareholder return on United’s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against the cumulative total return on the Nasdaq Stock Market (U.S. Companies) Index and the Nasdaq Bank Stocks Index for the five-year period commencing December 31, 2010 and ending on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123190</wp:posOffset>
            </wp:positionV>
            <wp:extent cx="5746115" cy="4853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6115" cy="4853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3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right"/>
              <w:ind w:right="194"/>
              <w:spacing w:after="0"/>
              <w:rPr>
                <w:sz w:val="20"/>
                <w:szCs w:val="20"/>
                <w:color w:val="auto"/>
              </w:rPr>
            </w:pPr>
            <w:r>
              <w:rPr>
                <w:rFonts w:ascii="Arial" w:cs="Arial" w:eastAsia="Arial" w:hAnsi="Arial"/>
                <w:sz w:val="14"/>
                <w:szCs w:val="14"/>
                <w:b w:val="1"/>
                <w:bCs w:val="1"/>
                <w:color w:val="auto"/>
              </w:rPr>
              <w:t>Cumulative Total Return *</w:t>
            </w: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3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900" w:type="dxa"/>
            <w:vAlign w:val="bottom"/>
            <w:gridSpan w:val="2"/>
          </w:tcPr>
          <w:p>
            <w:pPr>
              <w:jc w:val="right"/>
              <w:ind w:right="5"/>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6"/>
        </w:trPr>
        <w:tc>
          <w:tcPr>
            <w:tcW w:w="30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United Community Banks, Inc.</w:t>
            </w:r>
          </w:p>
        </w:tc>
        <w:tc>
          <w:tcPr>
            <w:tcW w:w="560" w:type="dxa"/>
            <w:vAlign w:val="bottom"/>
            <w:tcBorders>
              <w:top w:val="single" w:sz="8" w:color="F0FFFF"/>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3"/>
              </w:rPr>
              <w:t>100</w:t>
            </w:r>
          </w:p>
        </w:tc>
        <w:tc>
          <w:tcPr>
            <w:tcW w:w="220" w:type="dxa"/>
            <w:vAlign w:val="bottom"/>
            <w:tcBorders>
              <w:top w:val="single" w:sz="8" w:color="F0FFFF"/>
            </w:tcBorders>
            <w:shd w:val="clear" w:color="auto" w:fill="F0FFFF"/>
          </w:tcPr>
          <w:p>
            <w:pPr>
              <w:spacing w:after="0"/>
              <w:rPr>
                <w:sz w:val="18"/>
                <w:szCs w:val="18"/>
                <w:color w:val="auto"/>
              </w:rPr>
            </w:pPr>
          </w:p>
        </w:tc>
        <w:tc>
          <w:tcPr>
            <w:tcW w:w="680" w:type="dxa"/>
            <w:vAlign w:val="bottom"/>
            <w:tcBorders>
              <w:top w:val="single" w:sz="8" w:color="auto"/>
            </w:tcBorders>
            <w:shd w:val="clear" w:color="auto" w:fill="F0FFFF"/>
          </w:tcPr>
          <w:p>
            <w:pPr>
              <w:jc w:val="right"/>
              <w:ind w:right="525"/>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w:t>
            </w:r>
          </w:p>
        </w:tc>
        <w:tc>
          <w:tcPr>
            <w:tcW w:w="220" w:type="dxa"/>
            <w:vAlign w:val="bottom"/>
            <w:tcBorders>
              <w:top w:val="single" w:sz="8" w:color="F0FFFF"/>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97</w:t>
            </w: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Nasdaq Stock Market (U.S.) Index</w:t>
            </w: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100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r>
      <w:tr>
        <w:trPr>
          <w:trHeight w:val="216"/>
        </w:trPr>
        <w:tc>
          <w:tcPr>
            <w:tcW w:w="3060" w:type="dxa"/>
            <w:vAlign w:val="bottom"/>
            <w:shd w:val="clear" w:color="auto" w:fill="F0FFFF"/>
          </w:tcPr>
          <w:p>
            <w:pPr>
              <w:spacing w:after="0"/>
              <w:rPr>
                <w:sz w:val="20"/>
                <w:szCs w:val="20"/>
                <w:color w:val="auto"/>
              </w:rPr>
            </w:pPr>
            <w:r>
              <w:rPr>
                <w:rFonts w:ascii="Arial" w:cs="Arial" w:eastAsia="Arial" w:hAnsi="Arial"/>
                <w:sz w:val="18"/>
                <w:szCs w:val="18"/>
                <w:color w:val="auto"/>
              </w:rPr>
              <w:t>Nasdaq Bank Index</w:t>
            </w:r>
          </w:p>
        </w:tc>
        <w:tc>
          <w:tcPr>
            <w:tcW w:w="56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3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3"/>
              </w:rPr>
              <w:t>100</w:t>
            </w:r>
          </w:p>
        </w:tc>
        <w:tc>
          <w:tcPr>
            <w:tcW w:w="2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88</w:t>
            </w:r>
          </w:p>
        </w:tc>
        <w:tc>
          <w:tcPr>
            <w:tcW w:w="22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3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3"/>
              </w:rPr>
              <w:t>101</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F0FFFF"/>
          </w:tcPr>
          <w:p>
            <w:pPr>
              <w:spacing w:after="0"/>
              <w:rPr>
                <w:sz w:val="18"/>
                <w:szCs w:val="18"/>
                <w:color w:val="auto"/>
              </w:rPr>
            </w:pPr>
          </w:p>
        </w:tc>
      </w:tr>
    </w:tbl>
    <w:p>
      <w:pPr>
        <w:spacing w:after="0" w:line="202" w:lineRule="exact"/>
        <w:rPr>
          <w:sz w:val="20"/>
          <w:szCs w:val="20"/>
          <w:color w:val="auto"/>
        </w:rPr>
      </w:pPr>
    </w:p>
    <w:p>
      <w:pPr>
        <w:ind w:right="20" w:firstLine="8"/>
        <w:spacing w:after="0" w:line="342" w:lineRule="auto"/>
        <w:tabs>
          <w:tab w:leader="none" w:pos="14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Assumes $100 invested on December 31, 2010 in United’s common stock and above noted indexes. Total return includes reinvestment of dividends at the closing stock price of the common stock on the dividend payment date and the closing values of stock and indexes as of December 31 of each year.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 w:name="page25"/>
    <w:bookmarkEnd w:id="24"/>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8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980" w:type="dxa"/>
            <w:vAlign w:val="bottom"/>
            <w:gridSpan w:val="2"/>
          </w:tcPr>
          <w:p>
            <w:pPr>
              <w:spacing w:after="0"/>
              <w:rPr>
                <w:sz w:val="20"/>
                <w:szCs w:val="20"/>
                <w:color w:val="auto"/>
              </w:rPr>
            </w:pPr>
            <w:r>
              <w:rPr>
                <w:rFonts w:ascii="Arial" w:cs="Arial" w:eastAsia="Arial" w:hAnsi="Arial"/>
                <w:sz w:val="14"/>
                <w:szCs w:val="14"/>
                <w:i w:val="1"/>
                <w:iCs w:val="1"/>
                <w:color w:val="auto"/>
              </w:rPr>
              <w:t>fully taxable equivalent)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INCOME SUMMARY</w:t>
            </w:r>
          </w:p>
        </w:tc>
        <w:tc>
          <w:tcPr>
            <w:tcW w:w="1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F0FFFF"/>
              <w:right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Net interest revenue (FTE)</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258,700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224,418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219,641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229,758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238,670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Arial" w:cs="Arial" w:eastAsia="Arial" w:hAnsi="Arial"/>
                <w:sz w:val="18"/>
                <w:szCs w:val="18"/>
                <w:color w:val="auto"/>
              </w:rPr>
              <w:t>Provision for credit losses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3,700</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8,500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65,500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62,500</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251,000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Fee revenue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72,529</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55,554</w:t>
            </w:r>
          </w:p>
        </w:tc>
        <w:tc>
          <w:tcPr>
            <w:tcW w:w="2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56,598</w:t>
            </w:r>
          </w:p>
        </w:tc>
        <w:tc>
          <w:tcPr>
            <w:tcW w:w="2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56,112</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Borders>
              <w:top w:val="single" w:sz="8" w:color="F0FFFF"/>
            </w:tcBorders>
            <w:shd w:val="clear" w:color="auto" w:fill="F0FFFF"/>
          </w:tcPr>
          <w:p>
            <w:pPr>
              <w:ind w:left="160"/>
              <w:spacing w:after="0"/>
              <w:rPr>
                <w:sz w:val="20"/>
                <w:szCs w:val="20"/>
                <w:color w:val="auto"/>
              </w:rPr>
            </w:pPr>
            <w:r>
              <w:rPr>
                <w:rFonts w:ascii="Arial" w:cs="Arial" w:eastAsia="Arial" w:hAnsi="Arial"/>
                <w:sz w:val="18"/>
                <w:szCs w:val="18"/>
                <w:b w:val="1"/>
                <w:bCs w:val="1"/>
                <w:color w:val="auto"/>
              </w:rPr>
              <w:t>Total revenue (FTE)</w:t>
            </w:r>
          </w:p>
        </w:tc>
        <w:tc>
          <w:tcPr>
            <w:tcW w:w="1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327,529</w:t>
            </w:r>
          </w:p>
        </w:tc>
        <w:tc>
          <w:tcPr>
            <w:tcW w:w="280" w:type="dxa"/>
            <w:vAlign w:val="bottom"/>
            <w:tcBorders>
              <w:top w:val="single" w:sz="8" w:color="F0FFFF"/>
              <w:right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271,472</w:t>
            </w:r>
          </w:p>
        </w:tc>
        <w:tc>
          <w:tcPr>
            <w:tcW w:w="2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210,739</w:t>
            </w:r>
          </w:p>
        </w:tc>
        <w:tc>
          <w:tcPr>
            <w:tcW w:w="2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223,370</w:t>
            </w:r>
          </w:p>
        </w:tc>
        <w:tc>
          <w:tcPr>
            <w:tcW w:w="28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32,577</w:t>
            </w:r>
          </w:p>
        </w:tc>
        <w:tc>
          <w:tcPr>
            <w:tcW w:w="22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960" w:type="dxa"/>
            <w:vAlign w:val="bottom"/>
          </w:tcPr>
          <w:p>
            <w:pPr>
              <w:spacing w:after="0" w:line="269" w:lineRule="exact"/>
              <w:rPr>
                <w:sz w:val="20"/>
                <w:szCs w:val="20"/>
                <w:color w:val="auto"/>
              </w:rPr>
            </w:pPr>
            <w:r>
              <w:rPr>
                <w:rFonts w:ascii="Arial" w:cs="Arial" w:eastAsia="Arial" w:hAnsi="Arial"/>
                <w:sz w:val="18"/>
                <w:szCs w:val="18"/>
                <w:color w:val="auto"/>
              </w:rPr>
              <w:t xml:space="preserve">Expenses - operating </w:t>
            </w:r>
            <w:r>
              <w:rPr>
                <w:rFonts w:ascii="Arial" w:cs="Arial" w:eastAsia="Arial" w:hAnsi="Arial"/>
                <w:sz w:val="30"/>
                <w:szCs w:val="30"/>
                <w:color w:val="auto"/>
                <w:vertAlign w:val="superscript"/>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193,243</w:t>
            </w:r>
          </w:p>
        </w:tc>
        <w:tc>
          <w:tcPr>
            <w:tcW w:w="22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162,865</w:t>
            </w:r>
          </w:p>
        </w:tc>
        <w:tc>
          <w:tcPr>
            <w:tcW w:w="24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174,304</w:t>
            </w:r>
          </w:p>
        </w:tc>
        <w:tc>
          <w:tcPr>
            <w:tcW w:w="24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186,774</w:t>
            </w:r>
          </w:p>
        </w:tc>
        <w:tc>
          <w:tcPr>
            <w:tcW w:w="22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261,599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60" w:type="dxa"/>
            <w:vAlign w:val="bottom"/>
            <w:tcBorders>
              <w:top w:val="single" w:sz="8" w:color="F0FFFF"/>
            </w:tcBorders>
            <w:shd w:val="clear" w:color="auto" w:fill="F0FFFF"/>
          </w:tcPr>
          <w:p>
            <w:pPr>
              <w:ind w:left="160"/>
              <w:spacing w:after="0" w:line="192" w:lineRule="exact"/>
              <w:rPr>
                <w:sz w:val="20"/>
                <w:szCs w:val="20"/>
                <w:color w:val="auto"/>
              </w:rPr>
            </w:pPr>
            <w:r>
              <w:rPr>
                <w:rFonts w:ascii="Arial" w:cs="Arial" w:eastAsia="Arial" w:hAnsi="Arial"/>
                <w:sz w:val="18"/>
                <w:szCs w:val="18"/>
                <w:color w:val="auto"/>
              </w:rPr>
              <w:t>Income (loss) before income tax expense (benefit) - (FTE)</w:t>
            </w:r>
          </w:p>
        </w:tc>
        <w:tc>
          <w:tcPr>
            <w:tcW w:w="100" w:type="dxa"/>
            <w:vAlign w:val="bottom"/>
            <w:tcBorders>
              <w:top w:val="single" w:sz="8" w:color="F0FFFF"/>
            </w:tcBorders>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F0FFFF"/>
              <w:right w:val="single" w:sz="8" w:color="F0FFFF"/>
            </w:tcBorders>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F0FFFF"/>
            </w:tcBorders>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F0FFFF"/>
            </w:tcBorders>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F0FFFF"/>
            </w:tcBorders>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2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960" w:type="dxa"/>
            <w:vAlign w:val="bottom"/>
            <w:shd w:val="clear" w:color="auto" w:fill="F0FFFF"/>
          </w:tcPr>
          <w:p>
            <w:pPr>
              <w:ind w:left="320"/>
              <w:spacing w:after="0" w:line="266" w:lineRule="exact"/>
              <w:rPr>
                <w:sz w:val="20"/>
                <w:szCs w:val="20"/>
                <w:color w:val="auto"/>
              </w:rPr>
            </w:pPr>
            <w:r>
              <w:rPr>
                <w:rFonts w:ascii="Arial" w:cs="Arial" w:eastAsia="Arial" w:hAnsi="Arial"/>
                <w:sz w:val="18"/>
                <w:szCs w:val="18"/>
                <w:color w:val="auto"/>
              </w:rPr>
              <w:t xml:space="preserve">operating </w:t>
            </w:r>
            <w:r>
              <w:rPr>
                <w:rFonts w:ascii="Arial" w:cs="Arial" w:eastAsia="Arial" w:hAnsi="Arial"/>
                <w:sz w:val="30"/>
                <w:szCs w:val="30"/>
                <w:color w:val="auto"/>
                <w:vertAlign w:val="superscript"/>
              </w:rPr>
              <w:t>(1)</w:t>
            </w:r>
          </w:p>
        </w:tc>
        <w:tc>
          <w:tcPr>
            <w:tcW w:w="10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134,286</w:t>
            </w:r>
          </w:p>
        </w:tc>
        <w:tc>
          <w:tcPr>
            <w:tcW w:w="220" w:type="dxa"/>
            <w:vAlign w:val="bottom"/>
            <w:shd w:val="clear" w:color="auto" w:fill="F0FFFF"/>
          </w:tcPr>
          <w:p>
            <w:pPr>
              <w:spacing w:after="0"/>
              <w:rPr>
                <w:sz w:val="23"/>
                <w:szCs w:val="23"/>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108,607</w:t>
            </w:r>
          </w:p>
        </w:tc>
        <w:tc>
          <w:tcPr>
            <w:tcW w:w="240" w:type="dxa"/>
            <w:vAlign w:val="bottom"/>
            <w:shd w:val="clear" w:color="auto" w:fill="F0FFFF"/>
          </w:tcPr>
          <w:p>
            <w:pPr>
              <w:spacing w:after="0"/>
              <w:rPr>
                <w:sz w:val="23"/>
                <w:szCs w:val="23"/>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36,435</w:t>
            </w:r>
          </w:p>
        </w:tc>
        <w:tc>
          <w:tcPr>
            <w:tcW w:w="240" w:type="dxa"/>
            <w:vAlign w:val="bottom"/>
            <w:shd w:val="clear" w:color="auto" w:fill="F0FFFF"/>
          </w:tcPr>
          <w:p>
            <w:pPr>
              <w:spacing w:after="0"/>
              <w:rPr>
                <w:sz w:val="23"/>
                <w:szCs w:val="23"/>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36,596</w:t>
            </w:r>
          </w:p>
        </w:tc>
        <w:tc>
          <w:tcPr>
            <w:tcW w:w="22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(229,022)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960" w:type="dxa"/>
            <w:vAlign w:val="bottom"/>
          </w:tcPr>
          <w:p>
            <w:pPr>
              <w:spacing w:after="0" w:line="269" w:lineRule="exact"/>
              <w:rPr>
                <w:sz w:val="20"/>
                <w:szCs w:val="20"/>
                <w:color w:val="auto"/>
              </w:rPr>
            </w:pPr>
            <w:r>
              <w:rPr>
                <w:rFonts w:ascii="Arial" w:cs="Arial" w:eastAsia="Arial" w:hAnsi="Arial"/>
                <w:sz w:val="18"/>
                <w:szCs w:val="18"/>
                <w:color w:val="auto"/>
              </w:rPr>
              <w:t xml:space="preserve">Income tax expense (benefit) - (FTE) operating </w:t>
            </w:r>
            <w:r>
              <w:rPr>
                <w:rFonts w:ascii="Arial" w:cs="Arial" w:eastAsia="Arial" w:hAnsi="Arial"/>
                <w:sz w:val="30"/>
                <w:szCs w:val="30"/>
                <w:color w:val="auto"/>
                <w:vertAlign w:val="superscript"/>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51,101</w:t>
            </w:r>
          </w:p>
        </w:tc>
        <w:tc>
          <w:tcPr>
            <w:tcW w:w="22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40,987</w:t>
            </w:r>
          </w:p>
        </w:tc>
        <w:tc>
          <w:tcPr>
            <w:tcW w:w="2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(236,705)</w:t>
            </w:r>
          </w:p>
        </w:tc>
        <w:tc>
          <w:tcPr>
            <w:tcW w:w="240" w:type="dxa"/>
            <w:vAlign w:val="bottom"/>
          </w:tcPr>
          <w:p>
            <w:pPr>
              <w:spacing w:after="0"/>
              <w:rPr>
                <w:sz w:val="23"/>
                <w:szCs w:val="2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2,740</w:t>
            </w:r>
          </w:p>
        </w:tc>
        <w:tc>
          <w:tcPr>
            <w:tcW w:w="220" w:type="dxa"/>
            <w:vAlign w:val="bottom"/>
          </w:tcPr>
          <w:p>
            <w:pPr>
              <w:spacing w:after="0"/>
              <w:rPr>
                <w:sz w:val="23"/>
                <w:szCs w:val="23"/>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vMerge w:val="restart"/>
            <w:shd w:val="clear" w:color="auto" w:fill="F0FFFF"/>
          </w:tcPr>
          <w:p>
            <w:pPr>
              <w:ind w:left="160"/>
              <w:spacing w:after="0" w:line="269" w:lineRule="exact"/>
              <w:rPr>
                <w:sz w:val="20"/>
                <w:szCs w:val="20"/>
                <w:color w:val="auto"/>
              </w:rPr>
            </w:pPr>
            <w:r>
              <w:rPr>
                <w:rFonts w:ascii="Arial" w:cs="Arial" w:eastAsia="Arial" w:hAnsi="Arial"/>
                <w:sz w:val="18"/>
                <w:szCs w:val="18"/>
                <w:b w:val="1"/>
                <w:bCs w:val="1"/>
                <w:color w:val="auto"/>
              </w:rPr>
              <w:t xml:space="preserve">Net income (loss) - operating </w:t>
            </w:r>
            <w:r>
              <w:rPr>
                <w:rFonts w:ascii="Arial" w:cs="Arial" w:eastAsia="Arial" w:hAnsi="Arial"/>
                <w:sz w:val="30"/>
                <w:szCs w:val="30"/>
                <w:color w:val="auto"/>
                <w:vertAlign w:val="superscript"/>
              </w:rPr>
              <w:t>(1)</w:t>
            </w: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vMerge w:val="continue"/>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83,185</w:t>
            </w:r>
          </w:p>
        </w:tc>
        <w:tc>
          <w:tcPr>
            <w:tcW w:w="2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67,620</w:t>
            </w: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273,140</w:t>
            </w:r>
          </w:p>
        </w:tc>
        <w:tc>
          <w:tcPr>
            <w:tcW w:w="2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33,856</w:t>
            </w:r>
          </w:p>
        </w:tc>
        <w:tc>
          <w:tcPr>
            <w:tcW w:w="2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(226,746)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Preferred dividends and discount accretion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12,078</w:t>
            </w:r>
          </w:p>
        </w:tc>
        <w:tc>
          <w:tcPr>
            <w:tcW w:w="24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12,148</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11,838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960" w:type="dxa"/>
            <w:vAlign w:val="bottom"/>
            <w:tcBorders>
              <w:top w:val="single" w:sz="8" w:color="F0FFFF"/>
            </w:tcBorders>
            <w:shd w:val="clear" w:color="auto" w:fill="F0FFFF"/>
          </w:tcPr>
          <w:p>
            <w:pPr>
              <w:ind w:left="160"/>
              <w:spacing w:after="0" w:line="188" w:lineRule="exact"/>
              <w:rPr>
                <w:sz w:val="20"/>
                <w:szCs w:val="20"/>
                <w:color w:val="auto"/>
              </w:rPr>
            </w:pPr>
            <w:r>
              <w:rPr>
                <w:rFonts w:ascii="Arial" w:cs="Arial" w:eastAsia="Arial" w:hAnsi="Arial"/>
                <w:sz w:val="18"/>
                <w:szCs w:val="18"/>
                <w:b w:val="1"/>
                <w:bCs w:val="1"/>
                <w:color w:val="auto"/>
              </w:rPr>
              <w:t>Net income (loss) available to common shareholders -</w:t>
            </w:r>
          </w:p>
        </w:tc>
        <w:tc>
          <w:tcPr>
            <w:tcW w:w="100" w:type="dxa"/>
            <w:vAlign w:val="bottom"/>
            <w:tcBorders>
              <w:top w:val="single" w:sz="8" w:color="F0FFFF"/>
            </w:tcBorders>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F0FFFF"/>
              <w:right w:val="single" w:sz="8" w:color="F0FFFF"/>
            </w:tcBorders>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F0FFFF"/>
            </w:tcBorders>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F0FFFF"/>
            </w:tcBorders>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F0FFFF"/>
            </w:tcBorders>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2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960" w:type="dxa"/>
            <w:vAlign w:val="bottom"/>
            <w:shd w:val="clear" w:color="auto" w:fill="F0FFFF"/>
          </w:tcPr>
          <w:p>
            <w:pPr>
              <w:ind w:left="320"/>
              <w:spacing w:after="0" w:line="271" w:lineRule="exact"/>
              <w:rPr>
                <w:sz w:val="20"/>
                <w:szCs w:val="20"/>
                <w:color w:val="auto"/>
              </w:rPr>
            </w:pPr>
            <w:r>
              <w:rPr>
                <w:rFonts w:ascii="Arial" w:cs="Arial" w:eastAsia="Arial" w:hAnsi="Arial"/>
                <w:sz w:val="18"/>
                <w:szCs w:val="18"/>
                <w:b w:val="1"/>
                <w:bCs w:val="1"/>
                <w:color w:val="auto"/>
              </w:rPr>
              <w:t xml:space="preserve">operating </w:t>
            </w:r>
            <w:r>
              <w:rPr>
                <w:rFonts w:ascii="Arial" w:cs="Arial" w:eastAsia="Arial" w:hAnsi="Arial"/>
                <w:sz w:val="30"/>
                <w:szCs w:val="30"/>
                <w:b w:val="1"/>
                <w:bCs w:val="1"/>
                <w:color w:val="auto"/>
                <w:vertAlign w:val="superscript"/>
              </w:rPr>
              <w:t>(1)</w:t>
            </w:r>
          </w:p>
        </w:tc>
        <w:tc>
          <w:tcPr>
            <w:tcW w:w="100" w:type="dxa"/>
            <w:vAlign w:val="bottom"/>
            <w:shd w:val="clear" w:color="auto" w:fill="F0FFFF"/>
          </w:tcPr>
          <w:p>
            <w:pPr>
              <w:spacing w:after="0"/>
              <w:rPr>
                <w:sz w:val="23"/>
                <w:szCs w:val="23"/>
                <w:color w:val="auto"/>
              </w:rPr>
            </w:pPr>
          </w:p>
        </w:tc>
        <w:tc>
          <w:tcPr>
            <w:tcW w:w="220" w:type="dxa"/>
            <w:vAlign w:val="bottom"/>
            <w:shd w:val="clear" w:color="auto" w:fill="F0FFFF"/>
          </w:tcPr>
          <w:p>
            <w:pPr>
              <w:spacing w:after="0"/>
              <w:rPr>
                <w:sz w:val="23"/>
                <w:szCs w:val="23"/>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83,118</w:t>
            </w:r>
          </w:p>
        </w:tc>
        <w:tc>
          <w:tcPr>
            <w:tcW w:w="220" w:type="dxa"/>
            <w:vAlign w:val="bottom"/>
            <w:shd w:val="clear" w:color="auto" w:fill="F0FFFF"/>
          </w:tcPr>
          <w:p>
            <w:pPr>
              <w:spacing w:after="0"/>
              <w:rPr>
                <w:sz w:val="23"/>
                <w:szCs w:val="23"/>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67,181</w:t>
            </w:r>
          </w:p>
        </w:tc>
        <w:tc>
          <w:tcPr>
            <w:tcW w:w="240" w:type="dxa"/>
            <w:vAlign w:val="bottom"/>
            <w:shd w:val="clear" w:color="auto" w:fill="F0FFFF"/>
          </w:tcPr>
          <w:p>
            <w:pPr>
              <w:spacing w:after="0"/>
              <w:rPr>
                <w:sz w:val="23"/>
                <w:szCs w:val="23"/>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261,062</w:t>
            </w:r>
          </w:p>
        </w:tc>
        <w:tc>
          <w:tcPr>
            <w:tcW w:w="240" w:type="dxa"/>
            <w:vAlign w:val="bottom"/>
            <w:shd w:val="clear" w:color="auto" w:fill="F0FFFF"/>
          </w:tcPr>
          <w:p>
            <w:pPr>
              <w:spacing w:after="0"/>
              <w:rPr>
                <w:sz w:val="23"/>
                <w:szCs w:val="23"/>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21,708</w:t>
            </w:r>
          </w:p>
        </w:tc>
        <w:tc>
          <w:tcPr>
            <w:tcW w:w="220" w:type="dxa"/>
            <w:vAlign w:val="bottom"/>
            <w:shd w:val="clear" w:color="auto" w:fill="F0FFFF"/>
          </w:tcPr>
          <w:p>
            <w:pPr>
              <w:spacing w:after="0"/>
              <w:rPr>
                <w:sz w:val="23"/>
                <w:szCs w:val="23"/>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(238,584)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Merger-related and other charges, net of income tax benefit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11,607</w:t>
            </w: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96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b w:val="1"/>
                <w:bCs w:val="1"/>
                <w:color w:val="auto"/>
                <w:w w:val="92"/>
              </w:rPr>
              <w:t>Net income (loss) available to common shareholders - GAAP</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71,511</w:t>
            </w:r>
          </w:p>
        </w:tc>
        <w:tc>
          <w:tcPr>
            <w:tcW w:w="280" w:type="dxa"/>
            <w:vAlign w:val="bottom"/>
            <w:tcBorders>
              <w:top w:val="single" w:sz="8" w:color="F0FFFF"/>
              <w:bottom w:val="single" w:sz="8" w:color="F0FFFF"/>
              <w:right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67,181</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261,062</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21,708</w:t>
            </w:r>
          </w:p>
        </w:tc>
        <w:tc>
          <w:tcPr>
            <w:tcW w:w="2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(238,584</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PERFORMANCE MEASURES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Per common share: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Diluted income (loss) - operating </w:t>
            </w:r>
            <w:r>
              <w:rPr>
                <w:rFonts w:ascii="Arial" w:cs="Arial" w:eastAsia="Arial" w:hAnsi="Arial"/>
                <w:sz w:val="29"/>
                <w:szCs w:val="29"/>
                <w:color w:val="auto"/>
                <w:vertAlign w:val="superscript"/>
              </w:rPr>
              <w:t>(1)</w:t>
            </w:r>
          </w:p>
        </w:tc>
        <w:tc>
          <w:tcPr>
            <w:tcW w:w="32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4.44</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Diluted income (loss) - GAAP</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4.44</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declared</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Book value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14.02</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12.20</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11.30</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6.67</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9"/>
                <w:szCs w:val="29"/>
                <w:color w:val="auto"/>
                <w:vertAlign w:val="superscript"/>
              </w:rPr>
              <w:t>(3)</w:t>
            </w:r>
          </w:p>
        </w:tc>
        <w:tc>
          <w:tcPr>
            <w:tcW w:w="1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12.06</w:t>
            </w:r>
          </w:p>
        </w:tc>
        <w:tc>
          <w:tcPr>
            <w:tcW w:w="22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12.15</w:t>
            </w:r>
          </w:p>
        </w:tc>
        <w:tc>
          <w:tcPr>
            <w:tcW w:w="24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11.26</w:t>
            </w:r>
          </w:p>
        </w:tc>
        <w:tc>
          <w:tcPr>
            <w:tcW w:w="24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F0FFFF"/>
          </w:tcPr>
          <w:p>
            <w:pPr>
              <w:spacing w:after="0"/>
              <w:rPr>
                <w:sz w:val="22"/>
                <w:szCs w:val="22"/>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Arial" w:cs="Arial" w:eastAsia="Arial" w:hAnsi="Arial"/>
                <w:sz w:val="18"/>
                <w:szCs w:val="18"/>
                <w:color w:val="auto"/>
              </w:rPr>
              <w:t>Key performance ratios: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Return on tangible common equity - operating </w:t>
            </w:r>
            <w:r>
              <w:rPr>
                <w:rFonts w:ascii="Arial" w:cs="Arial" w:eastAsia="Arial" w:hAnsi="Arial"/>
                <w:sz w:val="29"/>
                <w:szCs w:val="29"/>
                <w:color w:val="auto"/>
                <w:vertAlign w:val="superscript"/>
              </w:rPr>
              <w:t>(1)(2)(3)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47.35%</w:t>
            </w:r>
          </w:p>
        </w:tc>
        <w:tc>
          <w:tcPr>
            <w:tcW w:w="24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6.27%</w:t>
            </w:r>
          </w:p>
        </w:tc>
        <w:tc>
          <w:tcPr>
            <w:tcW w:w="22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Return on common equity - operating </w:t>
            </w:r>
            <w:r>
              <w:rPr>
                <w:rFonts w:ascii="Arial" w:cs="Arial" w:eastAsia="Arial" w:hAnsi="Arial"/>
                <w:sz w:val="29"/>
                <w:szCs w:val="29"/>
                <w:color w:val="auto"/>
                <w:vertAlign w:val="superscript"/>
              </w:rPr>
              <w:t>(1)(2)</w:t>
            </w:r>
          </w:p>
        </w:tc>
        <w:tc>
          <w:tcPr>
            <w:tcW w:w="1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9.48</w:t>
            </w:r>
          </w:p>
        </w:tc>
        <w:tc>
          <w:tcPr>
            <w:tcW w:w="22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9.17</w:t>
            </w:r>
          </w:p>
        </w:tc>
        <w:tc>
          <w:tcPr>
            <w:tcW w:w="24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46.72</w:t>
            </w:r>
          </w:p>
        </w:tc>
        <w:tc>
          <w:tcPr>
            <w:tcW w:w="24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5.43</w:t>
            </w:r>
          </w:p>
        </w:tc>
        <w:tc>
          <w:tcPr>
            <w:tcW w:w="220" w:type="dxa"/>
            <w:vAlign w:val="bottom"/>
            <w:shd w:val="clear" w:color="auto" w:fill="F0FFFF"/>
          </w:tcPr>
          <w:p>
            <w:pPr>
              <w:spacing w:after="0"/>
              <w:rPr>
                <w:sz w:val="22"/>
                <w:szCs w:val="22"/>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Return on common equity - GAAP </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8.15</w:t>
            </w:r>
          </w:p>
        </w:tc>
        <w:tc>
          <w:tcPr>
            <w:tcW w:w="2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9.17</w:t>
            </w:r>
          </w:p>
        </w:tc>
        <w:tc>
          <w:tcPr>
            <w:tcW w:w="2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46.72</w:t>
            </w:r>
          </w:p>
        </w:tc>
        <w:tc>
          <w:tcPr>
            <w:tcW w:w="24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5.43</w:t>
            </w:r>
          </w:p>
        </w:tc>
        <w:tc>
          <w:tcPr>
            <w:tcW w:w="220" w:type="dxa"/>
            <w:vAlign w:val="bottom"/>
          </w:tcPr>
          <w:p>
            <w:pPr>
              <w:spacing w:after="0"/>
              <w:rPr>
                <w:sz w:val="22"/>
                <w:szCs w:val="2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(93.57)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Return on assets - operating </w:t>
            </w:r>
            <w:r>
              <w:rPr>
                <w:rFonts w:ascii="Arial" w:cs="Arial" w:eastAsia="Arial" w:hAnsi="Arial"/>
                <w:sz w:val="29"/>
                <w:szCs w:val="29"/>
                <w:color w:val="auto"/>
                <w:vertAlign w:val="superscript"/>
              </w:rPr>
              <w:t>(1)</w:t>
            </w:r>
          </w:p>
        </w:tc>
        <w:tc>
          <w:tcPr>
            <w:tcW w:w="1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.98</w:t>
            </w:r>
          </w:p>
        </w:tc>
        <w:tc>
          <w:tcPr>
            <w:tcW w:w="22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.91</w:t>
            </w:r>
          </w:p>
        </w:tc>
        <w:tc>
          <w:tcPr>
            <w:tcW w:w="24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3.86</w:t>
            </w:r>
          </w:p>
        </w:tc>
        <w:tc>
          <w:tcPr>
            <w:tcW w:w="24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F0FFFF"/>
          </w:tcPr>
          <w:p>
            <w:pPr>
              <w:spacing w:after="0"/>
              <w:rPr>
                <w:sz w:val="22"/>
                <w:szCs w:val="22"/>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Return on assets - GAAP</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3.86</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Dividend payout ratio - operating </w:t>
            </w:r>
            <w:r>
              <w:rPr>
                <w:rFonts w:ascii="Arial" w:cs="Arial" w:eastAsia="Arial" w:hAnsi="Arial"/>
                <w:sz w:val="29"/>
                <w:szCs w:val="29"/>
                <w:color w:val="auto"/>
                <w:vertAlign w:val="superscript"/>
              </w:rPr>
              <w:t>(1)</w:t>
            </w:r>
          </w:p>
        </w:tc>
        <w:tc>
          <w:tcPr>
            <w:tcW w:w="1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17.32</w:t>
            </w:r>
          </w:p>
        </w:tc>
        <w:tc>
          <w:tcPr>
            <w:tcW w:w="22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9.91</w:t>
            </w:r>
          </w:p>
        </w:tc>
        <w:tc>
          <w:tcPr>
            <w:tcW w:w="240" w:type="dxa"/>
            <w:vAlign w:val="bottom"/>
            <w:shd w:val="clear" w:color="auto" w:fill="F0FFFF"/>
          </w:tcPr>
          <w:p>
            <w:pPr>
              <w:spacing w:after="0"/>
              <w:rPr>
                <w:sz w:val="22"/>
                <w:szCs w:val="22"/>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Dividend payout ratio - GAAP</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interest margin (FTE)</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3.30</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3.26</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Efficiency ratio - operating </w:t>
            </w:r>
            <w:r>
              <w:rPr>
                <w:rFonts w:ascii="Arial" w:cs="Arial" w:eastAsia="Arial" w:hAnsi="Arial"/>
                <w:sz w:val="29"/>
                <w:szCs w:val="29"/>
                <w:color w:val="auto"/>
                <w:vertAlign w:val="superscript"/>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58.51</w:t>
            </w:r>
          </w:p>
        </w:tc>
        <w:tc>
          <w:tcPr>
            <w:tcW w:w="2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58.26</w:t>
            </w:r>
          </w:p>
        </w:tc>
        <w:tc>
          <w:tcPr>
            <w:tcW w:w="2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63.14</w:t>
            </w:r>
          </w:p>
        </w:tc>
        <w:tc>
          <w:tcPr>
            <w:tcW w:w="24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65.43</w:t>
            </w:r>
          </w:p>
        </w:tc>
        <w:tc>
          <w:tcPr>
            <w:tcW w:w="22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Efficiency ratio - GAAP</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63.96</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58.26</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63.14</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65.43</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Average equity to average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9.69</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8.47</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Average tangible equity to average assets </w:t>
            </w:r>
            <w:r>
              <w:rPr>
                <w:rFonts w:ascii="Arial" w:cs="Arial" w:eastAsia="Arial" w:hAnsi="Arial"/>
                <w:sz w:val="29"/>
                <w:szCs w:val="29"/>
                <w:color w:val="auto"/>
                <w:vertAlign w:val="superscript"/>
              </w:rPr>
              <w:t>(3)</w:t>
            </w:r>
          </w:p>
        </w:tc>
        <w:tc>
          <w:tcPr>
            <w:tcW w:w="1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9.74</w:t>
            </w:r>
          </w:p>
        </w:tc>
        <w:tc>
          <w:tcPr>
            <w:tcW w:w="22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9.67</w:t>
            </w:r>
          </w:p>
        </w:tc>
        <w:tc>
          <w:tcPr>
            <w:tcW w:w="24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10.31</w:t>
            </w:r>
          </w:p>
        </w:tc>
        <w:tc>
          <w:tcPr>
            <w:tcW w:w="24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8.38</w:t>
            </w:r>
          </w:p>
        </w:tc>
        <w:tc>
          <w:tcPr>
            <w:tcW w:w="220" w:type="dxa"/>
            <w:vAlign w:val="bottom"/>
            <w:shd w:val="clear" w:color="auto" w:fill="F0FFFF"/>
          </w:tcPr>
          <w:p>
            <w:pPr>
              <w:spacing w:after="0"/>
              <w:rPr>
                <w:sz w:val="22"/>
                <w:szCs w:val="22"/>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Average tangible common equity to average assets </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9.66</w:t>
            </w:r>
          </w:p>
        </w:tc>
        <w:tc>
          <w:tcPr>
            <w:tcW w:w="2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9.60</w:t>
            </w:r>
          </w:p>
        </w:tc>
        <w:tc>
          <w:tcPr>
            <w:tcW w:w="2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7.55</w:t>
            </w:r>
          </w:p>
        </w:tc>
        <w:tc>
          <w:tcPr>
            <w:tcW w:w="240" w:type="dxa"/>
            <w:vAlign w:val="bottom"/>
          </w:tcPr>
          <w:p>
            <w:pPr>
              <w:spacing w:after="0"/>
              <w:rPr>
                <w:sz w:val="22"/>
                <w:szCs w:val="22"/>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6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Tangible common equity to risk-weighted assets </w:t>
            </w:r>
            <w:r>
              <w:rPr>
                <w:rFonts w:ascii="Arial" w:cs="Arial" w:eastAsia="Arial" w:hAnsi="Arial"/>
                <w:sz w:val="29"/>
                <w:szCs w:val="29"/>
                <w:color w:val="auto"/>
                <w:vertAlign w:val="superscript"/>
              </w:rPr>
              <w:t>(3)(4)</w:t>
            </w:r>
          </w:p>
        </w:tc>
        <w:tc>
          <w:tcPr>
            <w:tcW w:w="1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12.82</w:t>
            </w:r>
          </w:p>
        </w:tc>
        <w:tc>
          <w:tcPr>
            <w:tcW w:w="22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13.82</w:t>
            </w:r>
          </w:p>
        </w:tc>
        <w:tc>
          <w:tcPr>
            <w:tcW w:w="24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13.17</w:t>
            </w:r>
          </w:p>
        </w:tc>
        <w:tc>
          <w:tcPr>
            <w:tcW w:w="240" w:type="dxa"/>
            <w:vAlign w:val="bottom"/>
            <w:shd w:val="clear" w:color="auto" w:fill="F0FFFF"/>
          </w:tcPr>
          <w:p>
            <w:pPr>
              <w:spacing w:after="0"/>
              <w:rPr>
                <w:sz w:val="22"/>
                <w:szCs w:val="22"/>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8.26</w:t>
            </w:r>
          </w:p>
        </w:tc>
        <w:tc>
          <w:tcPr>
            <w:tcW w:w="220" w:type="dxa"/>
            <w:vAlign w:val="bottom"/>
            <w:shd w:val="clear" w:color="auto" w:fill="F0FFFF"/>
          </w:tcPr>
          <w:p>
            <w:pPr>
              <w:spacing w:after="0"/>
              <w:rPr>
                <w:sz w:val="22"/>
                <w:szCs w:val="22"/>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ASSET QUALITY</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Non-performing loans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22,653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17,881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26,819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109,894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127,479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Foreclosed properties</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4,883</w:t>
            </w:r>
          </w:p>
        </w:tc>
        <w:tc>
          <w:tcPr>
            <w:tcW w:w="2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1,726</w:t>
            </w:r>
          </w:p>
        </w:tc>
        <w:tc>
          <w:tcPr>
            <w:tcW w:w="2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4,221</w:t>
            </w:r>
          </w:p>
        </w:tc>
        <w:tc>
          <w:tcPr>
            <w:tcW w:w="2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18,264</w:t>
            </w:r>
          </w:p>
        </w:tc>
        <w:tc>
          <w:tcPr>
            <w:tcW w:w="2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32,859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Borders>
              <w:top w:val="single" w:sz="8" w:color="F0FFFF"/>
            </w:tcBorders>
          </w:tcPr>
          <w:p>
            <w:pPr>
              <w:ind w:left="320"/>
              <w:spacing w:after="0" w:line="203" w:lineRule="exact"/>
              <w:rPr>
                <w:sz w:val="20"/>
                <w:szCs w:val="20"/>
                <w:color w:val="auto"/>
              </w:rPr>
            </w:pPr>
            <w:r>
              <w:rPr>
                <w:rFonts w:ascii="Arial" w:cs="Arial" w:eastAsia="Arial" w:hAnsi="Arial"/>
                <w:sz w:val="18"/>
                <w:szCs w:val="18"/>
                <w:color w:val="auto"/>
              </w:rPr>
              <w:t>Total non-performing assets (NPAs)</w:t>
            </w:r>
          </w:p>
        </w:tc>
        <w:tc>
          <w:tcPr>
            <w:tcW w:w="10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27,536</w:t>
            </w:r>
          </w:p>
        </w:tc>
        <w:tc>
          <w:tcPr>
            <w:tcW w:w="28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19,607</w:t>
            </w:r>
          </w:p>
        </w:tc>
        <w:tc>
          <w:tcPr>
            <w:tcW w:w="26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31,040</w:t>
            </w:r>
          </w:p>
        </w:tc>
        <w:tc>
          <w:tcPr>
            <w:tcW w:w="26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128,158</w:t>
            </w:r>
          </w:p>
        </w:tc>
        <w:tc>
          <w:tcPr>
            <w:tcW w:w="28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160,338</w:t>
            </w:r>
          </w:p>
        </w:tc>
        <w:tc>
          <w:tcPr>
            <w:tcW w:w="22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68,448</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71,619</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76,762</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107,137</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Net charge-offs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6,259</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13,879</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93,710</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69,831</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311,227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Allowance for loan losses to loans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2.57%</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w w:val="99"/>
              </w:rPr>
              <w:t>Allowance for loan losses to loans, excluding acquired loans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charge-offs to average loans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NPAs to loans and foreclosed properties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NPAs to total assets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 xml:space="preserve">AVERAGE BALANCES </w:t>
            </w:r>
            <w:r>
              <w:rPr>
                <w:rFonts w:ascii="Arial" w:cs="Arial" w:eastAsia="Arial" w:hAnsi="Arial"/>
                <w:sz w:val="18"/>
                <w:szCs w:val="18"/>
                <w:i w:val="1"/>
                <w:iCs w:val="1"/>
                <w:color w:val="auto"/>
              </w:rPr>
              <w:t>($ in millions)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Loans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5,298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4,450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4,254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4,166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2,368</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2,274</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2,190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2,089</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Earning 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7,834</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6,880</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6,649</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6,547</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8,462</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7,436</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7,074</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6,865</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7,055</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6,228</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6,027</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5,885</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869</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720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732</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582</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160"/>
              <w:spacing w:after="0"/>
              <w:rPr>
                <w:sz w:val="20"/>
                <w:szCs w:val="20"/>
                <w:color w:val="auto"/>
              </w:rPr>
            </w:pPr>
            <w:r>
              <w:rPr>
                <w:rFonts w:ascii="Arial" w:cs="Arial" w:eastAsia="Arial" w:hAnsi="Arial"/>
                <w:sz w:val="18"/>
                <w:szCs w:val="18"/>
                <w:color w:val="auto"/>
              </w:rPr>
              <w:t xml:space="preserve">Common shares - Basic </w:t>
            </w:r>
            <w:r>
              <w:rPr>
                <w:rFonts w:ascii="Arial" w:cs="Arial" w:eastAsia="Arial" w:hAnsi="Arial"/>
                <w:sz w:val="18"/>
                <w:szCs w:val="18"/>
                <w:i w:val="1"/>
                <w:iCs w:val="1"/>
                <w:color w:val="auto"/>
              </w:rPr>
              <w:t>(thousands)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65,488</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60,588</w:t>
            </w:r>
          </w:p>
        </w:tc>
        <w:tc>
          <w:tcPr>
            <w:tcW w:w="2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58,787</w:t>
            </w:r>
          </w:p>
        </w:tc>
        <w:tc>
          <w:tcPr>
            <w:tcW w:w="2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57,857</w:t>
            </w: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 xml:space="preserve">Common shares - Diluted </w:t>
            </w:r>
            <w:r>
              <w:rPr>
                <w:rFonts w:ascii="Arial" w:cs="Arial" w:eastAsia="Arial" w:hAnsi="Arial"/>
                <w:sz w:val="18"/>
                <w:szCs w:val="18"/>
                <w:i w:val="1"/>
                <w:iCs w:val="1"/>
                <w:color w:val="auto"/>
              </w:rPr>
              <w:t>(thousands)</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65,492</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60,590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58,845</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57,857</w:t>
            </w: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39,943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AT YEAR-END </w:t>
      </w:r>
      <w:r>
        <w:rPr>
          <w:rFonts w:ascii="Arial" w:cs="Arial" w:eastAsia="Arial" w:hAnsi="Arial"/>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56" w:orient="portrait"/>
          <w:cols w:equalWidth="0" w:num="1">
            <w:col w:w="11420"/>
          </w:cols>
          <w:pgMar w:left="240" w:top="904" w:right="23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Loans</w:t>
            </w: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5,995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4,672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4,329</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4,175</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4,110</w:t>
            </w:r>
          </w:p>
        </w:tc>
      </w:tr>
      <w:tr>
        <w:trPr>
          <w:trHeight w:val="216"/>
        </w:trPr>
        <w:tc>
          <w:tcPr>
            <w:tcW w:w="41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Investment securities</w:t>
            </w:r>
          </w:p>
        </w:tc>
        <w:tc>
          <w:tcPr>
            <w:tcW w:w="1280" w:type="dxa"/>
            <w:vAlign w:val="bottom"/>
            <w:shd w:val="clear" w:color="auto" w:fill="F0FFFF"/>
          </w:tcPr>
          <w:p>
            <w:pPr>
              <w:spacing w:after="0"/>
              <w:rPr>
                <w:sz w:val="18"/>
                <w:szCs w:val="18"/>
                <w:color w:val="auto"/>
              </w:rPr>
            </w:pPr>
          </w:p>
        </w:tc>
        <w:tc>
          <w:tcPr>
            <w:tcW w:w="8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2,656</w:t>
            </w: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2,198</w:t>
            </w: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2,312</w:t>
            </w: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2,079</w:t>
            </w:r>
          </w:p>
        </w:tc>
        <w:tc>
          <w:tcPr>
            <w:tcW w:w="440" w:type="dxa"/>
            <w:vAlign w:val="bottom"/>
            <w:shd w:val="clear" w:color="auto" w:fill="F0FFFF"/>
          </w:tcPr>
          <w:p>
            <w:pPr>
              <w:spacing w:after="0"/>
              <w:rPr>
                <w:sz w:val="18"/>
                <w:szCs w:val="18"/>
                <w:color w:val="auto"/>
              </w:rPr>
            </w:pPr>
          </w:p>
        </w:tc>
        <w:tc>
          <w:tcPr>
            <w:tcW w:w="9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2,120</w:t>
            </w: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9,626</w:t>
            </w:r>
          </w:p>
        </w:tc>
        <w:tc>
          <w:tcPr>
            <w:tcW w:w="4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7,567</w:t>
            </w:r>
          </w:p>
        </w:tc>
        <w:tc>
          <w:tcPr>
            <w:tcW w:w="4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7,425</w:t>
            </w:r>
          </w:p>
        </w:tc>
        <w:tc>
          <w:tcPr>
            <w:tcW w:w="4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6,802</w:t>
            </w:r>
          </w:p>
        </w:tc>
        <w:tc>
          <w:tcPr>
            <w:tcW w:w="44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6,983</w:t>
            </w:r>
          </w:p>
        </w:tc>
      </w:tr>
      <w:tr>
        <w:trPr>
          <w:trHeight w:val="216"/>
        </w:trPr>
        <w:tc>
          <w:tcPr>
            <w:tcW w:w="41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Deposits</w:t>
            </w:r>
          </w:p>
        </w:tc>
        <w:tc>
          <w:tcPr>
            <w:tcW w:w="1280" w:type="dxa"/>
            <w:vAlign w:val="bottom"/>
            <w:shd w:val="clear" w:color="auto" w:fill="F0FFFF"/>
          </w:tcPr>
          <w:p>
            <w:pPr>
              <w:spacing w:after="0"/>
              <w:rPr>
                <w:sz w:val="18"/>
                <w:szCs w:val="18"/>
                <w:color w:val="auto"/>
              </w:rPr>
            </w:pPr>
          </w:p>
        </w:tc>
        <w:tc>
          <w:tcPr>
            <w:tcW w:w="8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7,881</w:t>
            </w: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6,327</w:t>
            </w: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6,202</w:t>
            </w: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5,952</w:t>
            </w:r>
          </w:p>
        </w:tc>
        <w:tc>
          <w:tcPr>
            <w:tcW w:w="440" w:type="dxa"/>
            <w:vAlign w:val="bottom"/>
            <w:shd w:val="clear" w:color="auto" w:fill="F0FFFF"/>
          </w:tcPr>
          <w:p>
            <w:pPr>
              <w:spacing w:after="0"/>
              <w:rPr>
                <w:sz w:val="18"/>
                <w:szCs w:val="18"/>
                <w:color w:val="auto"/>
              </w:rPr>
            </w:pPr>
          </w:p>
        </w:tc>
        <w:tc>
          <w:tcPr>
            <w:tcW w:w="9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6,098</w:t>
            </w:r>
          </w:p>
        </w:tc>
      </w:tr>
      <w:tr>
        <w:trPr>
          <w:trHeight w:val="216"/>
        </w:trPr>
        <w:tc>
          <w:tcPr>
            <w:tcW w:w="4100" w:type="dxa"/>
            <w:vAlign w:val="bottom"/>
          </w:tcPr>
          <w:p>
            <w:pPr>
              <w:ind w:left="180"/>
              <w:spacing w:after="0"/>
              <w:rPr>
                <w:sz w:val="20"/>
                <w:szCs w:val="20"/>
                <w:color w:val="auto"/>
              </w:rPr>
            </w:pPr>
            <w:r>
              <w:rPr>
                <w:rFonts w:ascii="Arial" w:cs="Arial" w:eastAsia="Arial" w:hAnsi="Arial"/>
                <w:sz w:val="18"/>
                <w:szCs w:val="18"/>
                <w:color w:val="auto"/>
              </w:rPr>
              <w:t>Shareholders’ equity</w:t>
            </w:r>
          </w:p>
        </w:tc>
        <w:tc>
          <w:tcPr>
            <w:tcW w:w="1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1,018</w:t>
            </w:r>
          </w:p>
        </w:tc>
        <w:tc>
          <w:tcPr>
            <w:tcW w:w="4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740</w:t>
            </w:r>
          </w:p>
        </w:tc>
        <w:tc>
          <w:tcPr>
            <w:tcW w:w="4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796</w:t>
            </w:r>
          </w:p>
        </w:tc>
        <w:tc>
          <w:tcPr>
            <w:tcW w:w="4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581</w:t>
            </w:r>
          </w:p>
        </w:tc>
        <w:tc>
          <w:tcPr>
            <w:tcW w:w="440" w:type="dxa"/>
            <w:vAlign w:val="bottom"/>
          </w:tcPr>
          <w:p>
            <w:pPr>
              <w:spacing w:after="0"/>
              <w:rPr>
                <w:sz w:val="18"/>
                <w:szCs w:val="18"/>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575</w:t>
            </w:r>
          </w:p>
        </w:tc>
      </w:tr>
      <w:tr>
        <w:trPr>
          <w:trHeight w:val="216"/>
        </w:trPr>
        <w:tc>
          <w:tcPr>
            <w:tcW w:w="4100" w:type="dxa"/>
            <w:vAlign w:val="bottom"/>
            <w:shd w:val="clear" w:color="auto" w:fill="F0FFFF"/>
          </w:tcPr>
          <w:p>
            <w:pPr>
              <w:ind w:left="180"/>
              <w:spacing w:after="0"/>
              <w:rPr>
                <w:sz w:val="20"/>
                <w:szCs w:val="20"/>
                <w:color w:val="auto"/>
              </w:rPr>
            </w:pPr>
            <w:r>
              <w:rPr>
                <w:rFonts w:ascii="Arial" w:cs="Arial" w:eastAsia="Arial" w:hAnsi="Arial"/>
                <w:sz w:val="18"/>
                <w:szCs w:val="18"/>
                <w:color w:val="auto"/>
              </w:rPr>
              <w:t xml:space="preserve">Common shares outstanding </w:t>
            </w:r>
            <w:r>
              <w:rPr>
                <w:rFonts w:ascii="Arial" w:cs="Arial" w:eastAsia="Arial" w:hAnsi="Arial"/>
                <w:sz w:val="18"/>
                <w:szCs w:val="18"/>
                <w:i w:val="1"/>
                <w:iCs w:val="1"/>
                <w:color w:val="auto"/>
              </w:rPr>
              <w:t>(thousands)</w:t>
            </w:r>
          </w:p>
        </w:tc>
        <w:tc>
          <w:tcPr>
            <w:tcW w:w="1280" w:type="dxa"/>
            <w:vAlign w:val="bottom"/>
            <w:shd w:val="clear" w:color="auto" w:fill="F0FFFF"/>
          </w:tcPr>
          <w:p>
            <w:pPr>
              <w:spacing w:after="0"/>
              <w:rPr>
                <w:sz w:val="18"/>
                <w:szCs w:val="18"/>
                <w:color w:val="auto"/>
              </w:rPr>
            </w:pPr>
          </w:p>
        </w:tc>
        <w:tc>
          <w:tcPr>
            <w:tcW w:w="8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71,484</w:t>
            </w: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60,259</w:t>
            </w: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59,432</w:t>
            </w:r>
          </w:p>
        </w:tc>
        <w:tc>
          <w:tcPr>
            <w:tcW w:w="440" w:type="dxa"/>
            <w:vAlign w:val="bottom"/>
            <w:shd w:val="clear" w:color="auto" w:fill="F0FFFF"/>
          </w:tcPr>
          <w:p>
            <w:pPr>
              <w:spacing w:after="0"/>
              <w:rPr>
                <w:sz w:val="18"/>
                <w:szCs w:val="18"/>
                <w:color w:val="auto"/>
              </w:rPr>
            </w:pPr>
          </w:p>
        </w:tc>
        <w:tc>
          <w:tcPr>
            <w:tcW w:w="8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57,741</w:t>
            </w:r>
          </w:p>
        </w:tc>
        <w:tc>
          <w:tcPr>
            <w:tcW w:w="440" w:type="dxa"/>
            <w:vAlign w:val="bottom"/>
            <w:shd w:val="clear" w:color="auto" w:fill="F0FFFF"/>
          </w:tcPr>
          <w:p>
            <w:pPr>
              <w:spacing w:after="0"/>
              <w:rPr>
                <w:sz w:val="18"/>
                <w:szCs w:val="18"/>
                <w:color w:val="auto"/>
              </w:rPr>
            </w:pPr>
          </w:p>
        </w:tc>
        <w:tc>
          <w:tcPr>
            <w:tcW w:w="9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rPr>
              <w:t>57,561</w:t>
            </w:r>
          </w:p>
        </w:tc>
      </w:tr>
    </w:tbl>
    <w:p>
      <w:pPr>
        <w:spacing w:after="0" w:line="205" w:lineRule="exact"/>
        <w:rPr>
          <w:sz w:val="20"/>
          <w:szCs w:val="20"/>
          <w:color w:val="auto"/>
        </w:rPr>
      </w:pPr>
    </w:p>
    <w:p>
      <w:pPr>
        <w:jc w:val="both"/>
        <w:ind w:firstLine="8"/>
        <w:spacing w:after="0" w:line="242" w:lineRule="auto"/>
        <w:tabs>
          <w:tab w:leader="none" w:pos="224"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 xml:space="preserve">Excludes merger-related charges and impairment losses on surplus bank property. </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Net income (loss) available to common shareholders, which is net of preferred stock dividends, divided by average realized common equity, which excludes accumulated other comprehensive income (loss). </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Excludes effect of acquisition related intangibles and associated amortization. </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December 31, 2015 calculated under Basel III rules, which became effective January 1, 2015.</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 -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6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right"/>
              <w:ind w:right="676"/>
              <w:spacing w:after="0"/>
              <w:rPr>
                <w:sz w:val="20"/>
                <w:szCs w:val="20"/>
                <w:color w:val="auto"/>
              </w:rPr>
            </w:pPr>
            <w:r>
              <w:rPr>
                <w:rFonts w:ascii="Arial" w:cs="Arial" w:eastAsia="Arial" w:hAnsi="Arial"/>
                <w:sz w:val="14"/>
                <w:szCs w:val="14"/>
                <w:b w:val="1"/>
                <w:bCs w:val="1"/>
                <w:color w:val="auto"/>
                <w:w w:val="83"/>
              </w:rPr>
              <w:t>2014</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4"/>
              </w:rPr>
              <w:t>Fourth</w:t>
            </w:r>
          </w:p>
        </w:tc>
        <w:tc>
          <w:tcPr>
            <w:tcW w:w="92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86"/>
              </w:rPr>
              <w:t>Second</w:t>
            </w:r>
          </w:p>
        </w:tc>
        <w:tc>
          <w:tcPr>
            <w:tcW w:w="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First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4"/>
              </w:rPr>
              <w:t>Fourth</w:t>
            </w:r>
          </w:p>
        </w:tc>
        <w:tc>
          <w:tcPr>
            <w:tcW w:w="800" w:type="dxa"/>
            <w:vAlign w:val="bottom"/>
          </w:tcPr>
          <w:p>
            <w:pPr>
              <w:jc w:val="right"/>
              <w:ind w:right="133"/>
              <w:spacing w:after="0" w:line="139" w:lineRule="exact"/>
              <w:rPr>
                <w:sz w:val="20"/>
                <w:szCs w:val="20"/>
                <w:color w:val="auto"/>
              </w:rPr>
            </w:pPr>
            <w:r>
              <w:rPr>
                <w:rFonts w:ascii="Arial" w:cs="Arial" w:eastAsia="Arial" w:hAnsi="Arial"/>
                <w:sz w:val="14"/>
                <w:szCs w:val="14"/>
                <w:b w:val="1"/>
                <w:bCs w:val="1"/>
                <w:color w:val="auto"/>
              </w:rPr>
              <w:t>Third</w:t>
            </w:r>
          </w:p>
        </w:tc>
        <w:tc>
          <w:tcPr>
            <w:tcW w:w="260" w:type="dxa"/>
            <w:vAlign w:val="bottom"/>
          </w:tcPr>
          <w:p>
            <w:pPr>
              <w:spacing w:after="0"/>
              <w:rPr>
                <w:sz w:val="12"/>
                <w:szCs w:val="12"/>
                <w:color w:val="auto"/>
              </w:rPr>
            </w:pPr>
          </w:p>
        </w:tc>
        <w:tc>
          <w:tcPr>
            <w:tcW w:w="1060" w:type="dxa"/>
            <w:vAlign w:val="bottom"/>
            <w:gridSpan w:val="2"/>
          </w:tcPr>
          <w:p>
            <w:pPr>
              <w:jc w:val="right"/>
              <w:ind w:right="440"/>
              <w:spacing w:after="0" w:line="139" w:lineRule="exact"/>
              <w:rPr>
                <w:sz w:val="20"/>
                <w:szCs w:val="20"/>
                <w:color w:val="auto"/>
              </w:rPr>
            </w:pPr>
            <w:r>
              <w:rPr>
                <w:rFonts w:ascii="Arial" w:cs="Arial" w:eastAsia="Arial" w:hAnsi="Arial"/>
                <w:sz w:val="14"/>
                <w:szCs w:val="14"/>
                <w:b w:val="1"/>
                <w:bCs w:val="1"/>
                <w:color w:val="auto"/>
              </w:rPr>
              <w:t>Second</w:t>
            </w:r>
          </w:p>
        </w:tc>
        <w:tc>
          <w:tcPr>
            <w:tcW w:w="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First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060" w:type="dxa"/>
            <w:vAlign w:val="bottom"/>
          </w:tcPr>
          <w:p>
            <w:pPr>
              <w:spacing w:after="0"/>
              <w:rPr>
                <w:sz w:val="20"/>
                <w:szCs w:val="20"/>
                <w:color w:val="auto"/>
              </w:rPr>
            </w:pPr>
            <w:r>
              <w:rPr>
                <w:rFonts w:ascii="Arial" w:cs="Arial" w:eastAsia="Arial" w:hAnsi="Arial"/>
                <w:sz w:val="14"/>
                <w:szCs w:val="14"/>
                <w:i w:val="1"/>
                <w:iCs w:val="1"/>
                <w:color w:val="auto"/>
              </w:rPr>
              <w:t>data; fully taxable equivalent)</w:t>
            </w: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Quarter</w:t>
            </w:r>
          </w:p>
        </w:tc>
        <w:tc>
          <w:tcPr>
            <w:tcW w:w="800" w:type="dxa"/>
            <w:vAlign w:val="bottom"/>
          </w:tcPr>
          <w:p>
            <w:pPr>
              <w:jc w:val="right"/>
              <w:ind w:right="53"/>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Quarter</w:t>
            </w:r>
          </w:p>
        </w:tc>
        <w:tc>
          <w:tcPr>
            <w:tcW w:w="0" w:type="dxa"/>
            <w:vAlign w:val="bottom"/>
          </w:tcPr>
          <w:p>
            <w:pPr>
              <w:spacing w:after="0"/>
              <w:rPr>
                <w:sz w:val="1"/>
                <w:szCs w:val="1"/>
                <w:color w:val="auto"/>
              </w:rPr>
            </w:pPr>
          </w:p>
        </w:tc>
      </w:tr>
      <w:tr>
        <w:trPr>
          <w:trHeight w:val="216"/>
        </w:trPr>
        <w:tc>
          <w:tcPr>
            <w:tcW w:w="30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INCOME SUMMARY</w:t>
            </w:r>
          </w:p>
        </w:tc>
        <w:tc>
          <w:tcPr>
            <w:tcW w:w="10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Interest revenue (FTE)</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  79,646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  71,120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66,134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  62,909</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  64,353</w:t>
            </w:r>
          </w:p>
        </w:tc>
        <w:tc>
          <w:tcPr>
            <w:tcW w:w="800" w:type="dxa"/>
            <w:vAlign w:val="bottom"/>
          </w:tcPr>
          <w:p>
            <w:pPr>
              <w:jc w:val="right"/>
              <w:spacing w:after="0"/>
              <w:rPr>
                <w:sz w:val="20"/>
                <w:szCs w:val="20"/>
                <w:color w:val="auto"/>
              </w:rPr>
            </w:pPr>
            <w:r>
              <w:rPr>
                <w:rFonts w:ascii="Arial" w:cs="Arial" w:eastAsia="Arial" w:hAnsi="Arial"/>
                <w:sz w:val="18"/>
                <w:szCs w:val="18"/>
                <w:color w:val="auto"/>
              </w:rPr>
              <w:t>$  63,338</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  61,783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  60,495</w:t>
            </w:r>
          </w:p>
        </w:tc>
        <w:tc>
          <w:tcPr>
            <w:tcW w:w="0" w:type="dxa"/>
            <w:vAlign w:val="bottom"/>
          </w:tcPr>
          <w:p>
            <w:pPr>
              <w:spacing w:after="0"/>
              <w:rPr>
                <w:sz w:val="1"/>
                <w:szCs w:val="1"/>
                <w:color w:val="auto"/>
              </w:rPr>
            </w:pPr>
          </w:p>
        </w:tc>
      </w:tr>
      <w:tr>
        <w:trPr>
          <w:trHeight w:val="250"/>
        </w:trPr>
        <w:tc>
          <w:tcPr>
            <w:tcW w:w="3060" w:type="dxa"/>
            <w:vAlign w:val="bottom"/>
            <w:shd w:val="clear" w:color="auto" w:fill="F0FFFF"/>
          </w:tcPr>
          <w:p>
            <w:pPr>
              <w:spacing w:after="0"/>
              <w:rPr>
                <w:sz w:val="20"/>
                <w:szCs w:val="20"/>
                <w:color w:val="auto"/>
              </w:rPr>
            </w:pPr>
            <w:r>
              <w:rPr>
                <w:rFonts w:ascii="Arial" w:cs="Arial" w:eastAsia="Arial" w:hAnsi="Arial"/>
                <w:sz w:val="18"/>
                <w:szCs w:val="18"/>
                <w:color w:val="auto"/>
              </w:rPr>
              <w:t>Interest expense</w:t>
            </w:r>
          </w:p>
        </w:tc>
        <w:tc>
          <w:tcPr>
            <w:tcW w:w="114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5,598</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5,402</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4,817</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5,292</w:t>
            </w:r>
          </w:p>
        </w:tc>
        <w:tc>
          <w:tcPr>
            <w:tcW w:w="116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6,021</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6,371</w:t>
            </w:r>
          </w:p>
        </w:tc>
        <w:tc>
          <w:tcPr>
            <w:tcW w:w="1320" w:type="dxa"/>
            <w:vAlign w:val="bottom"/>
            <w:gridSpan w:val="3"/>
            <w:shd w:val="clear" w:color="auto" w:fill="F0FFFF"/>
          </w:tcPr>
          <w:p>
            <w:pPr>
              <w:jc w:val="right"/>
              <w:ind w:right="280"/>
              <w:spacing w:after="0"/>
              <w:rPr>
                <w:sz w:val="20"/>
                <w:szCs w:val="20"/>
                <w:color w:val="auto"/>
              </w:rPr>
            </w:pPr>
            <w:r>
              <w:rPr>
                <w:rFonts w:ascii="Arial" w:cs="Arial" w:eastAsia="Arial" w:hAnsi="Arial"/>
                <w:sz w:val="18"/>
                <w:szCs w:val="18"/>
                <w:color w:val="auto"/>
              </w:rPr>
              <w:t>6,833</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6,326</w:t>
            </w:r>
          </w:p>
        </w:tc>
        <w:tc>
          <w:tcPr>
            <w:tcW w:w="0" w:type="dxa"/>
            <w:vAlign w:val="bottom"/>
          </w:tcPr>
          <w:p>
            <w:pPr>
              <w:spacing w:after="0"/>
              <w:rPr>
                <w:sz w:val="1"/>
                <w:szCs w:val="1"/>
                <w:color w:val="auto"/>
              </w:rPr>
            </w:pPr>
          </w:p>
        </w:tc>
      </w:tr>
      <w:tr>
        <w:trPr>
          <w:trHeight w:val="203"/>
        </w:trPr>
        <w:tc>
          <w:tcPr>
            <w:tcW w:w="3060" w:type="dxa"/>
            <w:vAlign w:val="bottom"/>
            <w:tcBorders>
              <w:top w:val="single" w:sz="8" w:color="F0FFFF"/>
            </w:tcBorders>
          </w:tcPr>
          <w:p>
            <w:pPr>
              <w:ind w:left="180"/>
              <w:spacing w:after="0" w:line="203" w:lineRule="exact"/>
              <w:rPr>
                <w:sz w:val="20"/>
                <w:szCs w:val="20"/>
                <w:color w:val="auto"/>
              </w:rPr>
            </w:pPr>
            <w:r>
              <w:rPr>
                <w:rFonts w:ascii="Arial" w:cs="Arial" w:eastAsia="Arial" w:hAnsi="Arial"/>
                <w:sz w:val="18"/>
                <w:szCs w:val="18"/>
                <w:color w:val="auto"/>
              </w:rPr>
              <w:t>Net interest revenue (FTE)</w:t>
            </w:r>
          </w:p>
        </w:tc>
        <w:tc>
          <w:tcPr>
            <w:tcW w:w="100" w:type="dxa"/>
            <w:vAlign w:val="bottom"/>
            <w:tcBorders>
              <w:top w:val="single" w:sz="8" w:color="F0FF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74,048</w:t>
            </w:r>
          </w:p>
        </w:tc>
        <w:tc>
          <w:tcPr>
            <w:tcW w:w="260" w:type="dxa"/>
            <w:vAlign w:val="bottom"/>
            <w:tcBorders>
              <w:top w:val="single" w:sz="8" w:color="F0FF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65,718</w:t>
            </w:r>
          </w:p>
        </w:tc>
        <w:tc>
          <w:tcPr>
            <w:tcW w:w="14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61,317</w:t>
            </w:r>
          </w:p>
        </w:tc>
        <w:tc>
          <w:tcPr>
            <w:tcW w:w="260" w:type="dxa"/>
            <w:vAlign w:val="bottom"/>
            <w:tcBorders>
              <w:top w:val="single" w:sz="8" w:color="F0FF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57,617</w:t>
            </w:r>
          </w:p>
        </w:tc>
        <w:tc>
          <w:tcPr>
            <w:tcW w:w="14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58,332</w:t>
            </w:r>
          </w:p>
        </w:tc>
        <w:tc>
          <w:tcPr>
            <w:tcW w:w="260" w:type="dxa"/>
            <w:vAlign w:val="bottom"/>
            <w:tcBorders>
              <w:top w:val="single" w:sz="8" w:color="F0FFFF"/>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56,967</w:t>
            </w:r>
          </w:p>
        </w:tc>
        <w:tc>
          <w:tcPr>
            <w:tcW w:w="260" w:type="dxa"/>
            <w:vAlign w:val="bottom"/>
            <w:tcBorders>
              <w:top w:val="single" w:sz="8" w:color="F0FF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54,950</w:t>
            </w:r>
          </w:p>
        </w:tc>
        <w:tc>
          <w:tcPr>
            <w:tcW w:w="280" w:type="dxa"/>
            <w:vAlign w:val="bottom"/>
            <w:tcBorders>
              <w:top w:val="single" w:sz="8" w:color="F0FF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54,169</w:t>
            </w:r>
          </w:p>
        </w:tc>
        <w:tc>
          <w:tcPr>
            <w:tcW w:w="1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F0FFFF"/>
          </w:tcPr>
          <w:p>
            <w:pPr>
              <w:spacing w:after="0"/>
              <w:rPr>
                <w:sz w:val="20"/>
                <w:szCs w:val="20"/>
                <w:color w:val="auto"/>
              </w:rPr>
            </w:pPr>
            <w:r>
              <w:rPr>
                <w:rFonts w:ascii="Arial" w:cs="Arial" w:eastAsia="Arial" w:hAnsi="Arial"/>
                <w:sz w:val="18"/>
                <w:szCs w:val="18"/>
                <w:color w:val="auto"/>
              </w:rPr>
              <w:t>Provision for credit losses</w:t>
            </w:r>
          </w:p>
        </w:tc>
        <w:tc>
          <w:tcPr>
            <w:tcW w:w="114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300</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900</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1,800</w:t>
            </w:r>
          </w:p>
        </w:tc>
        <w:tc>
          <w:tcPr>
            <w:tcW w:w="116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1,800</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2,000</w:t>
            </w:r>
          </w:p>
        </w:tc>
        <w:tc>
          <w:tcPr>
            <w:tcW w:w="1320" w:type="dxa"/>
            <w:vAlign w:val="bottom"/>
            <w:gridSpan w:val="3"/>
            <w:shd w:val="clear" w:color="auto" w:fill="F0FFFF"/>
          </w:tcPr>
          <w:p>
            <w:pPr>
              <w:jc w:val="right"/>
              <w:ind w:right="280"/>
              <w:spacing w:after="0"/>
              <w:rPr>
                <w:sz w:val="20"/>
                <w:szCs w:val="20"/>
                <w:color w:val="auto"/>
              </w:rPr>
            </w:pPr>
            <w:r>
              <w:rPr>
                <w:rFonts w:ascii="Arial" w:cs="Arial" w:eastAsia="Arial" w:hAnsi="Arial"/>
                <w:sz w:val="18"/>
                <w:szCs w:val="18"/>
                <w:color w:val="auto"/>
              </w:rPr>
              <w:t>2,200</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7"/>
        </w:trPr>
        <w:tc>
          <w:tcPr>
            <w:tcW w:w="3060" w:type="dxa"/>
            <w:vAlign w:val="bottom"/>
          </w:tcPr>
          <w:p>
            <w:pPr>
              <w:spacing w:after="0"/>
              <w:rPr>
                <w:sz w:val="20"/>
                <w:szCs w:val="20"/>
                <w:color w:val="auto"/>
              </w:rPr>
            </w:pPr>
            <w:r>
              <w:rPr>
                <w:rFonts w:ascii="Arial" w:cs="Arial" w:eastAsia="Arial" w:hAnsi="Arial"/>
                <w:sz w:val="18"/>
                <w:szCs w:val="18"/>
                <w:color w:val="auto"/>
              </w:rPr>
              <w:t>Fee revenue</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21,284</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18,297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17,266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15,682</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14,823</w:t>
            </w:r>
          </w:p>
        </w:tc>
        <w:tc>
          <w:tcPr>
            <w:tcW w:w="800" w:type="dxa"/>
            <w:vAlign w:val="bottom"/>
          </w:tcPr>
          <w:p>
            <w:pPr>
              <w:jc w:val="right"/>
              <w:spacing w:after="0"/>
              <w:rPr>
                <w:sz w:val="20"/>
                <w:szCs w:val="20"/>
                <w:color w:val="auto"/>
              </w:rPr>
            </w:pPr>
            <w:r>
              <w:rPr>
                <w:rFonts w:ascii="Arial" w:cs="Arial" w:eastAsia="Arial" w:hAnsi="Arial"/>
                <w:sz w:val="18"/>
                <w:szCs w:val="18"/>
                <w:color w:val="auto"/>
              </w:rPr>
              <w:t>14,412</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14,143</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12,176</w:t>
            </w:r>
          </w:p>
        </w:tc>
        <w:tc>
          <w:tcPr>
            <w:tcW w:w="0" w:type="dxa"/>
            <w:vAlign w:val="bottom"/>
          </w:tcPr>
          <w:p>
            <w:pPr>
              <w:spacing w:after="0"/>
              <w:rPr>
                <w:sz w:val="1"/>
                <w:szCs w:val="1"/>
                <w:color w:val="auto"/>
              </w:rPr>
            </w:pPr>
          </w:p>
        </w:tc>
      </w:tr>
      <w:tr>
        <w:trPr>
          <w:trHeight w:val="216"/>
        </w:trPr>
        <w:tc>
          <w:tcPr>
            <w:tcW w:w="3060" w:type="dxa"/>
            <w:vAlign w:val="bottom"/>
            <w:tcBorders>
              <w:top w:val="single" w:sz="8" w:color="F0FFFF"/>
            </w:tcBorders>
            <w:shd w:val="clear" w:color="auto" w:fill="F0FFFF"/>
          </w:tcPr>
          <w:p>
            <w:pPr>
              <w:ind w:left="180"/>
              <w:spacing w:after="0"/>
              <w:rPr>
                <w:sz w:val="20"/>
                <w:szCs w:val="20"/>
                <w:color w:val="auto"/>
              </w:rPr>
            </w:pPr>
            <w:r>
              <w:rPr>
                <w:rFonts w:ascii="Arial" w:cs="Arial" w:eastAsia="Arial" w:hAnsi="Arial"/>
                <w:sz w:val="18"/>
                <w:szCs w:val="18"/>
                <w:b w:val="1"/>
                <w:bCs w:val="1"/>
                <w:color w:val="auto"/>
              </w:rPr>
              <w:t>Total revenue (FTE)</w:t>
            </w:r>
          </w:p>
        </w:tc>
        <w:tc>
          <w:tcPr>
            <w:tcW w:w="10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95,032</w:t>
            </w:r>
          </w:p>
        </w:tc>
        <w:tc>
          <w:tcPr>
            <w:tcW w:w="26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83,315</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77,683</w:t>
            </w:r>
          </w:p>
        </w:tc>
        <w:tc>
          <w:tcPr>
            <w:tcW w:w="26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71,499</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71,355</w:t>
            </w:r>
          </w:p>
        </w:tc>
        <w:tc>
          <w:tcPr>
            <w:tcW w:w="260" w:type="dxa"/>
            <w:vAlign w:val="bottom"/>
            <w:tcBorders>
              <w:top w:val="single" w:sz="8" w:color="F0FFFF"/>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69,379</w:t>
            </w:r>
          </w:p>
        </w:tc>
        <w:tc>
          <w:tcPr>
            <w:tcW w:w="26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66,893</w:t>
            </w:r>
          </w:p>
        </w:tc>
        <w:tc>
          <w:tcPr>
            <w:tcW w:w="280" w:type="dxa"/>
            <w:vAlign w:val="bottom"/>
            <w:tcBorders>
              <w:top w:val="single" w:sz="8" w:color="F0FFFF"/>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63,845</w:t>
            </w: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060" w:type="dxa"/>
            <w:vAlign w:val="bottom"/>
          </w:tcPr>
          <w:p>
            <w:pPr>
              <w:spacing w:after="0" w:line="269" w:lineRule="exact"/>
              <w:rPr>
                <w:sz w:val="20"/>
                <w:szCs w:val="20"/>
                <w:color w:val="auto"/>
              </w:rPr>
            </w:pPr>
            <w:r>
              <w:rPr>
                <w:rFonts w:ascii="Arial" w:cs="Arial" w:eastAsia="Arial" w:hAnsi="Arial"/>
                <w:sz w:val="18"/>
                <w:szCs w:val="18"/>
                <w:color w:val="auto"/>
              </w:rPr>
              <w:t xml:space="preserve">Expenses - operating </w:t>
            </w:r>
            <w:r>
              <w:rPr>
                <w:rFonts w:ascii="Arial" w:cs="Arial" w:eastAsia="Arial" w:hAnsi="Arial"/>
                <w:sz w:val="30"/>
                <w:szCs w:val="30"/>
                <w:color w:val="auto"/>
                <w:vertAlign w:val="superscript"/>
              </w:rPr>
              <w:t>(1)</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56,410</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48,525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45,247</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43,061</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41,919</w:t>
            </w:r>
          </w:p>
        </w:tc>
        <w:tc>
          <w:tcPr>
            <w:tcW w:w="800" w:type="dxa"/>
            <w:vAlign w:val="bottom"/>
          </w:tcPr>
          <w:p>
            <w:pPr>
              <w:jc w:val="right"/>
              <w:spacing w:after="0"/>
              <w:rPr>
                <w:sz w:val="20"/>
                <w:szCs w:val="20"/>
                <w:color w:val="auto"/>
              </w:rPr>
            </w:pPr>
            <w:r>
              <w:rPr>
                <w:rFonts w:ascii="Arial" w:cs="Arial" w:eastAsia="Arial" w:hAnsi="Arial"/>
                <w:sz w:val="18"/>
                <w:szCs w:val="18"/>
                <w:color w:val="auto"/>
              </w:rPr>
              <w:t>41,364</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40,532</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39,050</w:t>
            </w:r>
          </w:p>
        </w:tc>
        <w:tc>
          <w:tcPr>
            <w:tcW w:w="0" w:type="dxa"/>
            <w:vAlign w:val="bottom"/>
          </w:tcPr>
          <w:p>
            <w:pPr>
              <w:spacing w:after="0"/>
              <w:rPr>
                <w:sz w:val="1"/>
                <w:szCs w:val="1"/>
                <w:color w:val="auto"/>
              </w:rPr>
            </w:pPr>
          </w:p>
        </w:tc>
      </w:tr>
      <w:tr>
        <w:trPr>
          <w:trHeight w:val="192"/>
        </w:trPr>
        <w:tc>
          <w:tcPr>
            <w:tcW w:w="3060" w:type="dxa"/>
            <w:vAlign w:val="bottom"/>
            <w:tcBorders>
              <w:top w:val="single" w:sz="8" w:color="F0FFFF"/>
            </w:tcBorders>
            <w:shd w:val="clear" w:color="auto" w:fill="F0FFFF"/>
          </w:tcPr>
          <w:p>
            <w:pPr>
              <w:ind w:left="180"/>
              <w:spacing w:after="0" w:line="192" w:lineRule="exact"/>
              <w:rPr>
                <w:sz w:val="20"/>
                <w:szCs w:val="20"/>
                <w:color w:val="auto"/>
              </w:rPr>
            </w:pPr>
            <w:r>
              <w:rPr>
                <w:rFonts w:ascii="Arial" w:cs="Arial" w:eastAsia="Arial" w:hAnsi="Arial"/>
                <w:sz w:val="18"/>
                <w:szCs w:val="18"/>
                <w:color w:val="auto"/>
                <w:w w:val="98"/>
              </w:rPr>
              <w:t>Income before income tax expense -</w:t>
            </w:r>
          </w:p>
        </w:tc>
        <w:tc>
          <w:tcPr>
            <w:tcW w:w="100" w:type="dxa"/>
            <w:vAlign w:val="bottom"/>
            <w:tcBorders>
              <w:top w:val="single" w:sz="8" w:color="F0FFFF"/>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F0FFFF"/>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14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auto"/>
            </w:tcBorders>
            <w:shd w:val="clear" w:color="auto" w:fill="F0FFFF"/>
          </w:tcPr>
          <w:p>
            <w:pPr>
              <w:spacing w:after="0"/>
              <w:rPr>
                <w:sz w:val="16"/>
                <w:szCs w:val="16"/>
                <w:color w:val="auto"/>
              </w:rPr>
            </w:pPr>
          </w:p>
        </w:tc>
        <w:tc>
          <w:tcPr>
            <w:tcW w:w="66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F0FFFF"/>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140" w:type="dxa"/>
            <w:vAlign w:val="bottom"/>
            <w:tcBorders>
              <w:top w:val="single" w:sz="8" w:color="F0FFFF"/>
            </w:tcBorders>
            <w:shd w:val="clear" w:color="auto" w:fill="F0FFFF"/>
          </w:tcPr>
          <w:p>
            <w:pPr>
              <w:spacing w:after="0"/>
              <w:rPr>
                <w:sz w:val="16"/>
                <w:szCs w:val="16"/>
                <w:color w:val="auto"/>
              </w:rPr>
            </w:pPr>
          </w:p>
        </w:tc>
        <w:tc>
          <w:tcPr>
            <w:tcW w:w="120" w:type="dxa"/>
            <w:vAlign w:val="bottom"/>
            <w:tcBorders>
              <w:top w:val="single" w:sz="8" w:color="F0FFFF"/>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F0FFFF"/>
            </w:tcBorders>
            <w:shd w:val="clear" w:color="auto" w:fill="F0FFFF"/>
          </w:tcPr>
          <w:p>
            <w:pPr>
              <w:spacing w:after="0"/>
              <w:rPr>
                <w:sz w:val="16"/>
                <w:szCs w:val="16"/>
                <w:color w:val="auto"/>
              </w:rPr>
            </w:pPr>
          </w:p>
        </w:tc>
        <w:tc>
          <w:tcPr>
            <w:tcW w:w="80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F0FFFF"/>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F0FFFF"/>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160" w:type="dxa"/>
            <w:vAlign w:val="bottom"/>
            <w:tcBorders>
              <w:top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3060" w:type="dxa"/>
            <w:vAlign w:val="bottom"/>
            <w:shd w:val="clear" w:color="auto" w:fill="F0FFFF"/>
          </w:tcPr>
          <w:p>
            <w:pPr>
              <w:ind w:left="340"/>
              <w:spacing w:after="0" w:line="266" w:lineRule="exact"/>
              <w:rPr>
                <w:sz w:val="20"/>
                <w:szCs w:val="20"/>
                <w:color w:val="auto"/>
              </w:rPr>
            </w:pPr>
            <w:r>
              <w:rPr>
                <w:rFonts w:ascii="Arial" w:cs="Arial" w:eastAsia="Arial" w:hAnsi="Arial"/>
                <w:sz w:val="18"/>
                <w:szCs w:val="18"/>
                <w:color w:val="auto"/>
              </w:rPr>
              <w:t xml:space="preserve">(FTE) operating </w:t>
            </w:r>
            <w:r>
              <w:rPr>
                <w:rFonts w:ascii="Arial" w:cs="Arial" w:eastAsia="Arial" w:hAnsi="Arial"/>
                <w:sz w:val="30"/>
                <w:szCs w:val="30"/>
                <w:color w:val="auto"/>
                <w:vertAlign w:val="superscript"/>
              </w:rPr>
              <w:t>(1)</w:t>
            </w:r>
          </w:p>
        </w:tc>
        <w:tc>
          <w:tcPr>
            <w:tcW w:w="114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38,622</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34,790</w:t>
            </w:r>
          </w:p>
        </w:tc>
        <w:tc>
          <w:tcPr>
            <w:tcW w:w="120" w:type="dxa"/>
            <w:vAlign w:val="bottom"/>
            <w:shd w:val="clear" w:color="auto" w:fill="F0FFFF"/>
          </w:tcPr>
          <w:p>
            <w:pPr>
              <w:spacing w:after="0"/>
              <w:rPr>
                <w:sz w:val="23"/>
                <w:szCs w:val="23"/>
                <w:color w:val="auto"/>
              </w:rPr>
            </w:pPr>
          </w:p>
        </w:tc>
        <w:tc>
          <w:tcPr>
            <w:tcW w:w="120" w:type="dxa"/>
            <w:vAlign w:val="bottom"/>
            <w:shd w:val="clear" w:color="auto" w:fill="F0FFFF"/>
          </w:tcPr>
          <w:p>
            <w:pPr>
              <w:spacing w:after="0"/>
              <w:rPr>
                <w:sz w:val="23"/>
                <w:szCs w:val="23"/>
                <w:color w:val="auto"/>
              </w:rPr>
            </w:pPr>
          </w:p>
        </w:tc>
        <w:tc>
          <w:tcPr>
            <w:tcW w:w="9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32,436</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28,438</w:t>
            </w:r>
          </w:p>
        </w:tc>
        <w:tc>
          <w:tcPr>
            <w:tcW w:w="116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29,436</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28,015</w:t>
            </w:r>
          </w:p>
        </w:tc>
        <w:tc>
          <w:tcPr>
            <w:tcW w:w="1320" w:type="dxa"/>
            <w:vAlign w:val="bottom"/>
            <w:gridSpan w:val="3"/>
            <w:shd w:val="clear" w:color="auto" w:fill="F0FFFF"/>
          </w:tcPr>
          <w:p>
            <w:pPr>
              <w:jc w:val="right"/>
              <w:ind w:right="280"/>
              <w:spacing w:after="0"/>
              <w:rPr>
                <w:sz w:val="20"/>
                <w:szCs w:val="20"/>
                <w:color w:val="auto"/>
              </w:rPr>
            </w:pPr>
            <w:r>
              <w:rPr>
                <w:rFonts w:ascii="Arial" w:cs="Arial" w:eastAsia="Arial" w:hAnsi="Arial"/>
                <w:sz w:val="18"/>
                <w:szCs w:val="18"/>
                <w:color w:val="auto"/>
              </w:rPr>
              <w:t>26,361</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24,795</w:t>
            </w:r>
          </w:p>
        </w:tc>
        <w:tc>
          <w:tcPr>
            <w:tcW w:w="0" w:type="dxa"/>
            <w:vAlign w:val="bottom"/>
          </w:tcPr>
          <w:p>
            <w:pPr>
              <w:spacing w:after="0"/>
              <w:rPr>
                <w:sz w:val="1"/>
                <w:szCs w:val="1"/>
                <w:color w:val="auto"/>
              </w:rPr>
            </w:pPr>
          </w:p>
        </w:tc>
      </w:tr>
      <w:tr>
        <w:trPr>
          <w:trHeight w:val="270"/>
        </w:trPr>
        <w:tc>
          <w:tcPr>
            <w:tcW w:w="3060" w:type="dxa"/>
            <w:vAlign w:val="bottom"/>
          </w:tcPr>
          <w:p>
            <w:pPr>
              <w:spacing w:after="0" w:line="269" w:lineRule="exact"/>
              <w:rPr>
                <w:sz w:val="20"/>
                <w:szCs w:val="20"/>
                <w:color w:val="auto"/>
              </w:rPr>
            </w:pPr>
            <w:r>
              <w:rPr>
                <w:rFonts w:ascii="Arial" w:cs="Arial" w:eastAsia="Arial" w:hAnsi="Arial"/>
                <w:sz w:val="18"/>
                <w:szCs w:val="18"/>
                <w:color w:val="auto"/>
                <w:w w:val="91"/>
              </w:rPr>
              <w:t xml:space="preserve">Income tax expense - (FTE) operating </w:t>
            </w:r>
            <w:r>
              <w:rPr>
                <w:rFonts w:ascii="Arial" w:cs="Arial" w:eastAsia="Arial" w:hAnsi="Arial"/>
                <w:sz w:val="30"/>
                <w:szCs w:val="30"/>
                <w:color w:val="auto"/>
                <w:w w:val="91"/>
                <w:vertAlign w:val="superscript"/>
              </w:rPr>
              <w:t>(1)</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14,822</w:t>
            </w: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13,064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12,447</w:t>
            </w: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10,768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11,189</w:t>
            </w:r>
          </w:p>
        </w:tc>
        <w:tc>
          <w:tcPr>
            <w:tcW w:w="2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10,399</w:t>
            </w:r>
          </w:p>
        </w:tc>
        <w:tc>
          <w:tcPr>
            <w:tcW w:w="260" w:type="dxa"/>
            <w:vAlign w:val="bottom"/>
          </w:tcPr>
          <w:p>
            <w:pPr>
              <w:spacing w:after="0"/>
              <w:rPr>
                <w:sz w:val="23"/>
                <w:szCs w:val="23"/>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10,004</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9,395</w:t>
            </w:r>
          </w:p>
        </w:tc>
        <w:tc>
          <w:tcPr>
            <w:tcW w:w="0" w:type="dxa"/>
            <w:vAlign w:val="bottom"/>
          </w:tcPr>
          <w:p>
            <w:pPr>
              <w:spacing w:after="0"/>
              <w:rPr>
                <w:sz w:val="1"/>
                <w:szCs w:val="1"/>
                <w:color w:val="auto"/>
              </w:rPr>
            </w:pPr>
          </w:p>
        </w:tc>
      </w:tr>
      <w:tr>
        <w:trPr>
          <w:trHeight w:val="27"/>
        </w:trPr>
        <w:tc>
          <w:tcPr>
            <w:tcW w:w="3060" w:type="dxa"/>
            <w:vAlign w:val="bottom"/>
            <w:vMerge w:val="restart"/>
            <w:shd w:val="clear" w:color="auto" w:fill="F0FFFF"/>
          </w:tcPr>
          <w:p>
            <w:pPr>
              <w:ind w:left="180"/>
              <w:spacing w:after="0" w:line="269" w:lineRule="exact"/>
              <w:rPr>
                <w:sz w:val="20"/>
                <w:szCs w:val="20"/>
                <w:color w:val="auto"/>
              </w:rPr>
            </w:pPr>
            <w:r>
              <w:rPr>
                <w:rFonts w:ascii="Arial" w:cs="Arial" w:eastAsia="Arial" w:hAnsi="Arial"/>
                <w:sz w:val="18"/>
                <w:szCs w:val="18"/>
                <w:b w:val="1"/>
                <w:bCs w:val="1"/>
                <w:color w:val="auto"/>
              </w:rPr>
              <w:t xml:space="preserve">Net income - operating </w:t>
            </w:r>
            <w:r>
              <w:rPr>
                <w:rFonts w:ascii="Arial" w:cs="Arial" w:eastAsia="Arial" w:hAnsi="Arial"/>
                <w:sz w:val="30"/>
                <w:szCs w:val="30"/>
                <w:color w:val="auto"/>
                <w:vertAlign w:val="superscript"/>
              </w:rPr>
              <w:t>(1)</w:t>
            </w:r>
          </w:p>
        </w:tc>
        <w:tc>
          <w:tcPr>
            <w:tcW w:w="100" w:type="dxa"/>
            <w:vAlign w:val="bottom"/>
            <w:shd w:val="clear" w:color="auto" w:fill="F0FF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60" w:type="dxa"/>
            <w:vAlign w:val="bottom"/>
            <w:vMerge w:val="continue"/>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23,800</w:t>
            </w:r>
          </w:p>
        </w:tc>
        <w:tc>
          <w:tcPr>
            <w:tcW w:w="260" w:type="dxa"/>
            <w:vAlign w:val="bottom"/>
            <w:shd w:val="clear" w:color="auto" w:fill="F0FFFF"/>
          </w:tcPr>
          <w:p>
            <w:pPr>
              <w:spacing w:after="0"/>
              <w:rPr>
                <w:sz w:val="21"/>
                <w:szCs w:val="21"/>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21,726</w:t>
            </w:r>
          </w:p>
        </w:tc>
        <w:tc>
          <w:tcPr>
            <w:tcW w:w="1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19,989</w:t>
            </w:r>
          </w:p>
        </w:tc>
        <w:tc>
          <w:tcPr>
            <w:tcW w:w="260" w:type="dxa"/>
            <w:vAlign w:val="bottom"/>
            <w:shd w:val="clear" w:color="auto" w:fill="F0FFFF"/>
          </w:tcPr>
          <w:p>
            <w:pPr>
              <w:spacing w:after="0"/>
              <w:rPr>
                <w:sz w:val="21"/>
                <w:szCs w:val="21"/>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17,670</w:t>
            </w:r>
          </w:p>
        </w:tc>
        <w:tc>
          <w:tcPr>
            <w:tcW w:w="1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18,247</w:t>
            </w:r>
          </w:p>
        </w:tc>
        <w:tc>
          <w:tcPr>
            <w:tcW w:w="260" w:type="dxa"/>
            <w:vAlign w:val="bottom"/>
            <w:shd w:val="clear" w:color="auto" w:fill="F0FFFF"/>
          </w:tcPr>
          <w:p>
            <w:pPr>
              <w:spacing w:after="0"/>
              <w:rPr>
                <w:sz w:val="21"/>
                <w:szCs w:val="21"/>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17,616</w:t>
            </w:r>
          </w:p>
        </w:tc>
        <w:tc>
          <w:tcPr>
            <w:tcW w:w="26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16,357</w:t>
            </w: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15,400</w:t>
            </w: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rPr>
              <w:t>Preferred dividends and discount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06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Net income available to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900" w:orient="portrait"/>
          <w:cols w:equalWidth="0" w:num="1">
            <w:col w:w="11420"/>
          </w:cols>
          <w:pgMar w:left="240" w:top="904" w:right="239" w:bottom="0" w:gutter="0" w:footer="0" w:header="0"/>
        </w:sectPr>
      </w:pPr>
    </w:p>
    <w:p>
      <w:pPr>
        <w:spacing w:after="0" w:line="23" w:lineRule="exact"/>
        <w:rPr>
          <w:sz w:val="20"/>
          <w:szCs w:val="20"/>
          <w:color w:val="auto"/>
        </w:rPr>
      </w:pPr>
    </w:p>
    <w:p>
      <w:pPr>
        <w:ind w:firstLine="162"/>
        <w:spacing w:after="0" w:line="234" w:lineRule="auto"/>
        <w:rPr>
          <w:sz w:val="20"/>
          <w:szCs w:val="20"/>
          <w:color w:val="auto"/>
        </w:rPr>
      </w:pPr>
      <w:r>
        <w:rPr>
          <w:rFonts w:ascii="Arial" w:cs="Arial" w:eastAsia="Arial" w:hAnsi="Arial"/>
          <w:sz w:val="16"/>
          <w:szCs w:val="16"/>
          <w:b w:val="1"/>
          <w:bCs w:val="1"/>
          <w:color w:val="auto"/>
        </w:rPr>
        <w:t xml:space="preserve">shareholders - operating </w:t>
      </w:r>
      <w:r>
        <w:rPr>
          <w:rFonts w:ascii="Arial" w:cs="Arial" w:eastAsia="Arial" w:hAnsi="Arial"/>
          <w:sz w:val="26"/>
          <w:szCs w:val="26"/>
          <w:color w:val="auto"/>
          <w:vertAlign w:val="superscript"/>
        </w:rPr>
        <w:t>(1)</w:t>
      </w:r>
      <w:r>
        <w:rPr>
          <w:rFonts w:ascii="Arial" w:cs="Arial" w:eastAsia="Arial" w:hAnsi="Arial"/>
          <w:sz w:val="16"/>
          <w:szCs w:val="16"/>
          <w:b w:val="1"/>
          <w:bCs w:val="1"/>
          <w:color w:val="auto"/>
        </w:rPr>
        <w:t xml:space="preserve"> </w:t>
      </w:r>
      <w:r>
        <w:rPr>
          <w:rFonts w:ascii="Arial" w:cs="Arial" w:eastAsia="Arial" w:hAnsi="Arial"/>
          <w:sz w:val="16"/>
          <w:szCs w:val="16"/>
          <w:color w:val="auto"/>
        </w:rPr>
        <w:t>Merger-related and other charges, net of</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income tax benefit</w:t>
      </w:r>
    </w:p>
    <w:p>
      <w:pPr>
        <w:spacing w:after="0" w:line="18" w:lineRule="exact"/>
        <w:rPr>
          <w:sz w:val="20"/>
          <w:szCs w:val="20"/>
          <w:color w:val="auto"/>
        </w:rPr>
      </w:pPr>
    </w:p>
    <w:p>
      <w:pPr>
        <w:ind w:left="180" w:right="400" w:hanging="161"/>
        <w:spacing w:after="0" w:line="386" w:lineRule="auto"/>
        <w:rPr>
          <w:sz w:val="20"/>
          <w:szCs w:val="20"/>
          <w:color w:val="auto"/>
        </w:rPr>
      </w:pPr>
      <w:r>
        <w:rPr>
          <w:rFonts w:ascii="Arial" w:cs="Arial" w:eastAsia="Arial" w:hAnsi="Arial"/>
          <w:sz w:val="15"/>
          <w:szCs w:val="15"/>
          <w:b w:val="1"/>
          <w:bCs w:val="1"/>
          <w:color w:val="auto"/>
        </w:rPr>
        <w:t>Net income available to common shareholders - GAAP</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23,775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21,701</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19,972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17,670</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18,247</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17,616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16,357</w:t>
            </w:r>
          </w:p>
        </w:tc>
        <w:tc>
          <w:tcPr>
            <w:tcW w:w="780" w:type="dxa"/>
            <w:vAlign w:val="bottom"/>
          </w:tcPr>
          <w:p>
            <w:pPr>
              <w:jc w:val="right"/>
              <w:spacing w:after="0"/>
              <w:rPr>
                <w:sz w:val="20"/>
                <w:szCs w:val="20"/>
                <w:color w:val="auto"/>
              </w:rPr>
            </w:pPr>
            <w:r>
              <w:rPr>
                <w:rFonts w:ascii="Arial" w:cs="Arial" w:eastAsia="Arial" w:hAnsi="Arial"/>
                <w:sz w:val="18"/>
                <w:szCs w:val="18"/>
                <w:color w:val="auto"/>
              </w:rPr>
              <w:t>14,961</w:t>
            </w:r>
          </w:p>
        </w:tc>
      </w:tr>
      <w:tr>
        <w:trPr>
          <w:trHeight w:val="446"/>
        </w:trPr>
        <w:tc>
          <w:tcPr>
            <w:tcW w:w="780" w:type="dxa"/>
            <w:vAlign w:val="bottom"/>
          </w:tcPr>
          <w:p>
            <w:pPr>
              <w:jc w:val="right"/>
              <w:spacing w:after="0"/>
              <w:rPr>
                <w:sz w:val="20"/>
                <w:szCs w:val="20"/>
                <w:color w:val="auto"/>
              </w:rPr>
            </w:pPr>
            <w:r>
              <w:rPr>
                <w:rFonts w:ascii="Arial" w:cs="Arial" w:eastAsia="Arial" w:hAnsi="Arial"/>
                <w:sz w:val="18"/>
                <w:szCs w:val="18"/>
                <w:color w:val="auto"/>
              </w:rPr>
              <w:t>5,592</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3,839</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2,176</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r>
      <w:tr>
        <w:trPr>
          <w:trHeight w:val="446"/>
        </w:trPr>
        <w:tc>
          <w:tcPr>
            <w:tcW w:w="780" w:type="dxa"/>
            <w:vAlign w:val="bottom"/>
          </w:tcPr>
          <w:p>
            <w:pPr>
              <w:jc w:val="right"/>
              <w:spacing w:after="0"/>
              <w:rPr>
                <w:sz w:val="20"/>
                <w:szCs w:val="20"/>
                <w:color w:val="auto"/>
              </w:rPr>
            </w:pPr>
            <w:r>
              <w:rPr>
                <w:rFonts w:ascii="Arial" w:cs="Arial" w:eastAsia="Arial" w:hAnsi="Arial"/>
                <w:sz w:val="18"/>
                <w:szCs w:val="18"/>
                <w:color w:val="auto"/>
              </w:rPr>
              <w:t>$  18,183</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17,862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17,796</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17,670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18,247</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  17,616</w:t>
            </w:r>
          </w:p>
        </w:tc>
        <w:tc>
          <w:tcPr>
            <w:tcW w:w="26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  16,357</w:t>
            </w:r>
          </w:p>
        </w:tc>
        <w:tc>
          <w:tcPr>
            <w:tcW w:w="780" w:type="dxa"/>
            <w:vAlign w:val="bottom"/>
          </w:tcPr>
          <w:p>
            <w:pPr>
              <w:jc w:val="right"/>
              <w:spacing w:after="0"/>
              <w:rPr>
                <w:sz w:val="20"/>
                <w:szCs w:val="20"/>
                <w:color w:val="auto"/>
              </w:rPr>
            </w:pPr>
            <w:r>
              <w:rPr>
                <w:rFonts w:ascii="Arial" w:cs="Arial" w:eastAsia="Arial" w:hAnsi="Arial"/>
                <w:sz w:val="18"/>
                <w:szCs w:val="18"/>
                <w:color w:val="auto"/>
              </w:rPr>
              <w:t>$  14,961</w:t>
            </w:r>
          </w:p>
        </w:tc>
      </w:tr>
      <w:tr>
        <w:trPr>
          <w:trHeight w:val="21"/>
        </w:trPr>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-325120</wp:posOffset>
            </wp:positionV>
            <wp:extent cx="7246620" cy="308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16" w:lineRule="exact"/>
        <w:rPr>
          <w:sz w:val="20"/>
          <w:szCs w:val="20"/>
          <w:color w:val="auto"/>
        </w:rPr>
      </w:pPr>
    </w:p>
    <w:p>
      <w:pPr>
        <w:sectPr>
          <w:pgSz w:w="11900" w:h="16900" w:orient="portrait"/>
          <w:cols w:equalWidth="0" w:num="2">
            <w:col w:w="2900" w:space="260"/>
            <w:col w:w="826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PERFORMANCE MEASURES</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Per common share: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Diluted income - operating </w:t>
            </w:r>
            <w:r>
              <w:rPr>
                <w:rFonts w:ascii="Arial" w:cs="Arial" w:eastAsia="Arial" w:hAnsi="Arial"/>
                <w:sz w:val="29"/>
                <w:szCs w:val="29"/>
                <w:color w:val="auto"/>
                <w:vertAlign w:val="superscript"/>
              </w:rPr>
              <w:t>(1)</w:t>
            </w:r>
          </w:p>
        </w:tc>
        <w:tc>
          <w:tcPr>
            <w:tcW w:w="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.33</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Diluted income - GAAP</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declared</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.06</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.05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.05</w:t>
            </w:r>
          </w:p>
        </w:tc>
        <w:tc>
          <w:tcPr>
            <w:tcW w:w="2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Book value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14.02</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13.95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12.95</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12.20</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12.15</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11.94</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9"/>
                <w:szCs w:val="29"/>
                <w:color w:val="auto"/>
                <w:vertAlign w:val="superscript"/>
              </w:rPr>
              <w:t>(3)</w:t>
            </w:r>
          </w:p>
        </w:tc>
        <w:tc>
          <w:tcPr>
            <w:tcW w:w="12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12.06</w:t>
            </w:r>
          </w:p>
        </w:tc>
        <w:tc>
          <w:tcPr>
            <w:tcW w:w="200" w:type="dxa"/>
            <w:vAlign w:val="bottom"/>
            <w:shd w:val="clear" w:color="auto" w:fill="F0FFFF"/>
          </w:tcPr>
          <w:p>
            <w:pPr>
              <w:spacing w:after="0"/>
              <w:rPr>
                <w:sz w:val="22"/>
                <w:szCs w:val="22"/>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12.08</w:t>
            </w: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12.66</w:t>
            </w:r>
          </w:p>
        </w:tc>
        <w:tc>
          <w:tcPr>
            <w:tcW w:w="200" w:type="dxa"/>
            <w:vAlign w:val="bottom"/>
            <w:shd w:val="clear" w:color="auto" w:fill="F0FFFF"/>
          </w:tcPr>
          <w:p>
            <w:pPr>
              <w:spacing w:after="0"/>
              <w:rPr>
                <w:sz w:val="22"/>
                <w:szCs w:val="22"/>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12.53</w:t>
            </w: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12.15</w:t>
            </w:r>
          </w:p>
        </w:tc>
        <w:tc>
          <w:tcPr>
            <w:tcW w:w="200" w:type="dxa"/>
            <w:vAlign w:val="bottom"/>
            <w:shd w:val="clear" w:color="auto" w:fill="F0FFFF"/>
          </w:tcPr>
          <w:p>
            <w:pPr>
              <w:spacing w:after="0"/>
              <w:rPr>
                <w:sz w:val="22"/>
                <w:szCs w:val="22"/>
                <w:color w:val="auto"/>
              </w:rPr>
            </w:pPr>
          </w:p>
        </w:tc>
        <w:tc>
          <w:tcPr>
            <w:tcW w:w="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12.10</w:t>
            </w:r>
          </w:p>
        </w:tc>
        <w:tc>
          <w:tcPr>
            <w:tcW w:w="200" w:type="dxa"/>
            <w:vAlign w:val="bottom"/>
            <w:shd w:val="clear" w:color="auto" w:fill="F0FFFF"/>
          </w:tcPr>
          <w:p>
            <w:pPr>
              <w:spacing w:after="0"/>
              <w:rPr>
                <w:sz w:val="22"/>
                <w:szCs w:val="22"/>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11.91</w:t>
            </w:r>
          </w:p>
        </w:tc>
        <w:tc>
          <w:tcPr>
            <w:tcW w:w="180" w:type="dxa"/>
            <w:vAlign w:val="bottom"/>
            <w:shd w:val="clear" w:color="auto" w:fill="F0FFFF"/>
          </w:tcPr>
          <w:p>
            <w:pPr>
              <w:spacing w:after="0"/>
              <w:rPr>
                <w:sz w:val="22"/>
                <w:szCs w:val="22"/>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F0FFFF"/>
          </w:tcPr>
          <w:p>
            <w:pPr>
              <w:spacing w:after="0"/>
              <w:rPr>
                <w:sz w:val="20"/>
                <w:szCs w:val="20"/>
                <w:color w:val="auto"/>
              </w:rPr>
            </w:pPr>
            <w:r>
              <w:rPr>
                <w:rFonts w:ascii="Arial" w:cs="Arial" w:eastAsia="Arial" w:hAnsi="Arial"/>
                <w:sz w:val="18"/>
                <w:szCs w:val="18"/>
                <w:color w:val="auto"/>
              </w:rPr>
              <w:t>Key performance ratios:</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ind w:left="160"/>
              <w:spacing w:after="0" w:line="206" w:lineRule="exact"/>
              <w:rPr>
                <w:sz w:val="20"/>
                <w:szCs w:val="20"/>
                <w:color w:val="auto"/>
              </w:rPr>
            </w:pPr>
            <w:r>
              <w:rPr>
                <w:rFonts w:ascii="Arial" w:cs="Arial" w:eastAsia="Arial" w:hAnsi="Arial"/>
                <w:sz w:val="18"/>
                <w:szCs w:val="18"/>
                <w:color w:val="auto"/>
                <w:w w:val="99"/>
              </w:rPr>
              <w:t>Return on tangible common equity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20" w:type="dxa"/>
            <w:vAlign w:val="bottom"/>
          </w:tcPr>
          <w:p>
            <w:pPr>
              <w:ind w:left="320"/>
              <w:spacing w:after="0" w:line="266" w:lineRule="exact"/>
              <w:rPr>
                <w:sz w:val="20"/>
                <w:szCs w:val="20"/>
                <w:color w:val="auto"/>
              </w:rPr>
            </w:pPr>
            <w:r>
              <w:rPr>
                <w:rFonts w:ascii="Arial" w:cs="Arial" w:eastAsia="Arial" w:hAnsi="Arial"/>
                <w:sz w:val="30"/>
                <w:szCs w:val="30"/>
                <w:color w:val="auto"/>
                <w:vertAlign w:val="subscript"/>
              </w:rPr>
              <w:t>operating</w:t>
            </w:r>
            <w:r>
              <w:rPr>
                <w:rFonts w:ascii="Arial" w:cs="Arial" w:eastAsia="Arial" w:hAnsi="Arial"/>
                <w:sz w:val="14"/>
                <w:szCs w:val="14"/>
                <w:color w:val="auto"/>
              </w:rPr>
              <w:t xml:space="preserve"> (1)(2)(3)(4)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10.87%</w:t>
            </w:r>
          </w:p>
        </w:tc>
        <w:tc>
          <w:tcPr>
            <w:tcW w:w="2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10.29%</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23"/>
                <w:szCs w:val="23"/>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9.46%</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9.55%</w:t>
            </w:r>
          </w:p>
        </w:tc>
        <w:tc>
          <w:tcPr>
            <w:tcW w:w="200" w:type="dxa"/>
            <w:vAlign w:val="bottom"/>
          </w:tcPr>
          <w:p>
            <w:pPr>
              <w:spacing w:after="0"/>
              <w:rPr>
                <w:sz w:val="23"/>
                <w:szCs w:val="23"/>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23"/>
                <w:szCs w:val="2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shd w:val="clear" w:color="auto" w:fill="F0FFFF"/>
          </w:tcPr>
          <w:p>
            <w:pPr>
              <w:ind w:left="160"/>
              <w:spacing w:after="0" w:line="206" w:lineRule="exact"/>
              <w:rPr>
                <w:sz w:val="20"/>
                <w:szCs w:val="20"/>
                <w:color w:val="auto"/>
              </w:rPr>
            </w:pPr>
            <w:r>
              <w:rPr>
                <w:rFonts w:ascii="Arial" w:cs="Arial" w:eastAsia="Arial" w:hAnsi="Arial"/>
                <w:sz w:val="18"/>
                <w:szCs w:val="18"/>
                <w:color w:val="auto"/>
                <w:w w:val="95"/>
              </w:rPr>
              <w:t>Return on common equity - operating</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40" w:type="dxa"/>
            <w:vAlign w:val="bottom"/>
            <w:gridSpan w:val="2"/>
            <w:vMerge w:val="restart"/>
            <w:shd w:val="clear" w:color="auto" w:fill="F0FFFF"/>
          </w:tcPr>
          <w:p>
            <w:pPr>
              <w:jc w:val="right"/>
              <w:ind w:right="260"/>
              <w:spacing w:after="0"/>
              <w:rPr>
                <w:sz w:val="20"/>
                <w:szCs w:val="20"/>
                <w:color w:val="auto"/>
              </w:rPr>
            </w:pPr>
            <w:r>
              <w:rPr>
                <w:rFonts w:ascii="Arial" w:cs="Arial" w:eastAsia="Arial" w:hAnsi="Arial"/>
                <w:sz w:val="18"/>
                <w:szCs w:val="18"/>
                <w:color w:val="auto"/>
              </w:rPr>
              <w:t>9.18</w:t>
            </w:r>
          </w:p>
        </w:tc>
        <w:tc>
          <w:tcPr>
            <w:tcW w:w="200" w:type="dxa"/>
            <w:vAlign w:val="bottom"/>
            <w:shd w:val="clear" w:color="auto" w:fill="F0FFFF"/>
          </w:tcPr>
          <w:p>
            <w:pPr>
              <w:spacing w:after="0"/>
              <w:rPr>
                <w:sz w:val="17"/>
                <w:szCs w:val="17"/>
                <w:color w:val="auto"/>
              </w:rPr>
            </w:pPr>
          </w:p>
        </w:tc>
        <w:tc>
          <w:tcPr>
            <w:tcW w:w="780" w:type="dxa"/>
            <w:vAlign w:val="bottom"/>
            <w:gridSpan w:val="2"/>
            <w:vMerge w:val="restart"/>
            <w:shd w:val="clear" w:color="auto" w:fill="F0FFFF"/>
          </w:tcPr>
          <w:p>
            <w:pPr>
              <w:jc w:val="right"/>
              <w:ind w:right="200"/>
              <w:spacing w:after="0"/>
              <w:rPr>
                <w:sz w:val="20"/>
                <w:szCs w:val="20"/>
                <w:color w:val="auto"/>
              </w:rPr>
            </w:pPr>
            <w:r>
              <w:rPr>
                <w:rFonts w:ascii="Arial" w:cs="Arial" w:eastAsia="Arial" w:hAnsi="Arial"/>
                <w:sz w:val="18"/>
                <w:szCs w:val="18"/>
                <w:color w:val="auto"/>
              </w:rPr>
              <w:t>9.54</w:t>
            </w:r>
          </w:p>
        </w:tc>
        <w:tc>
          <w:tcPr>
            <w:tcW w:w="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40" w:type="dxa"/>
            <w:vAlign w:val="bottom"/>
            <w:gridSpan w:val="2"/>
            <w:vMerge w:val="restart"/>
            <w:shd w:val="clear" w:color="auto" w:fill="F0FFFF"/>
          </w:tcPr>
          <w:p>
            <w:pPr>
              <w:jc w:val="right"/>
              <w:ind w:right="260"/>
              <w:spacing w:after="0"/>
              <w:rPr>
                <w:sz w:val="20"/>
                <w:szCs w:val="20"/>
                <w:color w:val="auto"/>
              </w:rPr>
            </w:pPr>
            <w:r>
              <w:rPr>
                <w:rFonts w:ascii="Arial" w:cs="Arial" w:eastAsia="Arial" w:hAnsi="Arial"/>
                <w:sz w:val="18"/>
                <w:szCs w:val="18"/>
                <w:color w:val="auto"/>
              </w:rPr>
              <w:t>9.90</w:t>
            </w:r>
          </w:p>
        </w:tc>
        <w:tc>
          <w:tcPr>
            <w:tcW w:w="200" w:type="dxa"/>
            <w:vAlign w:val="bottom"/>
            <w:shd w:val="clear" w:color="auto" w:fill="F0FFFF"/>
          </w:tcPr>
          <w:p>
            <w:pPr>
              <w:spacing w:after="0"/>
              <w:rPr>
                <w:sz w:val="17"/>
                <w:szCs w:val="17"/>
                <w:color w:val="auto"/>
              </w:rPr>
            </w:pPr>
          </w:p>
        </w:tc>
        <w:tc>
          <w:tcPr>
            <w:tcW w:w="780" w:type="dxa"/>
            <w:vAlign w:val="bottom"/>
            <w:gridSpan w:val="2"/>
            <w:vMerge w:val="restart"/>
            <w:shd w:val="clear" w:color="auto" w:fill="F0FFFF"/>
          </w:tcPr>
          <w:p>
            <w:pPr>
              <w:jc w:val="right"/>
              <w:ind w:right="200"/>
              <w:spacing w:after="0"/>
              <w:rPr>
                <w:sz w:val="20"/>
                <w:szCs w:val="20"/>
                <w:color w:val="auto"/>
              </w:rPr>
            </w:pPr>
            <w:r>
              <w:rPr>
                <w:rFonts w:ascii="Arial" w:cs="Arial" w:eastAsia="Arial" w:hAnsi="Arial"/>
                <w:sz w:val="18"/>
                <w:szCs w:val="18"/>
                <w:color w:val="auto"/>
              </w:rPr>
              <w:t>9.34</w:t>
            </w:r>
          </w:p>
        </w:tc>
        <w:tc>
          <w:tcPr>
            <w:tcW w:w="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40" w:type="dxa"/>
            <w:vAlign w:val="bottom"/>
            <w:gridSpan w:val="2"/>
            <w:vMerge w:val="restart"/>
            <w:shd w:val="clear" w:color="auto" w:fill="F0FFFF"/>
          </w:tcPr>
          <w:p>
            <w:pPr>
              <w:jc w:val="right"/>
              <w:ind w:right="260"/>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F0FFFF"/>
          </w:tcPr>
          <w:p>
            <w:pPr>
              <w:spacing w:after="0"/>
              <w:rPr>
                <w:sz w:val="17"/>
                <w:szCs w:val="17"/>
                <w:color w:val="auto"/>
              </w:rPr>
            </w:pPr>
          </w:p>
        </w:tc>
        <w:tc>
          <w:tcPr>
            <w:tcW w:w="860" w:type="dxa"/>
            <w:vAlign w:val="bottom"/>
            <w:gridSpan w:val="2"/>
            <w:vMerge w:val="restart"/>
            <w:shd w:val="clear" w:color="auto" w:fill="F0FFFF"/>
          </w:tcPr>
          <w:p>
            <w:pPr>
              <w:jc w:val="right"/>
              <w:ind w:right="260"/>
              <w:spacing w:after="0"/>
              <w:rPr>
                <w:sz w:val="20"/>
                <w:szCs w:val="20"/>
                <w:color w:val="auto"/>
              </w:rPr>
            </w:pPr>
            <w:r>
              <w:rPr>
                <w:rFonts w:ascii="Arial" w:cs="Arial" w:eastAsia="Arial" w:hAnsi="Arial"/>
                <w:sz w:val="18"/>
                <w:szCs w:val="18"/>
                <w:color w:val="auto"/>
              </w:rPr>
              <w:t>9.41</w:t>
            </w:r>
          </w:p>
        </w:tc>
        <w:tc>
          <w:tcPr>
            <w:tcW w:w="200" w:type="dxa"/>
            <w:vAlign w:val="bottom"/>
            <w:shd w:val="clear" w:color="auto" w:fill="F0FFFF"/>
          </w:tcPr>
          <w:p>
            <w:pPr>
              <w:spacing w:after="0"/>
              <w:rPr>
                <w:sz w:val="17"/>
                <w:szCs w:val="17"/>
                <w:color w:val="auto"/>
              </w:rPr>
            </w:pPr>
          </w:p>
        </w:tc>
        <w:tc>
          <w:tcPr>
            <w:tcW w:w="860" w:type="dxa"/>
            <w:vAlign w:val="bottom"/>
            <w:gridSpan w:val="2"/>
            <w:vMerge w:val="restart"/>
            <w:shd w:val="clear" w:color="auto" w:fill="F0FFFF"/>
          </w:tcPr>
          <w:p>
            <w:pPr>
              <w:jc w:val="right"/>
              <w:ind w:right="280"/>
              <w:spacing w:after="0"/>
              <w:rPr>
                <w:sz w:val="20"/>
                <w:szCs w:val="20"/>
                <w:color w:val="auto"/>
              </w:rPr>
            </w:pPr>
            <w:r>
              <w:rPr>
                <w:rFonts w:ascii="Arial" w:cs="Arial" w:eastAsia="Arial" w:hAnsi="Arial"/>
                <w:sz w:val="18"/>
                <w:szCs w:val="18"/>
                <w:color w:val="auto"/>
              </w:rPr>
              <w:t>8.99</w:t>
            </w:r>
          </w:p>
        </w:tc>
        <w:tc>
          <w:tcPr>
            <w:tcW w:w="180" w:type="dxa"/>
            <w:vAlign w:val="bottom"/>
            <w:shd w:val="clear" w:color="auto" w:fill="F0FFFF"/>
          </w:tcPr>
          <w:p>
            <w:pPr>
              <w:spacing w:after="0"/>
              <w:rPr>
                <w:sz w:val="17"/>
                <w:szCs w:val="17"/>
                <w:color w:val="auto"/>
              </w:rPr>
            </w:pPr>
          </w:p>
        </w:tc>
        <w:tc>
          <w:tcPr>
            <w:tcW w:w="760" w:type="dxa"/>
            <w:vAlign w:val="bottom"/>
            <w:gridSpan w:val="2"/>
            <w:vMerge w:val="restart"/>
            <w:shd w:val="clear" w:color="auto" w:fill="F0FFFF"/>
          </w:tcPr>
          <w:p>
            <w:pPr>
              <w:jc w:val="right"/>
              <w:ind w:right="16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20" w:type="dxa"/>
            <w:vAlign w:val="bottom"/>
            <w:shd w:val="clear" w:color="auto" w:fill="F0FFFF"/>
          </w:tcPr>
          <w:p>
            <w:pPr>
              <w:ind w:left="320"/>
              <w:spacing w:after="0"/>
              <w:rPr>
                <w:sz w:val="20"/>
                <w:szCs w:val="20"/>
                <w:color w:val="auto"/>
              </w:rPr>
            </w:pPr>
            <w:r>
              <w:rPr>
                <w:rFonts w:ascii="Arial" w:cs="Arial" w:eastAsia="Arial" w:hAnsi="Arial"/>
                <w:sz w:val="15"/>
                <w:szCs w:val="15"/>
                <w:color w:val="auto"/>
              </w:rPr>
              <w:t>(1)(2)(4)</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vMerge w:val="continue"/>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80" w:type="dxa"/>
            <w:vAlign w:val="bottom"/>
            <w:gridSpan w:val="2"/>
            <w:vMerge w:val="continue"/>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vMerge w:val="continue"/>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80" w:type="dxa"/>
            <w:vAlign w:val="bottom"/>
            <w:gridSpan w:val="2"/>
            <w:vMerge w:val="continue"/>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vMerge w:val="continue"/>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gridSpan w:val="2"/>
            <w:vMerge w:val="continue"/>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gridSpan w:val="2"/>
            <w:vMerge w:val="continue"/>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60" w:type="dxa"/>
            <w:vAlign w:val="bottom"/>
            <w:gridSpan w:val="2"/>
            <w:vMerge w:val="continue"/>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20" w:type="dxa"/>
            <w:vAlign w:val="bottom"/>
          </w:tcPr>
          <w:p>
            <w:pPr>
              <w:ind w:left="160"/>
              <w:spacing w:after="0" w:line="246" w:lineRule="exact"/>
              <w:rPr>
                <w:sz w:val="20"/>
                <w:szCs w:val="20"/>
                <w:color w:val="auto"/>
              </w:rPr>
            </w:pPr>
            <w:r>
              <w:rPr>
                <w:rFonts w:ascii="Arial" w:cs="Arial" w:eastAsia="Arial" w:hAnsi="Arial"/>
                <w:sz w:val="17"/>
                <w:szCs w:val="17"/>
                <w:color w:val="auto"/>
                <w:w w:val="99"/>
              </w:rPr>
              <w:t xml:space="preserve">Return on common equity - GAAP </w:t>
            </w:r>
            <w:r>
              <w:rPr>
                <w:rFonts w:ascii="Arial" w:cs="Arial" w:eastAsia="Arial" w:hAnsi="Arial"/>
                <w:sz w:val="28"/>
                <w:szCs w:val="28"/>
                <w:color w:val="auto"/>
                <w:w w:val="99"/>
                <w:vertAlign w:val="superscript"/>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7.02</w:t>
            </w:r>
          </w:p>
        </w:tc>
        <w:tc>
          <w:tcPr>
            <w:tcW w:w="200" w:type="dxa"/>
            <w:vAlign w:val="bottom"/>
          </w:tcPr>
          <w:p>
            <w:pPr>
              <w:spacing w:after="0"/>
              <w:rPr>
                <w:sz w:val="21"/>
                <w:szCs w:val="21"/>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7.85</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8.83</w:t>
            </w:r>
          </w:p>
        </w:tc>
        <w:tc>
          <w:tcPr>
            <w:tcW w:w="200" w:type="dxa"/>
            <w:vAlign w:val="bottom"/>
          </w:tcPr>
          <w:p>
            <w:pPr>
              <w:spacing w:after="0"/>
              <w:rPr>
                <w:sz w:val="21"/>
                <w:szCs w:val="21"/>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9.34</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9.60</w:t>
            </w:r>
          </w:p>
        </w:tc>
        <w:tc>
          <w:tcPr>
            <w:tcW w:w="200" w:type="dxa"/>
            <w:vAlign w:val="bottom"/>
          </w:tcPr>
          <w:p>
            <w:pPr>
              <w:spacing w:after="0"/>
              <w:rPr>
                <w:sz w:val="21"/>
                <w:szCs w:val="21"/>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21"/>
                <w:szCs w:val="21"/>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8.99</w:t>
            </w:r>
          </w:p>
        </w:tc>
        <w:tc>
          <w:tcPr>
            <w:tcW w:w="180" w:type="dxa"/>
            <w:vAlign w:val="bottom"/>
          </w:tcPr>
          <w:p>
            <w:pPr>
              <w:spacing w:after="0"/>
              <w:rPr>
                <w:sz w:val="21"/>
                <w:szCs w:val="2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13"/>
        </w:trPr>
        <w:tc>
          <w:tcPr>
            <w:tcW w:w="3040" w:type="dxa"/>
            <w:vAlign w:val="bottom"/>
            <w:gridSpan w:val="2"/>
          </w:tcPr>
          <w:p>
            <w:pPr>
              <w:ind w:left="340"/>
              <w:spacing w:after="0"/>
              <w:rPr>
                <w:sz w:val="20"/>
                <w:szCs w:val="20"/>
                <w:color w:val="auto"/>
              </w:rPr>
            </w:pP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Return on assets - operating </w:t>
            </w:r>
            <w:r>
              <w:rPr>
                <w:rFonts w:ascii="Arial" w:cs="Arial" w:eastAsia="Arial" w:hAnsi="Arial"/>
                <w:sz w:val="29"/>
                <w:szCs w:val="29"/>
                <w:color w:val="auto"/>
                <w:vertAlign w:val="superscript"/>
              </w:rPr>
              <w:t>(1)(4)</w:t>
            </w:r>
          </w:p>
        </w:tc>
        <w:tc>
          <w:tcPr>
            <w:tcW w:w="12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F0FFFF"/>
          </w:tcPr>
          <w:p>
            <w:pPr>
              <w:spacing w:after="0"/>
              <w:rPr>
                <w:sz w:val="22"/>
                <w:szCs w:val="22"/>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F0FFFF"/>
          </w:tcPr>
          <w:p>
            <w:pPr>
              <w:spacing w:after="0"/>
              <w:rPr>
                <w:sz w:val="22"/>
                <w:szCs w:val="22"/>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.94</w:t>
            </w: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F0FFFF"/>
          </w:tcPr>
          <w:p>
            <w:pPr>
              <w:spacing w:after="0"/>
              <w:rPr>
                <w:sz w:val="22"/>
                <w:szCs w:val="22"/>
                <w:color w:val="auto"/>
              </w:rPr>
            </w:pPr>
          </w:p>
        </w:tc>
        <w:tc>
          <w:tcPr>
            <w:tcW w:w="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.95</w:t>
            </w:r>
          </w:p>
        </w:tc>
        <w:tc>
          <w:tcPr>
            <w:tcW w:w="200" w:type="dxa"/>
            <w:vAlign w:val="bottom"/>
            <w:shd w:val="clear" w:color="auto" w:fill="F0FFFF"/>
          </w:tcPr>
          <w:p>
            <w:pPr>
              <w:spacing w:after="0"/>
              <w:rPr>
                <w:sz w:val="22"/>
                <w:szCs w:val="22"/>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.88</w:t>
            </w:r>
          </w:p>
        </w:tc>
        <w:tc>
          <w:tcPr>
            <w:tcW w:w="180" w:type="dxa"/>
            <w:vAlign w:val="bottom"/>
            <w:shd w:val="clear" w:color="auto" w:fill="F0FFFF"/>
          </w:tcPr>
          <w:p>
            <w:pPr>
              <w:spacing w:after="0"/>
              <w:rPr>
                <w:sz w:val="22"/>
                <w:szCs w:val="22"/>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Return on assets - GAAP </w:t>
            </w:r>
            <w:r>
              <w:rPr>
                <w:rFonts w:ascii="Arial" w:cs="Arial" w:eastAsia="Arial" w:hAnsi="Arial"/>
                <w:sz w:val="29"/>
                <w:szCs w:val="29"/>
                <w:color w:val="auto"/>
                <w:vertAlign w:val="superscript"/>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w w:val="98"/>
              </w:rPr>
              <w:t xml:space="preserve">Dividend payout ratio - operating </w:t>
            </w:r>
            <w:r>
              <w:rPr>
                <w:rFonts w:ascii="Arial" w:cs="Arial" w:eastAsia="Arial" w:hAnsi="Arial"/>
                <w:sz w:val="29"/>
                <w:szCs w:val="29"/>
                <w:color w:val="auto"/>
                <w:w w:val="98"/>
                <w:vertAlign w:val="superscript"/>
              </w:rPr>
              <w:t>(1)</w:t>
            </w:r>
          </w:p>
        </w:tc>
        <w:tc>
          <w:tcPr>
            <w:tcW w:w="12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18.18</w:t>
            </w:r>
          </w:p>
        </w:tc>
        <w:tc>
          <w:tcPr>
            <w:tcW w:w="200" w:type="dxa"/>
            <w:vAlign w:val="bottom"/>
            <w:shd w:val="clear" w:color="auto" w:fill="F0FFFF"/>
          </w:tcPr>
          <w:p>
            <w:pPr>
              <w:spacing w:after="0"/>
              <w:rPr>
                <w:sz w:val="22"/>
                <w:szCs w:val="22"/>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18.18</w:t>
            </w: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15.63</w:t>
            </w:r>
          </w:p>
        </w:tc>
        <w:tc>
          <w:tcPr>
            <w:tcW w:w="200" w:type="dxa"/>
            <w:vAlign w:val="bottom"/>
            <w:shd w:val="clear" w:color="auto" w:fill="F0FFFF"/>
          </w:tcPr>
          <w:p>
            <w:pPr>
              <w:spacing w:after="0"/>
              <w:rPr>
                <w:sz w:val="22"/>
                <w:szCs w:val="22"/>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17.24</w:t>
            </w: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16.67</w:t>
            </w:r>
          </w:p>
        </w:tc>
        <w:tc>
          <w:tcPr>
            <w:tcW w:w="200" w:type="dxa"/>
            <w:vAlign w:val="bottom"/>
            <w:shd w:val="clear" w:color="auto" w:fill="F0FFFF"/>
          </w:tcPr>
          <w:p>
            <w:pPr>
              <w:spacing w:after="0"/>
              <w:rPr>
                <w:sz w:val="22"/>
                <w:szCs w:val="22"/>
                <w:color w:val="auto"/>
              </w:rPr>
            </w:pPr>
          </w:p>
        </w:tc>
        <w:tc>
          <w:tcPr>
            <w:tcW w:w="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10.34</w:t>
            </w:r>
          </w:p>
        </w:tc>
        <w:tc>
          <w:tcPr>
            <w:tcW w:w="200" w:type="dxa"/>
            <w:vAlign w:val="bottom"/>
            <w:shd w:val="clear" w:color="auto" w:fill="F0FFFF"/>
          </w:tcPr>
          <w:p>
            <w:pPr>
              <w:spacing w:after="0"/>
              <w:rPr>
                <w:sz w:val="22"/>
                <w:szCs w:val="22"/>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11.11</w:t>
            </w:r>
          </w:p>
        </w:tc>
        <w:tc>
          <w:tcPr>
            <w:tcW w:w="180" w:type="dxa"/>
            <w:vAlign w:val="bottom"/>
            <w:shd w:val="clear" w:color="auto" w:fill="F0FFFF"/>
          </w:tcPr>
          <w:p>
            <w:pPr>
              <w:spacing w:after="0"/>
              <w:rPr>
                <w:sz w:val="22"/>
                <w:szCs w:val="22"/>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Dividend payout ratio - GAAP</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24.00</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17.86</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16.67</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11.11</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Net interest margin (FTE) </w:t>
            </w:r>
            <w:r>
              <w:rPr>
                <w:rFonts w:ascii="Arial" w:cs="Arial" w:eastAsia="Arial" w:hAnsi="Arial"/>
                <w:sz w:val="29"/>
                <w:szCs w:val="29"/>
                <w:color w:val="auto"/>
                <w:vertAlign w:val="superscript"/>
              </w:rPr>
              <w:t>(4)</w:t>
            </w:r>
          </w:p>
        </w:tc>
        <w:tc>
          <w:tcPr>
            <w:tcW w:w="12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3.34</w:t>
            </w:r>
          </w:p>
        </w:tc>
        <w:tc>
          <w:tcPr>
            <w:tcW w:w="200" w:type="dxa"/>
            <w:vAlign w:val="bottom"/>
            <w:shd w:val="clear" w:color="auto" w:fill="F0FFFF"/>
          </w:tcPr>
          <w:p>
            <w:pPr>
              <w:spacing w:after="0"/>
              <w:rPr>
                <w:sz w:val="22"/>
                <w:szCs w:val="22"/>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3.26</w:t>
            </w: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3.30</w:t>
            </w:r>
          </w:p>
        </w:tc>
        <w:tc>
          <w:tcPr>
            <w:tcW w:w="200" w:type="dxa"/>
            <w:vAlign w:val="bottom"/>
            <w:shd w:val="clear" w:color="auto" w:fill="F0FFFF"/>
          </w:tcPr>
          <w:p>
            <w:pPr>
              <w:spacing w:after="0"/>
              <w:rPr>
                <w:sz w:val="22"/>
                <w:szCs w:val="22"/>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3.31</w:t>
            </w: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F0FFFF"/>
          </w:tcPr>
          <w:p>
            <w:pPr>
              <w:spacing w:after="0"/>
              <w:rPr>
                <w:sz w:val="22"/>
                <w:szCs w:val="22"/>
                <w:color w:val="auto"/>
              </w:rPr>
            </w:pPr>
          </w:p>
        </w:tc>
        <w:tc>
          <w:tcPr>
            <w:tcW w:w="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3.32</w:t>
            </w:r>
          </w:p>
        </w:tc>
        <w:tc>
          <w:tcPr>
            <w:tcW w:w="200" w:type="dxa"/>
            <w:vAlign w:val="bottom"/>
            <w:shd w:val="clear" w:color="auto" w:fill="F0FFFF"/>
          </w:tcPr>
          <w:p>
            <w:pPr>
              <w:spacing w:after="0"/>
              <w:rPr>
                <w:sz w:val="22"/>
                <w:szCs w:val="22"/>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F0FFFF"/>
          </w:tcPr>
          <w:p>
            <w:pPr>
              <w:spacing w:after="0"/>
              <w:rPr>
                <w:sz w:val="22"/>
                <w:szCs w:val="22"/>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Efficiency ratio - operating </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59.41</w:t>
            </w:r>
          </w:p>
        </w:tc>
        <w:tc>
          <w:tcPr>
            <w:tcW w:w="2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57.81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57.59</w:t>
            </w:r>
          </w:p>
        </w:tc>
        <w:tc>
          <w:tcPr>
            <w:tcW w:w="2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59.15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57.47</w:t>
            </w:r>
          </w:p>
        </w:tc>
        <w:tc>
          <w:tcPr>
            <w:tcW w:w="200" w:type="dxa"/>
            <w:vAlign w:val="bottom"/>
          </w:tcPr>
          <w:p>
            <w:pPr>
              <w:spacing w:after="0"/>
              <w:rPr>
                <w:sz w:val="22"/>
                <w:szCs w:val="2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57.96</w:t>
            </w:r>
          </w:p>
        </w:tc>
        <w:tc>
          <w:tcPr>
            <w:tcW w:w="200" w:type="dxa"/>
            <w:vAlign w:val="bottom"/>
          </w:tcPr>
          <w:p>
            <w:pPr>
              <w:spacing w:after="0"/>
              <w:rPr>
                <w:sz w:val="22"/>
                <w:szCs w:val="22"/>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58.65</w:t>
            </w:r>
          </w:p>
        </w:tc>
        <w:tc>
          <w:tcPr>
            <w:tcW w:w="180" w:type="dxa"/>
            <w:vAlign w:val="bottom"/>
          </w:tcPr>
          <w:p>
            <w:pPr>
              <w:spacing w:after="0"/>
              <w:rPr>
                <w:sz w:val="22"/>
                <w:szCs w:val="22"/>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Efficiency ratio - GAAP</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68.97</w:t>
            </w:r>
          </w:p>
        </w:tc>
        <w:tc>
          <w:tcPr>
            <w:tcW w:w="2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64.65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61.63</w:t>
            </w:r>
          </w:p>
        </w:tc>
        <w:tc>
          <w:tcPr>
            <w:tcW w:w="2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59.15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57.47</w:t>
            </w:r>
          </w:p>
        </w:tc>
        <w:tc>
          <w:tcPr>
            <w:tcW w:w="2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57.96</w:t>
            </w:r>
          </w:p>
        </w:tc>
        <w:tc>
          <w:tcPr>
            <w:tcW w:w="2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58.65</w:t>
            </w:r>
          </w:p>
        </w:tc>
        <w:tc>
          <w:tcPr>
            <w:tcW w:w="18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Average equity to average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10.68</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10.39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shd w:val="clear" w:color="auto" w:fill="F0FFFF"/>
          </w:tcPr>
          <w:p>
            <w:pPr>
              <w:ind w:left="160"/>
              <w:spacing w:after="0" w:line="206" w:lineRule="exact"/>
              <w:rPr>
                <w:sz w:val="20"/>
                <w:szCs w:val="20"/>
                <w:color w:val="auto"/>
              </w:rPr>
            </w:pPr>
            <w:r>
              <w:rPr>
                <w:rFonts w:ascii="Arial" w:cs="Arial" w:eastAsia="Arial" w:hAnsi="Arial"/>
                <w:sz w:val="18"/>
                <w:szCs w:val="18"/>
                <w:color w:val="auto"/>
              </w:rPr>
              <w:t>Average tangible equity to average</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20" w:type="dxa"/>
            <w:vAlign w:val="bottom"/>
            <w:shd w:val="clear" w:color="auto" w:fill="F0FFFF"/>
          </w:tcPr>
          <w:p>
            <w:pPr>
              <w:ind w:left="320"/>
              <w:spacing w:after="0" w:line="266"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30"/>
                <w:szCs w:val="30"/>
                <w:color w:val="auto"/>
                <w:vertAlign w:val="superscript"/>
              </w:rPr>
              <w:t>(3)</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9.40</w:t>
            </w:r>
          </w:p>
        </w:tc>
        <w:tc>
          <w:tcPr>
            <w:tcW w:w="200" w:type="dxa"/>
            <w:vAlign w:val="bottom"/>
            <w:shd w:val="clear" w:color="auto" w:fill="F0FFFF"/>
          </w:tcPr>
          <w:p>
            <w:pPr>
              <w:spacing w:after="0"/>
              <w:rPr>
                <w:sz w:val="23"/>
                <w:szCs w:val="23"/>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9.88</w:t>
            </w:r>
          </w:p>
        </w:tc>
        <w:tc>
          <w:tcPr>
            <w:tcW w:w="6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F0FFFF"/>
          </w:tcPr>
          <w:p>
            <w:pPr>
              <w:spacing w:after="0"/>
              <w:rPr>
                <w:sz w:val="23"/>
                <w:szCs w:val="23"/>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9.82</w:t>
            </w:r>
          </w:p>
        </w:tc>
        <w:tc>
          <w:tcPr>
            <w:tcW w:w="6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9.72</w:t>
            </w:r>
          </w:p>
        </w:tc>
        <w:tc>
          <w:tcPr>
            <w:tcW w:w="200" w:type="dxa"/>
            <w:vAlign w:val="bottom"/>
            <w:shd w:val="clear" w:color="auto" w:fill="F0FFFF"/>
          </w:tcPr>
          <w:p>
            <w:pPr>
              <w:spacing w:after="0"/>
              <w:rPr>
                <w:sz w:val="23"/>
                <w:szCs w:val="23"/>
                <w:color w:val="auto"/>
              </w:rPr>
            </w:pPr>
          </w:p>
        </w:tc>
        <w:tc>
          <w:tcPr>
            <w:tcW w:w="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9.83</w:t>
            </w:r>
          </w:p>
        </w:tc>
        <w:tc>
          <w:tcPr>
            <w:tcW w:w="200" w:type="dxa"/>
            <w:vAlign w:val="bottom"/>
            <w:shd w:val="clear" w:color="auto" w:fill="F0FFFF"/>
          </w:tcPr>
          <w:p>
            <w:pPr>
              <w:spacing w:after="0"/>
              <w:rPr>
                <w:sz w:val="23"/>
                <w:szCs w:val="23"/>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9.58</w:t>
            </w:r>
          </w:p>
        </w:tc>
        <w:tc>
          <w:tcPr>
            <w:tcW w:w="180" w:type="dxa"/>
            <w:vAlign w:val="bottom"/>
            <w:shd w:val="clear" w:color="auto" w:fill="F0FFFF"/>
          </w:tcPr>
          <w:p>
            <w:pPr>
              <w:spacing w:after="0"/>
              <w:rPr>
                <w:sz w:val="23"/>
                <w:szCs w:val="23"/>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tcPr>
          <w:p>
            <w:pPr>
              <w:ind w:left="160"/>
              <w:spacing w:after="0" w:line="206" w:lineRule="exact"/>
              <w:rPr>
                <w:sz w:val="20"/>
                <w:szCs w:val="20"/>
                <w:color w:val="auto"/>
              </w:rPr>
            </w:pPr>
            <w:r>
              <w:rPr>
                <w:rFonts w:ascii="Arial" w:cs="Arial" w:eastAsia="Arial" w:hAnsi="Arial"/>
                <w:sz w:val="18"/>
                <w:szCs w:val="18"/>
                <w:color w:val="auto"/>
              </w:rPr>
              <w:t>Average tangible common equity to</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20" w:type="dxa"/>
            <w:vAlign w:val="bottom"/>
          </w:tcPr>
          <w:p>
            <w:pPr>
              <w:ind w:left="320"/>
              <w:spacing w:after="0" w:line="266" w:lineRule="exact"/>
              <w:rPr>
                <w:sz w:val="20"/>
                <w:szCs w:val="20"/>
                <w:color w:val="auto"/>
              </w:rPr>
            </w:pPr>
            <w:r>
              <w:rPr>
                <w:rFonts w:ascii="Arial" w:cs="Arial" w:eastAsia="Arial" w:hAnsi="Arial"/>
                <w:sz w:val="18"/>
                <w:szCs w:val="18"/>
                <w:color w:val="auto"/>
              </w:rPr>
              <w:t xml:space="preserve">average assets </w:t>
            </w:r>
            <w:r>
              <w:rPr>
                <w:rFonts w:ascii="Arial" w:cs="Arial" w:eastAsia="Arial" w:hAnsi="Arial"/>
                <w:sz w:val="30"/>
                <w:szCs w:val="30"/>
                <w:color w:val="auto"/>
                <w:vertAlign w:val="superscript"/>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9.29</w:t>
            </w:r>
          </w:p>
        </w:tc>
        <w:tc>
          <w:tcPr>
            <w:tcW w:w="2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9.77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9.83</w:t>
            </w:r>
          </w:p>
        </w:tc>
        <w:tc>
          <w:tcPr>
            <w:tcW w:w="200" w:type="dxa"/>
            <w:vAlign w:val="bottom"/>
          </w:tcPr>
          <w:p>
            <w:pPr>
              <w:spacing w:after="0"/>
              <w:rPr>
                <w:sz w:val="23"/>
                <w:szCs w:val="2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9.82</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9.72</w:t>
            </w:r>
          </w:p>
        </w:tc>
        <w:tc>
          <w:tcPr>
            <w:tcW w:w="200" w:type="dxa"/>
            <w:vAlign w:val="bottom"/>
          </w:tcPr>
          <w:p>
            <w:pPr>
              <w:spacing w:after="0"/>
              <w:rPr>
                <w:sz w:val="23"/>
                <w:szCs w:val="2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9.83</w:t>
            </w:r>
          </w:p>
        </w:tc>
        <w:tc>
          <w:tcPr>
            <w:tcW w:w="200" w:type="dxa"/>
            <w:vAlign w:val="bottom"/>
          </w:tcPr>
          <w:p>
            <w:pPr>
              <w:spacing w:after="0"/>
              <w:rPr>
                <w:sz w:val="23"/>
                <w:szCs w:val="2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9.58</w:t>
            </w:r>
          </w:p>
        </w:tc>
        <w:tc>
          <w:tcPr>
            <w:tcW w:w="180" w:type="dxa"/>
            <w:vAlign w:val="bottom"/>
          </w:tcPr>
          <w:p>
            <w:pPr>
              <w:spacing w:after="0"/>
              <w:rPr>
                <w:sz w:val="23"/>
                <w:szCs w:val="2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shd w:val="clear" w:color="auto" w:fill="F0FFFF"/>
          </w:tcPr>
          <w:p>
            <w:pPr>
              <w:ind w:left="160"/>
              <w:spacing w:after="0" w:line="206" w:lineRule="exact"/>
              <w:rPr>
                <w:sz w:val="20"/>
                <w:szCs w:val="20"/>
                <w:color w:val="auto"/>
              </w:rPr>
            </w:pPr>
            <w:r>
              <w:rPr>
                <w:rFonts w:ascii="Arial" w:cs="Arial" w:eastAsia="Arial" w:hAnsi="Arial"/>
                <w:sz w:val="18"/>
                <w:szCs w:val="18"/>
                <w:color w:val="auto"/>
              </w:rPr>
              <w:t>Tangible common equity to risk-</w:t>
            </w: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020" w:type="dxa"/>
            <w:vAlign w:val="bottom"/>
            <w:shd w:val="clear" w:color="auto" w:fill="F0FFFF"/>
          </w:tcPr>
          <w:p>
            <w:pPr>
              <w:ind w:left="320"/>
              <w:spacing w:after="0" w:line="266" w:lineRule="exact"/>
              <w:rPr>
                <w:sz w:val="20"/>
                <w:szCs w:val="20"/>
                <w:color w:val="auto"/>
              </w:rPr>
            </w:pPr>
            <w:r>
              <w:rPr>
                <w:rFonts w:ascii="Arial" w:cs="Arial" w:eastAsia="Arial" w:hAnsi="Arial"/>
                <w:sz w:val="18"/>
                <w:szCs w:val="18"/>
                <w:color w:val="auto"/>
              </w:rPr>
              <w:t xml:space="preserve">weighted assets </w:t>
            </w:r>
            <w:r>
              <w:rPr>
                <w:rFonts w:ascii="Arial" w:cs="Arial" w:eastAsia="Arial" w:hAnsi="Arial"/>
                <w:sz w:val="30"/>
                <w:szCs w:val="30"/>
                <w:color w:val="auto"/>
                <w:vertAlign w:val="superscript"/>
              </w:rPr>
              <w:t>(3)(5)</w:t>
            </w:r>
          </w:p>
        </w:tc>
        <w:tc>
          <w:tcPr>
            <w:tcW w:w="12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12.82</w:t>
            </w:r>
          </w:p>
        </w:tc>
        <w:tc>
          <w:tcPr>
            <w:tcW w:w="200" w:type="dxa"/>
            <w:vAlign w:val="bottom"/>
            <w:shd w:val="clear" w:color="auto" w:fill="F0FFFF"/>
          </w:tcPr>
          <w:p>
            <w:pPr>
              <w:spacing w:after="0"/>
              <w:rPr>
                <w:sz w:val="23"/>
                <w:szCs w:val="23"/>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13.08</w:t>
            </w:r>
          </w:p>
        </w:tc>
        <w:tc>
          <w:tcPr>
            <w:tcW w:w="6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13.24</w:t>
            </w:r>
          </w:p>
        </w:tc>
        <w:tc>
          <w:tcPr>
            <w:tcW w:w="200" w:type="dxa"/>
            <w:vAlign w:val="bottom"/>
            <w:shd w:val="clear" w:color="auto" w:fill="F0FFFF"/>
          </w:tcPr>
          <w:p>
            <w:pPr>
              <w:spacing w:after="0"/>
              <w:rPr>
                <w:sz w:val="23"/>
                <w:szCs w:val="23"/>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13.53</w:t>
            </w:r>
          </w:p>
        </w:tc>
        <w:tc>
          <w:tcPr>
            <w:tcW w:w="60" w:type="dxa"/>
            <w:vAlign w:val="bottom"/>
            <w:shd w:val="clear" w:color="auto" w:fill="F0FFFF"/>
          </w:tcPr>
          <w:p>
            <w:pPr>
              <w:spacing w:after="0"/>
              <w:rPr>
                <w:sz w:val="23"/>
                <w:szCs w:val="23"/>
                <w:color w:val="auto"/>
              </w:rPr>
            </w:pPr>
          </w:p>
        </w:tc>
        <w:tc>
          <w:tcPr>
            <w:tcW w:w="200" w:type="dxa"/>
            <w:vAlign w:val="bottom"/>
            <w:shd w:val="clear" w:color="auto" w:fill="F0FFFF"/>
          </w:tcPr>
          <w:p>
            <w:pPr>
              <w:spacing w:after="0"/>
              <w:rPr>
                <w:sz w:val="23"/>
                <w:szCs w:val="23"/>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13.82</w:t>
            </w:r>
          </w:p>
        </w:tc>
        <w:tc>
          <w:tcPr>
            <w:tcW w:w="200" w:type="dxa"/>
            <w:vAlign w:val="bottom"/>
            <w:shd w:val="clear" w:color="auto" w:fill="F0FFFF"/>
          </w:tcPr>
          <w:p>
            <w:pPr>
              <w:spacing w:after="0"/>
              <w:rPr>
                <w:sz w:val="23"/>
                <w:szCs w:val="23"/>
                <w:color w:val="auto"/>
              </w:rPr>
            </w:pPr>
          </w:p>
        </w:tc>
        <w:tc>
          <w:tcPr>
            <w:tcW w:w="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14.10</w:t>
            </w:r>
          </w:p>
        </w:tc>
        <w:tc>
          <w:tcPr>
            <w:tcW w:w="200" w:type="dxa"/>
            <w:vAlign w:val="bottom"/>
            <w:shd w:val="clear" w:color="auto" w:fill="F0FFFF"/>
          </w:tcPr>
          <w:p>
            <w:pPr>
              <w:spacing w:after="0"/>
              <w:rPr>
                <w:sz w:val="23"/>
                <w:szCs w:val="23"/>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13.92</w:t>
            </w:r>
          </w:p>
        </w:tc>
        <w:tc>
          <w:tcPr>
            <w:tcW w:w="180" w:type="dxa"/>
            <w:vAlign w:val="bottom"/>
            <w:shd w:val="clear" w:color="auto" w:fill="F0FFFF"/>
          </w:tcPr>
          <w:p>
            <w:pPr>
              <w:spacing w:after="0"/>
              <w:rPr>
                <w:sz w:val="23"/>
                <w:szCs w:val="23"/>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ASSET QUALITY</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Nonperforming loans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22,653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20,064</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18,805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19,015</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17,881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18,745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20,724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Foreclosed properties</w:t>
            </w: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4,883</w:t>
            </w:r>
          </w:p>
        </w:tc>
        <w:tc>
          <w:tcPr>
            <w:tcW w:w="20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7,669</w:t>
            </w: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2,356</w:t>
            </w:r>
          </w:p>
        </w:tc>
        <w:tc>
          <w:tcPr>
            <w:tcW w:w="20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1,158</w:t>
            </w: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F0FFFF"/>
          </w:tcPr>
          <w:p>
            <w:pPr>
              <w:spacing w:after="0"/>
              <w:rPr>
                <w:sz w:val="21"/>
                <w:szCs w:val="21"/>
                <w:color w:val="auto"/>
              </w:rPr>
            </w:pPr>
          </w:p>
        </w:tc>
        <w:tc>
          <w:tcPr>
            <w:tcW w:w="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3,146</w:t>
            </w:r>
          </w:p>
        </w:tc>
        <w:tc>
          <w:tcPr>
            <w:tcW w:w="200" w:type="dxa"/>
            <w:vAlign w:val="bottom"/>
            <w:shd w:val="clear" w:color="auto" w:fill="F0FFFF"/>
          </w:tcPr>
          <w:p>
            <w:pPr>
              <w:spacing w:after="0"/>
              <w:rPr>
                <w:sz w:val="21"/>
                <w:szCs w:val="21"/>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2,969</w:t>
            </w:r>
          </w:p>
        </w:tc>
        <w:tc>
          <w:tcPr>
            <w:tcW w:w="18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Borders>
              <w:top w:val="single" w:sz="8" w:color="F0FFFF"/>
            </w:tcBorders>
          </w:tcPr>
          <w:p>
            <w:pPr>
              <w:ind w:left="320"/>
              <w:spacing w:after="0" w:line="203" w:lineRule="exact"/>
              <w:rPr>
                <w:sz w:val="20"/>
                <w:szCs w:val="20"/>
                <w:color w:val="auto"/>
              </w:rPr>
            </w:pPr>
            <w:r>
              <w:rPr>
                <w:rFonts w:ascii="Arial" w:cs="Arial" w:eastAsia="Arial" w:hAnsi="Arial"/>
                <w:sz w:val="18"/>
                <w:szCs w:val="18"/>
                <w:color w:val="auto"/>
                <w:w w:val="95"/>
              </w:rPr>
              <w:t>Total nonperforming assets (NPAs)</w:t>
            </w:r>
          </w:p>
        </w:tc>
        <w:tc>
          <w:tcPr>
            <w:tcW w:w="1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27,536</w:t>
            </w:r>
          </w:p>
        </w:tc>
        <w:tc>
          <w:tcPr>
            <w:tcW w:w="26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27,733</w:t>
            </w:r>
          </w:p>
        </w:tc>
        <w:tc>
          <w:tcPr>
            <w:tcW w:w="20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21,161</w:t>
            </w:r>
          </w:p>
        </w:tc>
        <w:tc>
          <w:tcPr>
            <w:tcW w:w="26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20,173</w:t>
            </w:r>
          </w:p>
        </w:tc>
        <w:tc>
          <w:tcPr>
            <w:tcW w:w="20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19,607</w:t>
            </w:r>
          </w:p>
        </w:tc>
        <w:tc>
          <w:tcPr>
            <w:tcW w:w="26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21,891</w:t>
            </w:r>
          </w:p>
        </w:tc>
        <w:tc>
          <w:tcPr>
            <w:tcW w:w="26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23,693</w:t>
            </w:r>
          </w:p>
        </w:tc>
        <w:tc>
          <w:tcPr>
            <w:tcW w:w="28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30,844</w:t>
            </w:r>
          </w:p>
        </w:tc>
        <w:tc>
          <w:tcPr>
            <w:tcW w:w="1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Allowance for loan losses</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68,448</w:t>
            </w:r>
          </w:p>
        </w:tc>
        <w:tc>
          <w:tcPr>
            <w:tcW w:w="2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69,062</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70,129</w:t>
            </w:r>
          </w:p>
        </w:tc>
        <w:tc>
          <w:tcPr>
            <w:tcW w:w="2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70,007</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71,619</w:t>
            </w:r>
          </w:p>
        </w:tc>
        <w:tc>
          <w:tcPr>
            <w:tcW w:w="2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71,928</w:t>
            </w:r>
          </w:p>
        </w:tc>
        <w:tc>
          <w:tcPr>
            <w:tcW w:w="2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73,248</w:t>
            </w:r>
          </w:p>
        </w:tc>
        <w:tc>
          <w:tcPr>
            <w:tcW w:w="18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75,223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60"/>
              <w:spacing w:after="0"/>
              <w:rPr>
                <w:sz w:val="20"/>
                <w:szCs w:val="20"/>
                <w:color w:val="auto"/>
              </w:rPr>
            </w:pPr>
            <w:r>
              <w:rPr>
                <w:rFonts w:ascii="Arial" w:cs="Arial" w:eastAsia="Arial" w:hAnsi="Arial"/>
                <w:sz w:val="18"/>
                <w:szCs w:val="18"/>
                <w:color w:val="auto"/>
              </w:rPr>
              <w:t>Net charge-offs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1,302</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1,417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978</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2,562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2,509</w:t>
            </w:r>
          </w:p>
        </w:tc>
        <w:tc>
          <w:tcPr>
            <w:tcW w:w="2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3,155</w:t>
            </w:r>
          </w:p>
        </w:tc>
        <w:tc>
          <w:tcPr>
            <w:tcW w:w="2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4,175</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Allowance for loan losses to loans</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1.36%</w:t>
            </w:r>
          </w:p>
        </w:tc>
        <w:tc>
          <w:tcPr>
            <w:tcW w:w="2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1.46%</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20" w:type="dxa"/>
            <w:vAlign w:val="bottom"/>
          </w:tcPr>
          <w:p>
            <w:pPr>
              <w:ind w:left="160"/>
              <w:spacing w:after="0" w:line="201" w:lineRule="exact"/>
              <w:rPr>
                <w:sz w:val="20"/>
                <w:szCs w:val="20"/>
                <w:color w:val="auto"/>
              </w:rPr>
            </w:pPr>
            <w:r>
              <w:rPr>
                <w:rFonts w:ascii="Arial" w:cs="Arial" w:eastAsia="Arial" w:hAnsi="Arial"/>
                <w:sz w:val="18"/>
                <w:szCs w:val="18"/>
                <w:color w:val="auto"/>
              </w:rPr>
              <w:t>Allowance for loan losses to loans,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20" w:type="dxa"/>
            <w:vAlign w:val="bottom"/>
          </w:tcPr>
          <w:p>
            <w:pPr>
              <w:ind w:left="320"/>
              <w:spacing w:after="0"/>
              <w:rPr>
                <w:sz w:val="20"/>
                <w:szCs w:val="20"/>
                <w:color w:val="auto"/>
              </w:rPr>
            </w:pPr>
            <w:r>
              <w:rPr>
                <w:rFonts w:ascii="Arial" w:cs="Arial" w:eastAsia="Arial" w:hAnsi="Arial"/>
                <w:sz w:val="18"/>
                <w:szCs w:val="18"/>
                <w:color w:val="auto"/>
              </w:rPr>
              <w:t>excl. acquired loans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260"/>
              <w:spacing w:after="0" w:line="205" w:lineRule="exact"/>
              <w:rPr>
                <w:sz w:val="20"/>
                <w:szCs w:val="20"/>
                <w:color w:val="auto"/>
              </w:rPr>
            </w:pPr>
            <w:r>
              <w:rPr>
                <w:rFonts w:ascii="Arial" w:cs="Arial" w:eastAsia="Arial" w:hAnsi="Arial"/>
                <w:sz w:val="18"/>
                <w:szCs w:val="18"/>
                <w:color w:val="auto"/>
              </w:rPr>
              <w:t>.09</w:t>
            </w:r>
          </w:p>
        </w:tc>
        <w:tc>
          <w:tcPr>
            <w:tcW w:w="20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200"/>
              <w:spacing w:after="0" w:line="205" w:lineRule="exact"/>
              <w:rPr>
                <w:sz w:val="20"/>
                <w:szCs w:val="20"/>
                <w:color w:val="auto"/>
              </w:rPr>
            </w:pPr>
            <w:r>
              <w:rPr>
                <w:rFonts w:ascii="Arial" w:cs="Arial" w:eastAsia="Arial" w:hAnsi="Arial"/>
                <w:sz w:val="18"/>
                <w:szCs w:val="18"/>
                <w:color w:val="auto"/>
              </w:rPr>
              <w:t>.10</w:t>
            </w:r>
          </w:p>
        </w:tc>
        <w:tc>
          <w:tcPr>
            <w:tcW w:w="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260"/>
              <w:spacing w:after="0" w:line="205" w:lineRule="exact"/>
              <w:rPr>
                <w:sz w:val="20"/>
                <w:szCs w:val="20"/>
                <w:color w:val="auto"/>
              </w:rPr>
            </w:pPr>
            <w:r>
              <w:rPr>
                <w:rFonts w:ascii="Arial" w:cs="Arial" w:eastAsia="Arial" w:hAnsi="Arial"/>
                <w:sz w:val="18"/>
                <w:szCs w:val="18"/>
                <w:color w:val="auto"/>
              </w:rPr>
              <w:t>.08</w:t>
            </w:r>
          </w:p>
        </w:tc>
        <w:tc>
          <w:tcPr>
            <w:tcW w:w="200" w:type="dxa"/>
            <w:vAlign w:val="bottom"/>
            <w:shd w:val="clear" w:color="auto" w:fill="F0FFFF"/>
          </w:tcPr>
          <w:p>
            <w:pPr>
              <w:spacing w:after="0"/>
              <w:rPr>
                <w:sz w:val="17"/>
                <w:szCs w:val="17"/>
                <w:color w:val="auto"/>
              </w:rPr>
            </w:pPr>
          </w:p>
        </w:tc>
        <w:tc>
          <w:tcPr>
            <w:tcW w:w="780" w:type="dxa"/>
            <w:vAlign w:val="bottom"/>
            <w:gridSpan w:val="2"/>
            <w:shd w:val="clear" w:color="auto" w:fill="F0FFFF"/>
          </w:tcPr>
          <w:p>
            <w:pPr>
              <w:jc w:val="right"/>
              <w:ind w:right="200"/>
              <w:spacing w:after="0" w:line="205" w:lineRule="exact"/>
              <w:rPr>
                <w:sz w:val="20"/>
                <w:szCs w:val="20"/>
                <w:color w:val="auto"/>
              </w:rPr>
            </w:pPr>
            <w:r>
              <w:rPr>
                <w:rFonts w:ascii="Arial" w:cs="Arial" w:eastAsia="Arial" w:hAnsi="Arial"/>
                <w:sz w:val="18"/>
                <w:szCs w:val="18"/>
                <w:color w:val="auto"/>
              </w:rPr>
              <w:t>.22</w:t>
            </w:r>
          </w:p>
        </w:tc>
        <w:tc>
          <w:tcPr>
            <w:tcW w:w="6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260"/>
              <w:spacing w:after="0" w:line="205" w:lineRule="exact"/>
              <w:rPr>
                <w:sz w:val="20"/>
                <w:szCs w:val="20"/>
                <w:color w:val="auto"/>
              </w:rPr>
            </w:pPr>
            <w:r>
              <w:rPr>
                <w:rFonts w:ascii="Arial" w:cs="Arial" w:eastAsia="Arial" w:hAnsi="Arial"/>
                <w:sz w:val="18"/>
                <w:szCs w:val="18"/>
                <w:color w:val="auto"/>
              </w:rPr>
              <w:t>.22</w:t>
            </w:r>
          </w:p>
        </w:tc>
        <w:tc>
          <w:tcPr>
            <w:tcW w:w="20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260"/>
              <w:spacing w:after="0" w:line="205" w:lineRule="exact"/>
              <w:rPr>
                <w:sz w:val="20"/>
                <w:szCs w:val="20"/>
                <w:color w:val="auto"/>
              </w:rPr>
            </w:pPr>
            <w:r>
              <w:rPr>
                <w:rFonts w:ascii="Arial" w:cs="Arial" w:eastAsia="Arial" w:hAnsi="Arial"/>
                <w:sz w:val="18"/>
                <w:szCs w:val="18"/>
                <w:color w:val="auto"/>
              </w:rPr>
              <w:t>.28</w:t>
            </w:r>
          </w:p>
        </w:tc>
        <w:tc>
          <w:tcPr>
            <w:tcW w:w="20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280"/>
              <w:spacing w:after="0" w:line="205" w:lineRule="exact"/>
              <w:rPr>
                <w:sz w:val="20"/>
                <w:szCs w:val="20"/>
                <w:color w:val="auto"/>
              </w:rPr>
            </w:pPr>
            <w:r>
              <w:rPr>
                <w:rFonts w:ascii="Arial" w:cs="Arial" w:eastAsia="Arial" w:hAnsi="Arial"/>
                <w:sz w:val="18"/>
                <w:szCs w:val="18"/>
                <w:color w:val="auto"/>
              </w:rPr>
              <w:t>.38</w:t>
            </w:r>
          </w:p>
        </w:tc>
        <w:tc>
          <w:tcPr>
            <w:tcW w:w="180" w:type="dxa"/>
            <w:vAlign w:val="bottom"/>
            <w:shd w:val="clear" w:color="auto" w:fill="F0FFFF"/>
          </w:tcPr>
          <w:p>
            <w:pPr>
              <w:spacing w:after="0"/>
              <w:rPr>
                <w:sz w:val="17"/>
                <w:szCs w:val="17"/>
                <w:color w:val="auto"/>
              </w:rPr>
            </w:pPr>
          </w:p>
        </w:tc>
        <w:tc>
          <w:tcPr>
            <w:tcW w:w="760" w:type="dxa"/>
            <w:vAlign w:val="bottom"/>
            <w:gridSpan w:val="2"/>
            <w:shd w:val="clear" w:color="auto" w:fill="F0FFFF"/>
          </w:tcPr>
          <w:p>
            <w:pPr>
              <w:jc w:val="right"/>
              <w:ind w:right="160"/>
              <w:spacing w:after="0" w:line="205"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type w:val="continuous"/>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 xml:space="preserve">Net charge-offs to average loans </w:t>
            </w:r>
            <w:r>
              <w:rPr>
                <w:rFonts w:ascii="Arial" w:cs="Arial" w:eastAsia="Arial" w:hAnsi="Arial"/>
                <w:sz w:val="30"/>
                <w:szCs w:val="30"/>
                <w:color w:val="auto"/>
                <w:vertAlign w:val="superscript"/>
              </w:rPr>
              <w:t>(4)</w:t>
            </w: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34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320" w:type="dxa"/>
            <w:vAlign w:val="bottom"/>
            <w:shd w:val="clear" w:color="auto" w:fill="F0FFFF"/>
          </w:tcPr>
          <w:p>
            <w:pPr>
              <w:spacing w:after="0"/>
              <w:rPr>
                <w:sz w:val="24"/>
                <w:szCs w:val="24"/>
                <w:color w:val="auto"/>
              </w:rPr>
            </w:pPr>
          </w:p>
        </w:tc>
        <w:tc>
          <w:tcPr>
            <w:tcW w:w="76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w w:val="90"/>
              </w:rPr>
              <w:t>NPAs to loans and foreclosed properties</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NPAs to total assets</w:t>
            </w:r>
          </w:p>
        </w:tc>
        <w:tc>
          <w:tcPr>
            <w:tcW w:w="2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.29</w:t>
            </w:r>
          </w:p>
        </w:tc>
        <w:tc>
          <w:tcPr>
            <w:tcW w:w="3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F0FFFF"/>
          </w:tcPr>
          <w:p>
            <w:pPr>
              <w:spacing w:after="0"/>
              <w:rPr>
                <w:sz w:val="18"/>
                <w:szCs w:val="18"/>
                <w:color w:val="auto"/>
              </w:rPr>
            </w:pPr>
          </w:p>
        </w:tc>
        <w:tc>
          <w:tcPr>
            <w:tcW w:w="7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 xml:space="preserve">AVERAGE BALANCES </w:t>
            </w:r>
            <w:r>
              <w:rPr>
                <w:rFonts w:ascii="Arial" w:cs="Arial" w:eastAsia="Arial" w:hAnsi="Arial"/>
                <w:sz w:val="18"/>
                <w:szCs w:val="18"/>
                <w:i w:val="1"/>
                <w:iCs w:val="1"/>
                <w:color w:val="auto"/>
              </w:rPr>
              <w:t>($ in millions)</w:t>
            </w:r>
          </w:p>
        </w:tc>
        <w:tc>
          <w:tcPr>
            <w:tcW w:w="24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5,975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5,457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5,017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4,725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4,621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4,446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4,376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Investment securities</w:t>
            </w:r>
          </w:p>
        </w:tc>
        <w:tc>
          <w:tcPr>
            <w:tcW w:w="2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2,607</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2,396</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2,261</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2,203</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2,222</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2,231</w:t>
            </w:r>
          </w:p>
        </w:tc>
        <w:tc>
          <w:tcPr>
            <w:tcW w:w="3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2,326</w:t>
            </w:r>
          </w:p>
        </w:tc>
        <w:tc>
          <w:tcPr>
            <w:tcW w:w="320" w:type="dxa"/>
            <w:vAlign w:val="bottom"/>
            <w:shd w:val="clear" w:color="auto" w:fill="F0FFFF"/>
          </w:tcPr>
          <w:p>
            <w:pPr>
              <w:spacing w:after="0"/>
              <w:rPr>
                <w:sz w:val="18"/>
                <w:szCs w:val="18"/>
                <w:color w:val="auto"/>
              </w:rPr>
            </w:pPr>
          </w:p>
        </w:tc>
        <w:tc>
          <w:tcPr>
            <w:tcW w:w="7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Earning assets</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8,792</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8,009</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7,444</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7,070</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7,013</w:t>
            </w:r>
          </w:p>
        </w:tc>
        <w:tc>
          <w:tcPr>
            <w:tcW w:w="3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6,820</w:t>
            </w:r>
          </w:p>
        </w:tc>
        <w:tc>
          <w:tcPr>
            <w:tcW w:w="3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6,861</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9,558</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8,634</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8,017</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7,617</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7,565</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7,374</w:t>
            </w:r>
          </w:p>
        </w:tc>
        <w:tc>
          <w:tcPr>
            <w:tcW w:w="3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7,418</w:t>
            </w:r>
          </w:p>
        </w:tc>
        <w:tc>
          <w:tcPr>
            <w:tcW w:w="320" w:type="dxa"/>
            <w:vAlign w:val="bottom"/>
            <w:shd w:val="clear" w:color="auto" w:fill="F0FFFF"/>
          </w:tcPr>
          <w:p>
            <w:pPr>
              <w:spacing w:after="0"/>
              <w:rPr>
                <w:sz w:val="18"/>
                <w:szCs w:val="18"/>
                <w:color w:val="auto"/>
              </w:rPr>
            </w:pPr>
          </w:p>
        </w:tc>
        <w:tc>
          <w:tcPr>
            <w:tcW w:w="7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8,028</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7,135</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6,669</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6,369</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6,383</w:t>
            </w:r>
          </w:p>
        </w:tc>
        <w:tc>
          <w:tcPr>
            <w:tcW w:w="3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6,143</w:t>
            </w:r>
          </w:p>
        </w:tc>
        <w:tc>
          <w:tcPr>
            <w:tcW w:w="3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6,187</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1,021</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897</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806</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751</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738</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726</w:t>
            </w:r>
          </w:p>
        </w:tc>
        <w:tc>
          <w:tcPr>
            <w:tcW w:w="3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713</w:t>
            </w:r>
          </w:p>
        </w:tc>
        <w:tc>
          <w:tcPr>
            <w:tcW w:w="320" w:type="dxa"/>
            <w:vAlign w:val="bottom"/>
            <w:shd w:val="clear" w:color="auto" w:fill="F0FFFF"/>
          </w:tcPr>
          <w:p>
            <w:pPr>
              <w:spacing w:after="0"/>
              <w:rPr>
                <w:sz w:val="18"/>
                <w:szCs w:val="18"/>
                <w:color w:val="auto"/>
              </w:rPr>
            </w:pPr>
          </w:p>
        </w:tc>
        <w:tc>
          <w:tcPr>
            <w:tcW w:w="7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 xml:space="preserve">Common shares - basic </w:t>
            </w:r>
            <w:r>
              <w:rPr>
                <w:rFonts w:ascii="Arial" w:cs="Arial" w:eastAsia="Arial" w:hAnsi="Arial"/>
                <w:sz w:val="18"/>
                <w:szCs w:val="18"/>
                <w:i w:val="1"/>
                <w:iCs w:val="1"/>
                <w:color w:val="auto"/>
              </w:rPr>
              <w:t>(thousands)</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72,135</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66,294</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62,549</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60,905</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60,830</w:t>
            </w:r>
          </w:p>
        </w:tc>
        <w:tc>
          <w:tcPr>
            <w:tcW w:w="3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60,776</w:t>
            </w:r>
          </w:p>
        </w:tc>
        <w:tc>
          <w:tcPr>
            <w:tcW w:w="3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60,712</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6"/>
              </w:rPr>
              <w:t xml:space="preserve">Common shares - diluted </w:t>
            </w:r>
            <w:r>
              <w:rPr>
                <w:rFonts w:ascii="Arial" w:cs="Arial" w:eastAsia="Arial" w:hAnsi="Arial"/>
                <w:sz w:val="18"/>
                <w:szCs w:val="18"/>
                <w:i w:val="1"/>
                <w:iCs w:val="1"/>
                <w:color w:val="auto"/>
                <w:w w:val="96"/>
              </w:rPr>
              <w:t>(thousands)</w:t>
            </w:r>
          </w:p>
        </w:tc>
        <w:tc>
          <w:tcPr>
            <w:tcW w:w="2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72,140</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66,300</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62,553</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60,909</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60,833</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60,779</w:t>
            </w:r>
          </w:p>
        </w:tc>
        <w:tc>
          <w:tcPr>
            <w:tcW w:w="3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60,714</w:t>
            </w:r>
          </w:p>
        </w:tc>
        <w:tc>
          <w:tcPr>
            <w:tcW w:w="320" w:type="dxa"/>
            <w:vAlign w:val="bottom"/>
            <w:shd w:val="clear" w:color="auto" w:fill="F0FFFF"/>
          </w:tcPr>
          <w:p>
            <w:pPr>
              <w:spacing w:after="0"/>
              <w:rPr>
                <w:sz w:val="18"/>
                <w:szCs w:val="18"/>
                <w:color w:val="auto"/>
              </w:rPr>
            </w:pPr>
          </w:p>
        </w:tc>
        <w:tc>
          <w:tcPr>
            <w:tcW w:w="7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60,061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 xml:space="preserve">AT PERIOD-END </w:t>
            </w:r>
            <w:r>
              <w:rPr>
                <w:rFonts w:ascii="Arial" w:cs="Arial" w:eastAsia="Arial" w:hAnsi="Arial"/>
                <w:sz w:val="18"/>
                <w:szCs w:val="18"/>
                <w:i w:val="1"/>
                <w:iCs w:val="1"/>
                <w:color w:val="auto"/>
              </w:rPr>
              <w:t>($ in millions)</w:t>
            </w:r>
          </w:p>
        </w:tc>
        <w:tc>
          <w:tcPr>
            <w:tcW w:w="24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Loans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5,995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6,024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5,174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4,788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4,672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4,569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4,410</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Investment securities</w:t>
            </w:r>
          </w:p>
        </w:tc>
        <w:tc>
          <w:tcPr>
            <w:tcW w:w="2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2,656</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2,457</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2,322</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2,201</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2,198</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2,222</w:t>
            </w:r>
          </w:p>
        </w:tc>
        <w:tc>
          <w:tcPr>
            <w:tcW w:w="3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2,190</w:t>
            </w:r>
          </w:p>
        </w:tc>
        <w:tc>
          <w:tcPr>
            <w:tcW w:w="320" w:type="dxa"/>
            <w:vAlign w:val="bottom"/>
            <w:shd w:val="clear" w:color="auto" w:fill="F0FFFF"/>
          </w:tcPr>
          <w:p>
            <w:pPr>
              <w:spacing w:after="0"/>
              <w:rPr>
                <w:sz w:val="18"/>
                <w:szCs w:val="18"/>
                <w:color w:val="auto"/>
              </w:rPr>
            </w:pPr>
          </w:p>
        </w:tc>
        <w:tc>
          <w:tcPr>
            <w:tcW w:w="7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2,302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9,626</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9,414</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8,246</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7,664</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7,567</w:t>
            </w:r>
          </w:p>
        </w:tc>
        <w:tc>
          <w:tcPr>
            <w:tcW w:w="3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7,526</w:t>
            </w:r>
          </w:p>
        </w:tc>
        <w:tc>
          <w:tcPr>
            <w:tcW w:w="3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7,352</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Deposits</w:t>
            </w:r>
          </w:p>
        </w:tc>
        <w:tc>
          <w:tcPr>
            <w:tcW w:w="2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7,881</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7,905</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6,808</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6,438</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6,327</w:t>
            </w:r>
          </w:p>
        </w:tc>
        <w:tc>
          <w:tcPr>
            <w:tcW w:w="32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6,241</w:t>
            </w:r>
          </w:p>
        </w:tc>
        <w:tc>
          <w:tcPr>
            <w:tcW w:w="340" w:type="dxa"/>
            <w:vAlign w:val="bottom"/>
            <w:shd w:val="clear" w:color="auto" w:fill="F0FFFF"/>
          </w:tcPr>
          <w:p>
            <w:pPr>
              <w:spacing w:after="0"/>
              <w:rPr>
                <w:sz w:val="18"/>
                <w:szCs w:val="18"/>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6,164</w:t>
            </w:r>
          </w:p>
        </w:tc>
        <w:tc>
          <w:tcPr>
            <w:tcW w:w="320" w:type="dxa"/>
            <w:vAlign w:val="bottom"/>
            <w:shd w:val="clear" w:color="auto" w:fill="F0FFFF"/>
          </w:tcPr>
          <w:p>
            <w:pPr>
              <w:spacing w:after="0"/>
              <w:rPr>
                <w:sz w:val="18"/>
                <w:szCs w:val="18"/>
                <w:color w:val="auto"/>
              </w:rPr>
            </w:pPr>
          </w:p>
        </w:tc>
        <w:tc>
          <w:tcPr>
            <w:tcW w:w="7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6,248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1,018</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1,013</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827</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764</w:t>
            </w:r>
          </w:p>
        </w:tc>
        <w:tc>
          <w:tcPr>
            <w:tcW w:w="32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740</w:t>
            </w:r>
          </w:p>
        </w:tc>
        <w:tc>
          <w:tcPr>
            <w:tcW w:w="3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0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rPr>
              <w:t>Common shares outstanding</w:t>
            </w:r>
          </w:p>
        </w:tc>
        <w:tc>
          <w:tcPr>
            <w:tcW w:w="24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F0FFFF"/>
          </w:tcPr>
          <w:p>
            <w:pPr>
              <w:ind w:left="320"/>
              <w:spacing w:after="0"/>
              <w:rPr>
                <w:sz w:val="20"/>
                <w:szCs w:val="20"/>
                <w:color w:val="auto"/>
              </w:rPr>
            </w:pPr>
            <w:r>
              <w:rPr>
                <w:rFonts w:ascii="Arial" w:cs="Arial" w:eastAsia="Arial" w:hAnsi="Arial"/>
                <w:sz w:val="18"/>
                <w:szCs w:val="18"/>
                <w:i w:val="1"/>
                <w:iCs w:val="1"/>
                <w:color w:val="auto"/>
              </w:rPr>
              <w:t>(thousands)</w:t>
            </w:r>
          </w:p>
        </w:tc>
        <w:tc>
          <w:tcPr>
            <w:tcW w:w="240" w:type="dxa"/>
            <w:vAlign w:val="bottom"/>
            <w:shd w:val="clear" w:color="auto" w:fill="F0FFFF"/>
          </w:tcPr>
          <w:p>
            <w:pPr>
              <w:spacing w:after="0"/>
              <w:rPr>
                <w:sz w:val="20"/>
                <w:szCs w:val="20"/>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71,484</w:t>
            </w:r>
          </w:p>
        </w:tc>
        <w:tc>
          <w:tcPr>
            <w:tcW w:w="320" w:type="dxa"/>
            <w:vAlign w:val="bottom"/>
            <w:shd w:val="clear" w:color="auto" w:fill="F0FFFF"/>
          </w:tcPr>
          <w:p>
            <w:pPr>
              <w:spacing w:after="0"/>
              <w:rPr>
                <w:sz w:val="20"/>
                <w:szCs w:val="20"/>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71,472</w:t>
            </w:r>
          </w:p>
        </w:tc>
        <w:tc>
          <w:tcPr>
            <w:tcW w:w="320" w:type="dxa"/>
            <w:vAlign w:val="bottom"/>
            <w:shd w:val="clear" w:color="auto" w:fill="F0FFFF"/>
          </w:tcPr>
          <w:p>
            <w:pPr>
              <w:spacing w:after="0"/>
              <w:rPr>
                <w:sz w:val="20"/>
                <w:szCs w:val="20"/>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62,700</w:t>
            </w:r>
          </w:p>
        </w:tc>
        <w:tc>
          <w:tcPr>
            <w:tcW w:w="320" w:type="dxa"/>
            <w:vAlign w:val="bottom"/>
            <w:shd w:val="clear" w:color="auto" w:fill="F0FFFF"/>
          </w:tcPr>
          <w:p>
            <w:pPr>
              <w:spacing w:after="0"/>
              <w:rPr>
                <w:sz w:val="20"/>
                <w:szCs w:val="20"/>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60,309</w:t>
            </w:r>
          </w:p>
        </w:tc>
        <w:tc>
          <w:tcPr>
            <w:tcW w:w="320" w:type="dxa"/>
            <w:vAlign w:val="bottom"/>
            <w:shd w:val="clear" w:color="auto" w:fill="F0FFFF"/>
          </w:tcPr>
          <w:p>
            <w:pPr>
              <w:spacing w:after="0"/>
              <w:rPr>
                <w:sz w:val="20"/>
                <w:szCs w:val="20"/>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60,259</w:t>
            </w:r>
          </w:p>
        </w:tc>
        <w:tc>
          <w:tcPr>
            <w:tcW w:w="320" w:type="dxa"/>
            <w:vAlign w:val="bottom"/>
            <w:shd w:val="clear" w:color="auto" w:fill="F0FFFF"/>
          </w:tcPr>
          <w:p>
            <w:pPr>
              <w:spacing w:after="0"/>
              <w:rPr>
                <w:sz w:val="20"/>
                <w:szCs w:val="20"/>
                <w:color w:val="auto"/>
              </w:rPr>
            </w:pPr>
          </w:p>
        </w:tc>
        <w:tc>
          <w:tcPr>
            <w:tcW w:w="7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60,248</w:t>
            </w:r>
          </w:p>
        </w:tc>
        <w:tc>
          <w:tcPr>
            <w:tcW w:w="340" w:type="dxa"/>
            <w:vAlign w:val="bottom"/>
            <w:shd w:val="clear" w:color="auto" w:fill="F0FFFF"/>
          </w:tcPr>
          <w:p>
            <w:pPr>
              <w:spacing w:after="0"/>
              <w:rPr>
                <w:sz w:val="20"/>
                <w:szCs w:val="20"/>
                <w:color w:val="auto"/>
              </w:rPr>
            </w:pPr>
          </w:p>
        </w:tc>
        <w:tc>
          <w:tcPr>
            <w:tcW w:w="72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60,139</w:t>
            </w:r>
          </w:p>
        </w:tc>
        <w:tc>
          <w:tcPr>
            <w:tcW w:w="320" w:type="dxa"/>
            <w:vAlign w:val="bottom"/>
            <w:shd w:val="clear" w:color="auto" w:fill="F0FFFF"/>
          </w:tcPr>
          <w:p>
            <w:pPr>
              <w:spacing w:after="0"/>
              <w:rPr>
                <w:sz w:val="20"/>
                <w:szCs w:val="20"/>
                <w:color w:val="auto"/>
              </w:rPr>
            </w:pPr>
          </w:p>
        </w:tc>
        <w:tc>
          <w:tcPr>
            <w:tcW w:w="7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rPr>
              <w:t>60,092</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firstLine="8"/>
        <w:spacing w:after="0" w:line="219" w:lineRule="auto"/>
        <w:tabs>
          <w:tab w:leader="none" w:pos="212" w:val="left"/>
        </w:tabs>
        <w:numPr>
          <w:ilvl w:val="0"/>
          <w:numId w:val="14"/>
        </w:numPr>
        <w:rPr>
          <w:rFonts w:ascii="Arial" w:cs="Arial" w:eastAsia="Arial" w:hAnsi="Arial"/>
          <w:sz w:val="25"/>
          <w:szCs w:val="25"/>
          <w:color w:val="auto"/>
          <w:vertAlign w:val="superscript"/>
        </w:rPr>
      </w:pPr>
      <w:r>
        <w:rPr>
          <w:rFonts w:ascii="Arial" w:cs="Arial" w:eastAsia="Arial" w:hAnsi="Arial"/>
          <w:sz w:val="16"/>
          <w:szCs w:val="16"/>
          <w:color w:val="auto"/>
        </w:rPr>
        <w:t xml:space="preserve">Excludes merger-related charges and impairment losses on surplus bank property. </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Net income available to common shareholders, which is net of preferred stock dividends, divided by average realized common equity, which excludes accumulated other comprehensive income (loss). </w:t>
      </w:r>
      <w:r>
        <w:rPr>
          <w:rFonts w:ascii="Arial" w:cs="Arial" w:eastAsia="Arial" w:hAnsi="Arial"/>
          <w:sz w:val="25"/>
          <w:szCs w:val="25"/>
          <w:color w:val="auto"/>
          <w:vertAlign w:val="superscript"/>
        </w:rPr>
        <w:t>(3)</w:t>
      </w:r>
      <w:r>
        <w:rPr>
          <w:rFonts w:ascii="Arial" w:cs="Arial" w:eastAsia="Arial" w:hAnsi="Arial"/>
          <w:sz w:val="16"/>
          <w:szCs w:val="16"/>
          <w:color w:val="auto"/>
        </w:rPr>
        <w:t xml:space="preserve"> Excludes effect of</w:t>
      </w:r>
    </w:p>
    <w:p>
      <w:pPr>
        <w:spacing w:after="0" w:line="1" w:lineRule="exact"/>
        <w:rPr>
          <w:sz w:val="20"/>
          <w:szCs w:val="20"/>
          <w:color w:val="auto"/>
        </w:rPr>
      </w:pPr>
    </w:p>
    <w:p>
      <w:pPr>
        <w:ind w:right="340"/>
        <w:spacing w:after="0" w:line="204" w:lineRule="auto"/>
        <w:rPr>
          <w:sz w:val="20"/>
          <w:szCs w:val="20"/>
          <w:color w:val="auto"/>
        </w:rPr>
      </w:pPr>
      <w:r>
        <w:rPr>
          <w:rFonts w:ascii="Arial" w:cs="Arial" w:eastAsia="Arial" w:hAnsi="Arial"/>
          <w:sz w:val="18"/>
          <w:szCs w:val="18"/>
          <w:color w:val="auto"/>
        </w:rPr>
        <w:t xml:space="preserve">acquisition related intangibles and associated amortization. </w:t>
      </w:r>
      <w:r>
        <w:rPr>
          <w:rFonts w:ascii="Arial" w:cs="Arial" w:eastAsia="Arial" w:hAnsi="Arial"/>
          <w:sz w:val="30"/>
          <w:szCs w:val="30"/>
          <w:color w:val="auto"/>
          <w:vertAlign w:val="superscript"/>
        </w:rPr>
        <w:t>(4)</w:t>
      </w:r>
      <w:r>
        <w:rPr>
          <w:rFonts w:ascii="Arial" w:cs="Arial" w:eastAsia="Arial" w:hAnsi="Arial"/>
          <w:sz w:val="18"/>
          <w:szCs w:val="18"/>
          <w:color w:val="auto"/>
        </w:rPr>
        <w:t xml:space="preserve"> Annualized. </w:t>
      </w:r>
      <w:r>
        <w:rPr>
          <w:rFonts w:ascii="Arial" w:cs="Arial" w:eastAsia="Arial" w:hAnsi="Arial"/>
          <w:sz w:val="30"/>
          <w:szCs w:val="30"/>
          <w:color w:val="auto"/>
          <w:vertAlign w:val="superscript"/>
        </w:rPr>
        <w:t>(5)</w:t>
      </w:r>
      <w:r>
        <w:rPr>
          <w:rFonts w:ascii="Arial" w:cs="Arial" w:eastAsia="Arial" w:hAnsi="Arial"/>
          <w:sz w:val="18"/>
          <w:szCs w:val="18"/>
          <w:color w:val="auto"/>
        </w:rPr>
        <w:t xml:space="preserve"> December 31, September 30, June 30 and March 31, 2015 calculated under Basel III rules, which became effective January 1, 2015.</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 w:right="239" w:bottom="1440" w:gutter="0" w:footer="0" w:header="0"/>
        </w:sectPr>
      </w:pPr>
    </w:p>
    <w:bookmarkStart w:id="28" w:name="page29"/>
    <w:bookmarkEnd w:id="28"/>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earnings (loss) and operating earnings (loss) per diluted share are non-GAAP performance measures. United’s management believes that operating performance measures are useful in analyzing the Company’s financial performance trends since they exclude items that are generally non-recurring in nature and therefore most of the discussion in this section will refer to operating performance measures. A reconciliation of these operating performance measures to GAAP performance measures is included in the table on pages 31 through 34.</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September 1, 2015, United completed the acquisition of Palmetto Bancshares, Inc. (“Palmetto”) and its wholly-owned bank subsidiary The Palmetto Bank. On May 1, 2015, United completed the acquisition of MoneyTree Corporation (“MoneyTree”) and its wholly-owned bank subsidiary First National Bank (“FNB”). The acquired entities’ results are included in United’s consolidated results beginning on the respective acquisition dates.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reported net income of $71.6 million, or $1.09 per diluted share, in 2015, compared with $67.6 million, or $1.11 per share in 2014 and $273 million, or $4.44 per share, in 2013. Earnings for 2013 were significantly impacted by the reversal of a $272 million valuation allowance on United’s net deferred tax asset and a large bulk sale of classified assets. Excluding merger-related and impairment losses on surplus bank property, operating net income in 2015 was $83.2 million, or $1.27 per diluted share.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Fully taxable equivalent net interest revenue was $259 million for 2015, compared to $224 million in 2014. The increase was primarily due to acquisition-related and organic loan growth.</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interest margin increased four basis points to 3.30% in 2015 from 3.26% in 2014 due primarily to higher loan volume and a decrease in the cost of funds. The 21 basis point decrease in the average loan yield was more than offset by higher loan volume, the 12 basis point reduction in the average rate paid on interest bearing liabilities and a higher yield on the taxable investment securities. United’s average yield on its taxable investment securities portfolio increased 6 basis points from 2014, partly as a result of a change in the investment portfolio mix and partly as a result of balance sheet management activities late in the second quarter of 2014. The balance sheet management activities, which included restructuring interest rate swaps, selling investment securities and repaying high cost wholesale borrowings, had the effect of lowering United’s funding costs and increasing the yield on the investment securities portfolio.</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2015, United’s allowance for loan losses was $68.4 million, or 1.14% of loans, compared with $71.6 million, or 1.53% of loans, at the end of 2014. In accordance with the accounting guidance for business combinations, there was no allowance for loan losses brought forward on loans acquired from Palmetto or MoneyTree, as estimated credit deterioration was included in the determination of fair value at acquisition date. At December 31, 2015, United recorded no allowance for loan losses on loans acquired from Palmetto or MoneyTree as there was no evidence of credit deterioration beyond that which was incorporated in the determination of fair value at acquisition date. Nonperforming assets of $27.5 million were .29% of total assets at December 31, 2015 compared to .26% as of December 31, 2014. The increase year over year was primarily attributable to foreclosed properties assumed in connection with the Palmetto acquisition.</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Fee revenue of $72.5 million was up $17.0 million, or 31%, from 2014. The increase was primarily due to the Palmetto acquisition, higher mortgage fees and an increase in gains from sales of government guaranteed loans. Mortgage loan and related fees increased $6.07 million from 2014 due to United’s emphasis on growing its mortgage business by recruiting lenders in metropolitan markets and continued strong refinancing activity. In 2015, United closed $494 million in mortgage loans compared with $276 million in 2014. In 2015, 55%, or $272 million, of the closed loans were for home purchases versus 63%, or $174 million in 2014. Fee revenue is shown in more detail in Table 4 on page 38. Fee revenue for 2015 included $6.28 million in gains from sales of government guaranteed loans compared to $2.62 million for 2014. Customer derivative fees increased $984,000 to $1.71 million due to increased demand for this product. Deposit service charges and fees were up $3.75 million mostly due to higher interchange fee revenue.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2015, operating expenses of $211 million were up $48.4 million, or 30%, from 2014, largely due to the addition of Palmetto and MoneyTree operating expenses since acquisition. Salaries and employee benefits expense was up $15.7 million reflecting United’s investment in additional staff and new teams to expand the specialized lending area as well as higher incentive compensation in connection with increased lending activity and improvement in earnings performance. Operating expenses for 2015 included merger related charges of $12.0 million and impairment charges on real estate purchased in prior years for future branch expansion of $5.97 million.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color w:val="auto"/>
        </w:rPr>
        <w:t>Loans at December 31, 2015 were $6 billion, up $1.32 billion from the end of 2014, primarily due to the acquisitions of Palmetto and MoneyTree combined with solid growth in our community banks and specialized lending areas. Deposits were up $1.55 billion to $7.88 billion, as United focused on increasing low cost core transaction deposits which grew $524 million in 2015, excluding public funds deposits and acquisitions. At the end of 2015, total equity capital was $1.02 billion, up $279 million from December 31, 2014, reflecting equity issued for acquisitions of $224 million and net income of $71.6 million, partially offset by the payment of dividends on United’s common stock of $14.8 million. At December 31, 2015, all of United’s regulatory capital ratios were significantly above well capitalized levels.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and reporting policies of United and its subsidiaries are in accordance with accounting principles generally accepted in the United States of America and conform to general practices within the banking industry. The more critical accounting and reporting policies include United’s accounting for the allowance for loan losses, fair value measurements and income taxes. Application of these principles requires management to make estimates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 Certain policies inherently have a greater reliance on the use of estimates, and as such have a greater possibility of producing results that could be materially different than originally reported.</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most significant accounting policies for United are presented in Note 1 to the consolidated financial statements. These policies, along with the disclosures presented in the other financial statement notes and in this financial review, provide information on how significant assets and liabilities are valued in the financial statements and how those values are determined. Management views critical accounting policies to be those that are highly dependent on subjective or complex judgments, estimates and assumptions, and where changes in those estimates and assumptions could have a significant effect on the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Management considers the following accounting policies to be critical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allowance for credit losses is an estimate and represents management’s estimate of probable incurred credit losses in the loan portfolio and unfunded loan commitments. It consists of two components: the allowance for loan losses and the allowance for unfunded commitments. Estimating the amount of the allowance for credit losses requires significant judgment and the use of estimates related to the amount and timing of expected future cash flows on impaired loans, estimated losses on non-impaired loans based on historical loss experience, management’s evaluation of the current loan portfolio, and consideration of current economic trends, events and conditions. The loan portfolio also represents the largest asset type on the consolidated balance sheet. Loan losses are charged against the allowance, while recoveries of amounts previously charged off are credited to the allowance. A provision for credit losses is charged to operations based on management’s periodic evaluation of the factors previously mentioned, as well as other pertinent factors.</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allowance for loan losses is an estimate of probable incurred losses in the loan portfolio and is based on analyses developed through specific credit allocations for individual loans and historical loss experience for each loan category. The specific credit allocations are based on impairment analyses of all nonaccrual loans over $500,000, accruing substandard loans in relationships over $2 million and troubled debt restructurings (“TDRs”), which are all considered impaired loans. These analyses involve judgment in estimating the amount of loss associated with specific loans, including estimating the amount and timing of future cash flows and collateral values. The historical loss element is determined using the weighted average of actual losses incurred over the prior eight quarters for each type of loan, multiplied by an estimated loss emergence period. The historical loss experience is adjusted for known changes in economic trends, events and conditions and credit quality trends such as changes in the amount of past due and nonperforming loans. The resulting loss allocation factors are applied to the balance of each type of loan after removing the balance of impaired loans and other specifically allocated loans from each category. The loss allocation factors are updated quarterly.</w:t>
      </w:r>
    </w:p>
    <w:p>
      <w:pPr>
        <w:spacing w:after="0" w:line="18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 to 2014, United reported an unallocated portion of the allowance. In 2014, United incorporated a loss emergence period into its allowance analysis which resulted in the full allocation of the previously unallocated allowance. Management’s use of the loss emergence period is an estimate of the period of time from the first evidence of loss incurrence through the period of time until such losses are confirmed (or charged-off).</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many factors affecting the allowance for credit losses; some are quantitative while others require qualitative judgment. Although management believes its processes for determining the allowance adequately considers all the potential factors that could potentially result in credit losses, the process includes subjective elements and may be susceptible to significant change. To the extent actual outcomes differ from management estimates, additional provision for loan losses could be required that could adversely affect earnings or financial position in future periods.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Additional information on United’s loan portfolio and allowance for credit losses can be found in the sections of Management’s Discussion and Analysis titled “Asset Quality and Risk Elements” and “Nonperforming Assets” and in the sections of Part I, Item 1 titled “Lending Policy” and “Loan Review and Nonperforming Assets”. Note 1 to the consolidated financial statements includes additional information on United’s accounting policies related to the allowance for loan losses.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impaired loans and foreclosed assets may be measured and carried at fair value, the determination of which requires management to make assumptions, estimates and judgments. At December 31, 2015, the percentage of total assets measured at fair value was 24%. See Note 23 “Fair Value” in the consolidated financial statements herein for additional disclosures regarding the fair value of our assets and liabilities.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When a loan is considered individually impaired, a specific valuation allowance is allocated, if necessary, so that the loan is reported net, at the present value of estimated future cash flows using the loan’s existing rate or at the fair value of collateral if repayment is expected solely from the collateral. In addition, foreclosed assets are carried at the lower of cost, fair value, less cost to sell, or listed selling price less cost to sell, following foreclosure. Fair value is defined by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 Although management believes its processes for determining the value of impaired loans and foreclosed properties are appropriate and allow United to arrive at a fair value, the processes require management judgment and assumptions and the value of such assets at the time they are revalued or divested may be significantly different from management’s determination of fair value. In addition, because of subjectivity in fair value determinations, there may be grounds for differences in opinions, which may result in disagreements between management and the Bank’s regulators, disagreements which could cause the Bank to change its judgments about fair value.</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fair values for available-for-sale and held-to-maturity securities are generally based upon quoted market prices or observable market prices for similar instruments. United utilizes a third-party pricing service to assist with determining the fair value of its securities portfolio. The pricing service uses observable inputs when available including benchmark yields, reported trades, broker-dealer quotes, issuer spreads, benchmark securities, bids and offers. These values take into account recent market activity as well as other market observable data such as interest rate, spread and prepayment information. When market observable data is not available, which generally occurs due to the lack of liquidity for certain securities, the valuation of the security is subjective and may involve substantial judgment by management. United periodically reviews available-for-sale securities that are in an unrealized loss position to determine whether other-than-temporary impairment exists. An unrealized loss exists when the current fair value of an individual security is less than its amortized cost-basis. The primary factors United considers in determining whether impairment is other-than-temporary are long term expectations and recent experience regarding principal and interest payments, and United’s ability and intent to hold the security until the amortized cost basis is recovered.</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derivatives primarily to manage interest rate risk. The fair values of derivative financial instruments are determined based on quoted market prices, dealer quotes and internal pricing models that are primarily sensitive to market observable data. However, United does evaluate the level of these observable inputs and there are some instances, with highly structured transactions, where United has determined that the inputs not directly observable. This is discussed covered in Note 23 to the Financial Statements. United mitigates the credit risk by subjecting counterparties to credit reviews and approvals similar to those used in making loans and other extensions of credit. In addition, certain counterparties are required to provide collateral to United when their unsecured loss positions exceed certain negotiated limits.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United has expanded its SBA lending and subsequent loan sales activities, a servicing asset has been recognized (per ASC 860). This asset is recorded at fair value on recognition, and United has elected to carry this asset at fair value for subsequent reporting. Given the nature of the asset, the key valuation inputs are unobservable and United discloses this asset as level 3 item in Note 23.</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2015, United had $750,000 of available-for-sale securities, $3.71 million in servicing assets for government guaranteed loans and $9.41 million in derivative financial instruments that were valued using unobservable inputs. The sum of these items represents less than .14% of total assets. United also had $15.8 million in derivative financial instruments recorded as liabilities that were valued using unobservable inputs, which represent .18% of total liabilities.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Income Tax Accounting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Income tax liabilities or assets are established for the amount of taxes payable or refundable for the current or prior years. Deferred tax liabilities and assets are also established for the future tax consequences of events that have been recognized in the financial statements or tax returns. A deferred tax liability or asset is recognized for the estimated future tax effects attributable to temporary differences and deductions that can be carried forward (used) in future years. The valuation of current and deferred tax liabilities and assets is considered critical as it requires management to make estimates based on provisions of the enacted tax laws. The assessment of tax assets and liabilities involves the use of estimates, assumptions, interpretations, and judgments concerning certain accounting pronouncements and federal and state tax codes. There can be no assurance that future events, such as court decisions or positions of regulatory agencies and federal and state taxing authorities, will not differ from management’s current assessment, the impact of which could be significant to the consolidated results of operations and reported earnings.</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At December 31, 2015, United reported a net deferred tax asset totaling $198 million, net of a valuation allowance of $4.28 million.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In making such judgments, significant weight is given to evidence that can be objectively verified.</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Regulatory risk-based capital rules limit the amount of deferred tax assets that a bank or bank holding company can include in Tier 1 capital. Generally, deferred tax assets that arise from net operating loss and tax credit carryforwards, net of any related valuation allowances and net of deferred tax liabilities, are excluded from CET1 and Tier 1 capital. Deferred tax assets arising from temporary differences that could not be realized through net operating loss carrybacks, net of related valuation allowances and net of deferred tax liabilities, that exceed certain thresholds are excluded from CET1 and Tier 1 capital.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selectively engages in the evaluation of strategic partnerships. Mergers and acquisitions present opportunities to enter new markets with an established presence and a capable management team already in place or enhance our market share in markets where we already have an established presence. United employs certain criteria to ensure that any merger or acquisition candidate meets strategic growth and earnings objectives that will build future franchise value for shareholders. Additionally, the criteria include ensuring that management of a potential partner shares United’s community banking philosophy of premium service quality and operates in attractive markets with excellent opportunities for further organic growth.</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1, 2015, United completed the acquisition of Palmetto and its wholly-owned bank subsidiary The Palmetto Bank. Palmetto operated 25 branches in South Carolina. In connection with the acquisition, United acquired $1.15 billion of assets and assumed $1.02 billion of liabilities. Total consideration transferred was $244 million of common equity and cash. The fair value of consideration paid exceeded the fair value of the identifiable assets and liabilities acquired and resulted in the establishment of goodwill in the amount of $114 million.</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 2015, United completed the acquisition of MoneyTree and its wholly-owned bank subsidiary FNB. FNB operated ten branches in east Tennessee. In connection with the acquisition, United acquired $459 million of assets and assumed $410 million of liabilities and $9.99 million of preferred stock. Total consideration transferred was $54.6 million of common equity and cash. The fair value of consideration paid exceeded the fair value of the identifiable assets and liabilities acquired and resulted in the establishment of goodwill in the amount of $14.7 million.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26, 2014, United completed the acquisition of substantially all of the assets of Business Carolina, Inc., a specialty SBA / United States Department of Agriculture (“USDA”) lender headquartered in Columbia, South Carolina. On the closing date, United paid $31.3 million in cash for loans having a fair value on the purchase date of $24.8 million, accrued interest of $83,000, servicing rights with a fair value on the purchase date of $2.13 million, premises and equipment with a fair value on the purchase date of $2.60 million and goodwill in the amount of $1.51 million representing the premium paid over the fair value of the separately identifiable assets and liabilities acquired.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United will continue to evaluate potential transactions as they are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10-K contains non-GAAP financial measures determined by methods other than in accordance with GAAP. Such non-GAAP financial measures include, among others, the following: taxable equivalent interest revenue, taxable equivalent net interest revenue, operating expense, operating income (loss), operating earnings (loss) per share and operating earnings (loss) per diluted share. Management uses these and other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on the tables on pages 31 through 34.</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In 2015, United recorded merger-related charges and impairment losses on real estate purchased in prior years for future branch expansion that totaled $18.0 million. Operating performance measures exclude the effect of the merger-related and other charges, because management believes that performance measures including those charges do not reflect overall trends in United’s earnings and financial performance. Management believes these non-GAAP operating performance measures provide users of United’s financial information with a meaningful measure for assessing United’s financial results over time, and provide a meaningful comparison to financial results for prior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a reconciliation of net operating income to GAAP net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Non-GAAP Performance Measures Reconciliation - Annual</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8"/>
          </w:tcPr>
          <w:p>
            <w:pPr>
              <w:jc w:val="right"/>
              <w:ind w:right="25"/>
              <w:spacing w:after="0"/>
              <w:rPr>
                <w:sz w:val="20"/>
                <w:szCs w:val="20"/>
                <w:color w:val="auto"/>
              </w:rPr>
            </w:pPr>
            <w:r>
              <w:rPr>
                <w:rFonts w:ascii="Arial" w:cs="Arial" w:eastAsia="Arial" w:hAnsi="Arial"/>
                <w:sz w:val="14"/>
                <w:szCs w:val="14"/>
                <w:b w:val="1"/>
                <w:bCs w:val="1"/>
                <w:color w:val="auto"/>
              </w:rPr>
              <w:t>For the Twelve Months Ended</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4"/>
              </w:rPr>
              <w:t>December 31,</w:t>
            </w: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data; fully taxable equivalent)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291"/>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Interest revenue reconciliation</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revenue - taxable equivalent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279,809</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249,969</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247,323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267,667</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304,308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Taxable equivalent adjustment</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(1,690)</w:t>
            </w:r>
          </w:p>
        </w:tc>
        <w:tc>
          <w:tcPr>
            <w:tcW w:w="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Interest revenue (GAAP)</w:t>
            </w: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278,532</w:t>
            </w: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248,432</w:t>
            </w: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245,840</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265,977</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302,601</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Net interest revenue - taxable equivalent</w:t>
            </w:r>
          </w:p>
        </w:tc>
        <w:tc>
          <w:tcPr>
            <w:tcW w:w="34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258,700</w:t>
            </w:r>
          </w:p>
        </w:tc>
        <w:tc>
          <w:tcPr>
            <w:tcW w:w="34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224,418</w:t>
            </w:r>
          </w:p>
        </w:tc>
        <w:tc>
          <w:tcPr>
            <w:tcW w:w="320" w:type="dxa"/>
            <w:vAlign w:val="bottom"/>
            <w:gridSpan w:val="2"/>
            <w:shd w:val="clear" w:color="auto" w:fill="F0FF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219,641</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229,758</w:t>
            </w:r>
          </w:p>
        </w:tc>
        <w:tc>
          <w:tcPr>
            <w:tcW w:w="30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238,670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(1,537)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(1,483)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(1,690)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Net interest revenue (GAAP)</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257,423</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222,881</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218,158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228,068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236,963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Total revenue reconciliation</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327,529</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271,472</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210,739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223,370</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32,577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Taxable equivalent adjustment</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(1,690)</w:t>
            </w:r>
          </w:p>
        </w:tc>
        <w:tc>
          <w:tcPr>
            <w:tcW w:w="8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revenue (GAAP)</w:t>
            </w: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326,252</w:t>
            </w: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269,935</w:t>
            </w: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209,256</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221,680</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30,870</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Expense reconciliation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Expenses - operating</w:t>
            </w:r>
          </w:p>
        </w:tc>
        <w:tc>
          <w:tcPr>
            <w:tcW w:w="34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193,243</w:t>
            </w:r>
          </w:p>
        </w:tc>
        <w:tc>
          <w:tcPr>
            <w:tcW w:w="34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162,865</w:t>
            </w:r>
          </w:p>
        </w:tc>
        <w:tc>
          <w:tcPr>
            <w:tcW w:w="320" w:type="dxa"/>
            <w:vAlign w:val="bottom"/>
            <w:gridSpan w:val="2"/>
            <w:shd w:val="clear" w:color="auto" w:fill="F0FF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174,304</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186,774</w:t>
            </w:r>
          </w:p>
        </w:tc>
        <w:tc>
          <w:tcPr>
            <w:tcW w:w="30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261,599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17,995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Expenses (GAAP)</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211,238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162,865</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174,304</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186,774</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261,599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Income before taxes reconciliation</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before taxes - operating</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134,286</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108,607</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36,435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36,596</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Taxable equivalent adjustment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(1,690)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(17,995)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Income before taxes (GAAP)</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115,014</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107,070</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34,952</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34,906</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(230,729</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Income tax expense reconciliation</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expense - operating</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51,101</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40,987</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(236,705)</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2,740</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Taxable equivalent adjustment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(1,483)</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(1,690)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Merger-related and other charges, tax benefit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(6,388)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Income tax expense (GAAP)</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43,436</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39,450</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(238,188</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income reconciliation</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income - operating</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83,185</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67,620</w:t>
            </w:r>
          </w:p>
        </w:tc>
        <w:tc>
          <w:tcPr>
            <w:tcW w:w="3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273,140</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33,856</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(226,746)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Merger-related and other charges, net of income tax benefit</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(11,607)</w:t>
            </w:r>
          </w:p>
        </w:tc>
        <w:tc>
          <w:tcPr>
            <w:tcW w:w="10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Net income (GAAP)</w:t>
            </w: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71,578</w:t>
            </w: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67,620</w:t>
            </w: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273,140</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33,856</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(226,746</w:t>
            </w:r>
          </w:p>
        </w:tc>
        <w:tc>
          <w:tcPr>
            <w:tcW w:w="100" w:type="dxa"/>
            <w:vAlign w:val="bottom"/>
            <w:tcBorders>
              <w:top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w w:val="98"/>
              </w:rPr>
              <w:t>Net income available to common shareholders reconciliation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F0FFFF"/>
          </w:tcPr>
          <w:p>
            <w:pPr>
              <w:spacing w:after="0"/>
              <w:rPr>
                <w:sz w:val="20"/>
                <w:szCs w:val="20"/>
                <w:color w:val="auto"/>
              </w:rPr>
            </w:pPr>
            <w:r>
              <w:rPr>
                <w:rFonts w:ascii="Arial" w:cs="Arial" w:eastAsia="Arial" w:hAnsi="Arial"/>
                <w:sz w:val="18"/>
                <w:szCs w:val="18"/>
                <w:color w:val="auto"/>
              </w:rPr>
              <w:t>Net income available to common shareholders - operating</w:t>
            </w:r>
          </w:p>
        </w:tc>
        <w:tc>
          <w:tcPr>
            <w:tcW w:w="34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83,118</w:t>
            </w:r>
          </w:p>
        </w:tc>
        <w:tc>
          <w:tcPr>
            <w:tcW w:w="34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67,181</w:t>
            </w:r>
          </w:p>
        </w:tc>
        <w:tc>
          <w:tcPr>
            <w:tcW w:w="320" w:type="dxa"/>
            <w:vAlign w:val="bottom"/>
            <w:gridSpan w:val="2"/>
            <w:shd w:val="clear" w:color="auto" w:fill="F0FFFF"/>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261,062</w:t>
            </w:r>
          </w:p>
        </w:tc>
        <w:tc>
          <w:tcPr>
            <w:tcW w:w="32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21,708</w:t>
            </w:r>
          </w:p>
        </w:tc>
        <w:tc>
          <w:tcPr>
            <w:tcW w:w="30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(238,584)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Merger-related and other charges, net of income tax benefit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(11,607)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Net income available to common shareholders (GAAP)</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71,511</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67,181</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261,062</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21,708</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(238,584</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7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20" w:type="dxa"/>
            <w:vAlign w:val="bottom"/>
          </w:tcPr>
          <w:p>
            <w:pPr>
              <w:spacing w:after="0"/>
              <w:rPr>
                <w:sz w:val="24"/>
                <w:szCs w:val="24"/>
                <w:color w:val="auto"/>
              </w:rPr>
            </w:pPr>
          </w:p>
        </w:tc>
        <w:tc>
          <w:tcPr>
            <w:tcW w:w="51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jc w:val="right"/>
              <w:ind w:right="411"/>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33" w:name="page34"/>
    <w:bookmarkEnd w:id="33"/>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(Continued) - Non-GAAP Performance Measures Reconciliation - Annual</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7"/>
          </w:tcPr>
          <w:p>
            <w:pPr>
              <w:jc w:val="center"/>
              <w:ind w:left="434"/>
              <w:spacing w:after="0"/>
              <w:rPr>
                <w:sz w:val="20"/>
                <w:szCs w:val="20"/>
                <w:color w:val="auto"/>
              </w:rPr>
            </w:pPr>
            <w:r>
              <w:rPr>
                <w:rFonts w:ascii="Arial" w:cs="Arial" w:eastAsia="Arial" w:hAnsi="Arial"/>
                <w:sz w:val="14"/>
                <w:szCs w:val="14"/>
                <w:b w:val="1"/>
                <w:bCs w:val="1"/>
                <w:color w:val="auto"/>
                <w:w w:val="93"/>
              </w:rPr>
              <w:t>For the Twelve Months Ended</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00" w:type="dxa"/>
            <w:vAlign w:val="bottom"/>
            <w:gridSpan w:val="2"/>
          </w:tcPr>
          <w:p>
            <w:pPr>
              <w:spacing w:after="0"/>
              <w:rPr>
                <w:sz w:val="20"/>
                <w:szCs w:val="20"/>
                <w:color w:val="auto"/>
              </w:rPr>
            </w:pPr>
            <w:r>
              <w:rPr>
                <w:rFonts w:ascii="Arial" w:cs="Arial" w:eastAsia="Arial" w:hAnsi="Arial"/>
                <w:sz w:val="14"/>
                <w:szCs w:val="14"/>
                <w:i w:val="1"/>
                <w:iCs w:val="1"/>
                <w:color w:val="auto"/>
              </w:rPr>
              <w:t>data; fully taxable equivalent)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153"/>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Diluted income per common share reconciliation</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Diluted income per common share - operating</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Merger-related and other charges</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w:t>
            </w:r>
          </w:p>
        </w:tc>
        <w:tc>
          <w:tcPr>
            <w:tcW w:w="2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8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Diluted income per common share (GAAP)</w:t>
            </w: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220" w:type="dxa"/>
            <w:vAlign w:val="bottom"/>
            <w:tcBorders>
              <w:top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Book value per common share reconciliation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F0FFFF"/>
          </w:tcPr>
          <w:p>
            <w:pPr>
              <w:spacing w:after="0"/>
              <w:rPr>
                <w:sz w:val="20"/>
                <w:szCs w:val="20"/>
                <w:color w:val="auto"/>
              </w:rPr>
            </w:pPr>
            <w:r>
              <w:rPr>
                <w:rFonts w:ascii="Arial" w:cs="Arial" w:eastAsia="Arial" w:hAnsi="Arial"/>
                <w:sz w:val="18"/>
                <w:szCs w:val="18"/>
                <w:color w:val="auto"/>
              </w:rPr>
              <w:t>Tangible book value per common share</w:t>
            </w:r>
          </w:p>
        </w:tc>
        <w:tc>
          <w:tcPr>
            <w:tcW w:w="34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12.06</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12.15</w:t>
            </w:r>
          </w:p>
        </w:tc>
        <w:tc>
          <w:tcPr>
            <w:tcW w:w="220" w:type="dxa"/>
            <w:vAlign w:val="bottom"/>
            <w:shd w:val="clear" w:color="auto" w:fill="F0FFFF"/>
          </w:tcPr>
          <w:p>
            <w:pPr>
              <w:jc w:val="right"/>
              <w:ind w:right="6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11.26</w:t>
            </w:r>
          </w:p>
        </w:tc>
        <w:tc>
          <w:tcPr>
            <w:tcW w:w="40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9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Book value per common share (GAAP)</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14.02</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12.20</w:t>
            </w:r>
          </w:p>
        </w:tc>
        <w:tc>
          <w:tcPr>
            <w:tcW w:w="2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11.30</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6.67</w:t>
            </w:r>
          </w:p>
        </w:tc>
        <w:tc>
          <w:tcPr>
            <w:tcW w:w="2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7038" w:orient="portrait"/>
          <w:cols w:equalWidth="0" w:num="1">
            <w:col w:w="11420"/>
          </w:cols>
          <w:pgMar w:left="240" w:top="904" w:right="239" w:bottom="0" w:gutter="0" w:footer="0" w:header="0"/>
        </w:sectPr>
      </w:pPr>
    </w:p>
    <w:p>
      <w:pPr>
        <w:spacing w:after="0"/>
        <w:rPr>
          <w:sz w:val="20"/>
          <w:szCs w:val="20"/>
          <w:color w:val="auto"/>
        </w:rPr>
      </w:pPr>
      <w:r>
        <w:rPr>
          <w:rFonts w:ascii="Arial" w:cs="Arial" w:eastAsia="Arial" w:hAnsi="Arial"/>
          <w:sz w:val="16"/>
          <w:szCs w:val="16"/>
          <w:b w:val="1"/>
          <w:bCs w:val="1"/>
          <w:color w:val="auto"/>
        </w:rPr>
        <w:t>Return on tangible common equity reconciliation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Return on tangible common equity - operating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Effect of goodwill and other intangibles</w:t>
      </w:r>
    </w:p>
    <w:p>
      <w:pPr>
        <w:spacing w:after="0" w:line="35" w:lineRule="exact"/>
        <w:rPr>
          <w:sz w:val="20"/>
          <w:szCs w:val="20"/>
          <w:color w:val="auto"/>
        </w:rPr>
      </w:pPr>
    </w:p>
    <w:p>
      <w:pPr>
        <w:ind w:right="1680"/>
        <w:spacing w:after="0" w:line="299" w:lineRule="auto"/>
        <w:rPr>
          <w:sz w:val="20"/>
          <w:szCs w:val="20"/>
          <w:color w:val="auto"/>
        </w:rPr>
      </w:pPr>
      <w:r>
        <w:rPr>
          <w:rFonts w:ascii="Arial" w:cs="Arial" w:eastAsia="Arial" w:hAnsi="Arial"/>
          <w:sz w:val="16"/>
          <w:szCs w:val="16"/>
          <w:color w:val="auto"/>
        </w:rPr>
        <w:t>Return on common equity - operating Merger-related and other charges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Return on common equity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10.24%</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9.32%</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47.35%</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6.27%</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(96.20)%</w:t>
            </w:r>
          </w:p>
        </w:tc>
      </w:tr>
      <w:tr>
        <w:trPr>
          <w:trHeight w:val="251"/>
        </w:trPr>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(.76)</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(.15)</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(.63)</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(.84)</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21"/>
                <w:szCs w:val="21"/>
                <w:color w:val="auto"/>
              </w:rPr>
            </w:pPr>
          </w:p>
        </w:tc>
      </w:tr>
      <w:tr>
        <w:trPr>
          <w:trHeight w:val="202"/>
        </w:trPr>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9.48</w:t>
            </w:r>
          </w:p>
        </w:tc>
        <w:tc>
          <w:tcPr>
            <w:tcW w:w="260" w:type="dxa"/>
            <w:vAlign w:val="bottom"/>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9.17</w:t>
            </w:r>
          </w:p>
        </w:tc>
        <w:tc>
          <w:tcPr>
            <w:tcW w:w="280" w:type="dxa"/>
            <w:vAlign w:val="bottom"/>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46.72</w:t>
            </w:r>
          </w:p>
        </w:tc>
        <w:tc>
          <w:tcPr>
            <w:tcW w:w="260" w:type="dxa"/>
            <w:vAlign w:val="bottom"/>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5.43</w:t>
            </w:r>
          </w:p>
        </w:tc>
        <w:tc>
          <w:tcPr>
            <w:tcW w:w="280" w:type="dxa"/>
            <w:vAlign w:val="bottom"/>
          </w:tcPr>
          <w:p>
            <w:pPr>
              <w:spacing w:after="0"/>
              <w:rPr>
                <w:sz w:val="17"/>
                <w:szCs w:val="17"/>
                <w:color w:val="auto"/>
              </w:rPr>
            </w:pPr>
          </w:p>
        </w:tc>
        <w:tc>
          <w:tcPr>
            <w:tcW w:w="102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rPr>
              <w:t>(93.57)</w:t>
            </w:r>
          </w:p>
        </w:tc>
        <w:tc>
          <w:tcPr>
            <w:tcW w:w="200" w:type="dxa"/>
            <w:vAlign w:val="bottom"/>
          </w:tcPr>
          <w:p>
            <w:pPr>
              <w:spacing w:after="0"/>
              <w:rPr>
                <w:sz w:val="17"/>
                <w:szCs w:val="17"/>
                <w:color w:val="auto"/>
              </w:rPr>
            </w:pPr>
          </w:p>
        </w:tc>
      </w:tr>
      <w:tr>
        <w:trPr>
          <w:trHeight w:val="251"/>
        </w:trPr>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(1.33)</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0"/>
        </w:trPr>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6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46.72</w:t>
            </w:r>
          </w:p>
        </w:tc>
        <w:tc>
          <w:tcPr>
            <w:tcW w:w="26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(93.57</w:t>
            </w: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0"/>
              </w:rPr>
              <w:t>)%</w:t>
            </w:r>
          </w:p>
        </w:tc>
      </w:tr>
      <w:tr>
        <w:trPr>
          <w:trHeight w:val="21"/>
        </w:trPr>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-916940</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-642620</wp:posOffset>
            </wp:positionV>
            <wp:extent cx="72466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-342265</wp:posOffset>
            </wp:positionV>
            <wp:extent cx="72466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-16510</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8" w:lineRule="exact"/>
        <w:rPr>
          <w:sz w:val="20"/>
          <w:szCs w:val="20"/>
          <w:color w:val="auto"/>
        </w:rPr>
      </w:pPr>
    </w:p>
    <w:p>
      <w:pPr>
        <w:sectPr>
          <w:pgSz w:w="11900" w:h="17038" w:orient="portrait"/>
          <w:cols w:equalWidth="0" w:num="2">
            <w:col w:w="4400" w:space="720"/>
            <w:col w:w="6300"/>
          </w:cols>
          <w:pgMar w:left="240" w:top="904" w:right="239" w:bottom="0" w:gutter="0" w:footer="0" w:header="0"/>
          <w:type w:val="continuous"/>
        </w:sectPr>
      </w:pPr>
    </w:p>
    <w:p>
      <w:pPr>
        <w:spacing w:after="0"/>
        <w:rPr>
          <w:sz w:val="20"/>
          <w:szCs w:val="20"/>
          <w:color w:val="auto"/>
        </w:rPr>
      </w:pPr>
      <w:r>
        <w:rPr>
          <w:rFonts w:ascii="Arial" w:cs="Arial" w:eastAsia="Arial" w:hAnsi="Arial"/>
          <w:sz w:val="16"/>
          <w:szCs w:val="16"/>
          <w:b w:val="1"/>
          <w:bCs w:val="1"/>
          <w:color w:val="auto"/>
        </w:rPr>
        <w:t>Return on assets reconciliation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Return on assets - operating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Merger-related and other charges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Return on assets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.98%</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.91%</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3.86%</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.49%</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(3.15)%</w:t>
            </w:r>
          </w:p>
        </w:tc>
      </w:tr>
      <w:tr>
        <w:trPr>
          <w:trHeight w:val="251"/>
        </w:trPr>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0"/>
        </w:trPr>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6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22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90"/>
              </w:rPr>
              <w:t>)%</w:t>
            </w:r>
          </w:p>
        </w:tc>
      </w:tr>
      <w:tr>
        <w:trPr>
          <w:trHeight w:val="21"/>
        </w:trPr>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-479425</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-187960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8" w:lineRule="exact"/>
        <w:rPr>
          <w:sz w:val="20"/>
          <w:szCs w:val="20"/>
          <w:color w:val="auto"/>
        </w:rPr>
      </w:pPr>
    </w:p>
    <w:p>
      <w:pPr>
        <w:sectPr>
          <w:pgSz w:w="11900" w:h="17038" w:orient="portrait"/>
          <w:cols w:equalWidth="0" w:num="2">
            <w:col w:w="4400" w:space="720"/>
            <w:col w:w="6300"/>
          </w:cols>
          <w:pgMar w:left="240" w:top="904" w:right="239" w:bottom="0" w:gutter="0" w:footer="0" w:header="0"/>
          <w:type w:val="continuous"/>
        </w:sectPr>
      </w:pPr>
    </w:p>
    <w:p>
      <w:pPr>
        <w:spacing w:after="0"/>
        <w:rPr>
          <w:sz w:val="20"/>
          <w:szCs w:val="20"/>
          <w:color w:val="auto"/>
        </w:rPr>
      </w:pPr>
      <w:r>
        <w:rPr>
          <w:rFonts w:ascii="Arial" w:cs="Arial" w:eastAsia="Arial" w:hAnsi="Arial"/>
          <w:sz w:val="17"/>
          <w:szCs w:val="17"/>
          <w:b w:val="1"/>
          <w:bCs w:val="1"/>
          <w:color w:val="auto"/>
        </w:rPr>
        <w:t>Allowance for loan losses to loans reconciliation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Allowance for loan losses to loans, excl. acquired loans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Effect of removing acquired loans from ratio</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Allowance for loan losses to loans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1.35%</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1.53%</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1.77%</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2.57%</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2.79%</w:t>
            </w:r>
          </w:p>
        </w:tc>
      </w:tr>
      <w:tr>
        <w:trPr>
          <w:trHeight w:val="251"/>
        </w:trPr>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(.21)</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0"/>
        </w:trPr>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26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6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
        </w:trPr>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-616585</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-342265</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7038" w:orient="portrait"/>
          <w:cols w:equalWidth="0" w:num="2">
            <w:col w:w="4400" w:space="720"/>
            <w:col w:w="630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Dividend payout ratio reconciliation</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20" w:type="dxa"/>
            <w:vAlign w:val="bottom"/>
            <w:shd w:val="clear" w:color="auto" w:fill="F0FFFF"/>
          </w:tcPr>
          <w:p>
            <w:pPr>
              <w:spacing w:after="0"/>
              <w:rPr>
                <w:sz w:val="20"/>
                <w:szCs w:val="20"/>
                <w:color w:val="auto"/>
              </w:rPr>
            </w:pPr>
            <w:r>
              <w:rPr>
                <w:rFonts w:ascii="Arial" w:cs="Arial" w:eastAsia="Arial" w:hAnsi="Arial"/>
                <w:sz w:val="18"/>
                <w:szCs w:val="18"/>
                <w:color w:val="auto"/>
              </w:rPr>
              <w:t>Dividend payout ratio - operating</w:t>
            </w:r>
          </w:p>
        </w:tc>
        <w:tc>
          <w:tcPr>
            <w:tcW w:w="12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17.32%</w:t>
            </w:r>
          </w:p>
        </w:tc>
        <w:tc>
          <w:tcPr>
            <w:tcW w:w="128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9.91%</w:t>
            </w:r>
          </w:p>
        </w:tc>
        <w:tc>
          <w:tcPr>
            <w:tcW w:w="1260" w:type="dxa"/>
            <w:vAlign w:val="bottom"/>
            <w:gridSpan w:val="2"/>
            <w:shd w:val="clear" w:color="auto" w:fill="F0FFFF"/>
          </w:tcPr>
          <w:p>
            <w:pPr>
              <w:ind w:left="9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ind w:left="9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ind w:left="940"/>
              <w:spacing w:after="0"/>
              <w:rPr>
                <w:sz w:val="20"/>
                <w:szCs w:val="20"/>
                <w:color w:val="auto"/>
              </w:rPr>
            </w:pPr>
            <w:r>
              <w:rPr>
                <w:rFonts w:ascii="Arial" w:cs="Arial" w:eastAsia="Arial" w:hAnsi="Arial"/>
                <w:sz w:val="18"/>
                <w:szCs w:val="18"/>
                <w:color w:val="auto"/>
              </w:rPr>
              <w:t>-%</w:t>
            </w: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2.86</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00" w:type="dxa"/>
            <w:vAlign w:val="bottom"/>
          </w:tcPr>
          <w:p>
            <w:pPr>
              <w:ind w:left="94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20"/>
                <w:szCs w:val="20"/>
                <w:color w:val="auto"/>
              </w:rPr>
            </w:pPr>
          </w:p>
        </w:tc>
        <w:tc>
          <w:tcPr>
            <w:tcW w:w="1000" w:type="dxa"/>
            <w:vAlign w:val="bottom"/>
          </w:tcPr>
          <w:p>
            <w:pPr>
              <w:ind w:left="9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20"/>
                <w:szCs w:val="20"/>
                <w:color w:val="auto"/>
              </w:rPr>
            </w:pPr>
          </w:p>
        </w:tc>
      </w:tr>
      <w:tr>
        <w:trPr>
          <w:trHeight w:val="255"/>
        </w:trPr>
        <w:tc>
          <w:tcPr>
            <w:tcW w:w="5120" w:type="dxa"/>
            <w:vAlign w:val="bottom"/>
            <w:tcBorders>
              <w:top w:val="single" w:sz="8" w:color="F0FFFF"/>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Dividend payout ratio (GAAP)</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20.18</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9.91</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shd w:val="clear" w:color="auto" w:fill="F0FFFF"/>
          </w:tcPr>
          <w:p>
            <w:pPr>
              <w:ind w:left="9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F0FFFF"/>
          </w:tcPr>
          <w:p>
            <w:pPr>
              <w:ind w:left="940"/>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shd w:val="clear" w:color="auto" w:fill="F0FFFF"/>
          </w:tcPr>
          <w:p>
            <w:pPr>
              <w:ind w:left="9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12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sectPr>
          <w:pgSz w:w="11900" w:h="17038" w:orient="portrait"/>
          <w:cols w:equalWidth="0" w:num="1">
            <w:col w:w="11420"/>
          </w:cols>
          <w:pgMar w:left="240" w:top="904" w:right="239" w:bottom="0" w:gutter="0" w:footer="0" w:header="0"/>
          <w:type w:val="continuous"/>
        </w:sectPr>
      </w:pPr>
    </w:p>
    <w:p>
      <w:pPr>
        <w:spacing w:after="0"/>
        <w:rPr>
          <w:sz w:val="20"/>
          <w:szCs w:val="20"/>
          <w:color w:val="auto"/>
        </w:rPr>
      </w:pPr>
      <w:r>
        <w:rPr>
          <w:rFonts w:ascii="Arial" w:cs="Arial" w:eastAsia="Arial" w:hAnsi="Arial"/>
          <w:sz w:val="17"/>
          <w:szCs w:val="17"/>
          <w:b w:val="1"/>
          <w:bCs w:val="1"/>
          <w:color w:val="auto"/>
        </w:rPr>
        <w:t>Efficiency ratio reconciliation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Efficiency ratio - operating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Merger-related and other charges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Efficiency ratio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58.51%</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58.26%</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63.14%</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65.43%</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92.27%</w:t>
            </w:r>
          </w:p>
        </w:tc>
      </w:tr>
      <w:tr>
        <w:trPr>
          <w:trHeight w:val="237"/>
        </w:trPr>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5.45</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0"/>
        </w:trPr>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63.96</w:t>
            </w:r>
          </w:p>
        </w:tc>
        <w:tc>
          <w:tcPr>
            <w:tcW w:w="26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58.26</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26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65.43</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92.27</w:t>
            </w:r>
          </w:p>
        </w:tc>
        <w:tc>
          <w:tcPr>
            <w:tcW w:w="160" w:type="dxa"/>
            <w:vAlign w:val="bottom"/>
            <w:gridSpan w:val="2"/>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1"/>
        </w:trPr>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-616585</wp:posOffset>
            </wp:positionV>
            <wp:extent cx="72466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-342265</wp:posOffset>
            </wp:positionV>
            <wp:extent cx="72466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ectPr>
          <w:pgSz w:w="11900" w:h="17038" w:orient="portrait"/>
          <w:cols w:equalWidth="0" w:num="2">
            <w:col w:w="4400" w:space="720"/>
            <w:col w:w="6300"/>
          </w:cols>
          <w:pgMar w:left="240" w:top="904" w:right="239" w:bottom="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10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8"/>
                <w:szCs w:val="18"/>
                <w:color w:val="auto"/>
              </w:rPr>
              <w:t>Tangible common equity to assets</w:t>
            </w:r>
          </w:p>
        </w:tc>
        <w:tc>
          <w:tcPr>
            <w:tcW w:w="12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9.66%</w:t>
            </w:r>
          </w:p>
        </w:tc>
        <w:tc>
          <w:tcPr>
            <w:tcW w:w="128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9.60%</w:t>
            </w:r>
          </w:p>
        </w:tc>
        <w:tc>
          <w:tcPr>
            <w:tcW w:w="126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7.55%</w:t>
            </w:r>
          </w:p>
        </w:tc>
        <w:tc>
          <w:tcPr>
            <w:tcW w:w="128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5.54%</w:t>
            </w:r>
          </w:p>
        </w:tc>
        <w:tc>
          <w:tcPr>
            <w:tcW w:w="1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1000" w:type="dxa"/>
            <w:vAlign w:val="bottom"/>
          </w:tcPr>
          <w:p>
            <w:pPr>
              <w:jc w:val="right"/>
              <w:spacing w:after="0"/>
              <w:rPr>
                <w:sz w:val="20"/>
                <w:szCs w:val="20"/>
                <w:color w:val="auto"/>
              </w:rPr>
            </w:pPr>
            <w:r>
              <w:rPr>
                <w:rFonts w:ascii="Arial" w:cs="Arial" w:eastAsia="Arial" w:hAnsi="Arial"/>
                <w:sz w:val="18"/>
                <w:szCs w:val="18"/>
                <w:color w:val="auto"/>
              </w:rPr>
              <w:t>.08</w:t>
            </w:r>
          </w:p>
        </w:tc>
        <w:tc>
          <w:tcPr>
            <w:tcW w:w="260" w:type="dxa"/>
            <w:vAlign w:val="bottom"/>
          </w:tcPr>
          <w:p>
            <w:pPr>
              <w:spacing w:after="0"/>
              <w:rPr>
                <w:sz w:val="20"/>
                <w:szCs w:val="20"/>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.07</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2.76</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2.84</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top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Tangible equity to assets</w:t>
            </w: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9.74</w:t>
            </w:r>
          </w:p>
        </w:tc>
        <w:tc>
          <w:tcPr>
            <w:tcW w:w="260" w:type="dxa"/>
            <w:vAlign w:val="bottom"/>
            <w:tcBorders>
              <w:top w:val="single" w:sz="8" w:color="F0FFFF"/>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F0FFFF"/>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10.31</w:t>
            </w:r>
          </w:p>
        </w:tc>
        <w:tc>
          <w:tcPr>
            <w:tcW w:w="260" w:type="dxa"/>
            <w:vAlign w:val="bottom"/>
            <w:tcBorders>
              <w:top w:val="single" w:sz="8" w:color="F0FFFF"/>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8.38</w:t>
            </w:r>
          </w:p>
        </w:tc>
        <w:tc>
          <w:tcPr>
            <w:tcW w:w="280" w:type="dxa"/>
            <w:vAlign w:val="bottom"/>
            <w:tcBorders>
              <w:top w:val="single" w:sz="8" w:color="F0FFFF"/>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7.62</w:t>
            </w:r>
          </w:p>
        </w:tc>
        <w:tc>
          <w:tcPr>
            <w:tcW w:w="22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0"/>
                <w:szCs w:val="20"/>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.02</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.04</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0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Equity to assets (GAAP)</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10.27</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9.69</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10.35</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8.47</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7.75</w:t>
            </w:r>
          </w:p>
        </w:tc>
        <w:tc>
          <w:tcPr>
            <w:tcW w:w="2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00" w:type="dxa"/>
            <w:vAlign w:val="bottom"/>
            <w:shd w:val="clear" w:color="auto" w:fill="F0FFFF"/>
          </w:tcPr>
          <w:p>
            <w:pPr>
              <w:spacing w:after="0" w:line="256" w:lineRule="exact"/>
              <w:rPr>
                <w:sz w:val="20"/>
                <w:szCs w:val="20"/>
                <w:color w:val="auto"/>
              </w:rPr>
            </w:pPr>
            <w:r>
              <w:rPr>
                <w:rFonts w:ascii="Arial" w:cs="Arial" w:eastAsia="Arial" w:hAnsi="Arial"/>
                <w:sz w:val="18"/>
                <w:szCs w:val="18"/>
                <w:b w:val="1"/>
                <w:bCs w:val="1"/>
                <w:color w:val="auto"/>
                <w:w w:val="89"/>
              </w:rPr>
              <w:t xml:space="preserve">Tangible common equity to risk-weighted assets reconciliation </w:t>
            </w:r>
            <w:r>
              <w:rPr>
                <w:rFonts w:ascii="Arial" w:cs="Arial" w:eastAsia="Arial" w:hAnsi="Arial"/>
                <w:sz w:val="29"/>
                <w:szCs w:val="29"/>
                <w:b w:val="1"/>
                <w:bCs w:val="1"/>
                <w:color w:val="auto"/>
                <w:w w:val="89"/>
                <w:vertAlign w:val="superscript"/>
              </w:rPr>
              <w:t>(1)</w:t>
            </w:r>
          </w:p>
        </w:tc>
        <w:tc>
          <w:tcPr>
            <w:tcW w:w="100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280" w:type="dxa"/>
            <w:vAlign w:val="bottom"/>
            <w:shd w:val="clear" w:color="auto" w:fill="F0FFFF"/>
          </w:tcPr>
          <w:p>
            <w:pPr>
              <w:spacing w:after="0"/>
              <w:rPr>
                <w:sz w:val="22"/>
                <w:szCs w:val="22"/>
                <w:color w:val="auto"/>
              </w:rPr>
            </w:pPr>
          </w:p>
        </w:tc>
        <w:tc>
          <w:tcPr>
            <w:tcW w:w="100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Tangible common equity to risk-weighted assets</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12.82%</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13.82%</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13.18%</w:t>
            </w:r>
          </w:p>
        </w:tc>
        <w:tc>
          <w:tcPr>
            <w:tcW w:w="1280" w:type="dxa"/>
            <w:vAlign w:val="bottom"/>
            <w:gridSpan w:val="2"/>
          </w:tcPr>
          <w:p>
            <w:pPr>
              <w:jc w:val="right"/>
              <w:ind w:right="30"/>
              <w:spacing w:after="0"/>
              <w:rPr>
                <w:sz w:val="20"/>
                <w:szCs w:val="20"/>
                <w:color w:val="auto"/>
              </w:rPr>
            </w:pPr>
            <w:r>
              <w:rPr>
                <w:rFonts w:ascii="Arial" w:cs="Arial" w:eastAsia="Arial" w:hAnsi="Arial"/>
                <w:sz w:val="18"/>
                <w:szCs w:val="18"/>
                <w:color w:val="auto"/>
              </w:rPr>
              <w:t>8.26%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8"/>
                <w:szCs w:val="18"/>
                <w:color w:val="auto"/>
              </w:rPr>
              <w:t>Effect of other comprehensive income</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w:t>
            </w:r>
          </w:p>
        </w:tc>
        <w:tc>
          <w:tcPr>
            <w:tcW w:w="2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.39</w:t>
            </w:r>
          </w:p>
        </w:tc>
        <w:tc>
          <w:tcPr>
            <w:tcW w:w="12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.51</w:t>
            </w:r>
          </w:p>
        </w:tc>
        <w:tc>
          <w:tcPr>
            <w:tcW w:w="122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Effect of deferred tax limitation</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(2.05)</w:t>
            </w:r>
          </w:p>
        </w:tc>
        <w:tc>
          <w:tcPr>
            <w:tcW w:w="1280" w:type="dxa"/>
            <w:vAlign w:val="bottom"/>
            <w:gridSpan w:val="2"/>
          </w:tcPr>
          <w:p>
            <w:pPr>
              <w:jc w:val="right"/>
              <w:ind w:right="130"/>
              <w:spacing w:after="0"/>
              <w:rPr>
                <w:sz w:val="20"/>
                <w:szCs w:val="20"/>
                <w:color w:val="auto"/>
              </w:rPr>
            </w:pPr>
            <w:r>
              <w:rPr>
                <w:rFonts w:ascii="Arial" w:cs="Arial" w:eastAsia="Arial" w:hAnsi="Arial"/>
                <w:sz w:val="18"/>
                <w:szCs w:val="18"/>
                <w:color w:val="auto"/>
              </w:rPr>
              <w:t>(3.11)</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(4.26)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8"/>
                <w:szCs w:val="18"/>
                <w:color w:val="auto"/>
              </w:rPr>
              <w:t>Effect of trust preferred</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.08</w:t>
            </w:r>
          </w:p>
        </w:tc>
        <w:tc>
          <w:tcPr>
            <w:tcW w:w="2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1.04</w:t>
            </w:r>
          </w:p>
        </w:tc>
        <w:tc>
          <w:tcPr>
            <w:tcW w:w="12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1.15</w:t>
            </w:r>
          </w:p>
        </w:tc>
        <w:tc>
          <w:tcPr>
            <w:tcW w:w="122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2.39</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4.24</w:t>
            </w: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8"/>
                <w:szCs w:val="18"/>
                <w:color w:val="auto"/>
              </w:rPr>
              <w:t>Basel III intangibles transition adjustment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Basel III disallowed investments</w:t>
            </w: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(.03)</w:t>
            </w: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0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Tier I capital ratio (Regulatory)</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11.45</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12.06</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12.74</w:t>
            </w:r>
          </w:p>
        </w:tc>
        <w:tc>
          <w:tcPr>
            <w:tcW w:w="26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74"/>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14.16</w:t>
            </w:r>
          </w:p>
        </w:tc>
        <w:tc>
          <w:tcPr>
            <w:tcW w:w="280" w:type="dxa"/>
            <w:vAlign w:val="bottom"/>
            <w:tcBorders>
              <w:top w:val="single" w:sz="8" w:color="F0FFFF"/>
              <w:bottom w:val="single" w:sz="8" w:color="F0FFFF"/>
            </w:tcBorders>
            <w:shd w:val="clear" w:color="auto" w:fill="F0FFFF"/>
          </w:tcPr>
          <w:p>
            <w:pPr>
              <w:jc w:val="right"/>
              <w:ind w:right="30"/>
              <w:spacing w:after="0"/>
              <w:rPr>
                <w:sz w:val="20"/>
                <w:szCs w:val="20"/>
                <w:color w:val="auto"/>
              </w:rPr>
            </w:pPr>
            <w:r>
              <w:rPr>
                <w:rFonts w:ascii="Arial" w:cs="Arial" w:eastAsia="Arial" w:hAnsi="Arial"/>
                <w:sz w:val="18"/>
                <w:szCs w:val="18"/>
                <w:color w:val="auto"/>
                <w:w w:val="87"/>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13.69</w:t>
            </w:r>
          </w:p>
        </w:tc>
        <w:tc>
          <w:tcPr>
            <w:tcW w:w="2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40" w:right="4460" w:hanging="5632"/>
        <w:spacing w:after="0" w:line="673" w:lineRule="auto"/>
        <w:tabs>
          <w:tab w:leader="none" w:pos="237"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December 31, 2015 calculated under Basel III rules, which became effective January 1, 2015.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7038" w:orient="portrait"/>
          <w:cols w:equalWidth="0" w:num="1">
            <w:col w:w="11420"/>
          </w:cols>
          <w:pgMar w:left="240" w:top="904" w:right="239" w:bottom="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 (Continued) - Non-GAAP Performance Measures Reconciliation - Quarterly</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right="820"/>
        <w:spacing w:after="0" w:line="358" w:lineRule="auto"/>
        <w:rPr>
          <w:sz w:val="20"/>
          <w:szCs w:val="20"/>
          <w:color w:val="auto"/>
        </w:rPr>
      </w:pPr>
      <w:r>
        <w:rPr>
          <w:rFonts w:ascii="Arial" w:cs="Arial" w:eastAsia="Arial" w:hAnsi="Arial"/>
          <w:sz w:val="12"/>
          <w:szCs w:val="12"/>
          <w:i w:val="1"/>
          <w:iCs w:val="1"/>
          <w:color w:val="auto"/>
        </w:rPr>
        <w:t>(in thousands, except per share data; fully taxable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03263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revenue reconciliation</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Interest revenue - taxable equivalent</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Taxable equivalent adjustment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Interest revenue (GAAP)</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39"/>
        </w:trPr>
        <w:tc>
          <w:tcPr>
            <w:tcW w:w="100" w:type="dxa"/>
            <w:vAlign w:val="bottom"/>
          </w:tcPr>
          <w:p>
            <w:pPr>
              <w:spacing w:after="0"/>
              <w:rPr>
                <w:sz w:val="12"/>
                <w:szCs w:val="12"/>
                <w:color w:val="auto"/>
              </w:rPr>
            </w:pPr>
          </w:p>
        </w:tc>
        <w:tc>
          <w:tcPr>
            <w:tcW w:w="940" w:type="dxa"/>
            <w:vAlign w:val="bottom"/>
            <w:gridSpan w:val="2"/>
          </w:tcPr>
          <w:p>
            <w:pPr>
              <w:jc w:val="right"/>
              <w:ind w:right="420"/>
              <w:spacing w:after="0" w:line="139"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2"/>
                <w:szCs w:val="12"/>
                <w:color w:val="auto"/>
              </w:rPr>
            </w:pPr>
          </w:p>
        </w:tc>
        <w:tc>
          <w:tcPr>
            <w:tcW w:w="940" w:type="dxa"/>
            <w:vAlign w:val="bottom"/>
            <w:gridSpan w:val="2"/>
          </w:tcPr>
          <w:p>
            <w:pPr>
              <w:jc w:val="right"/>
              <w:ind w:right="480"/>
              <w:spacing w:after="0" w:line="139" w:lineRule="exact"/>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2"/>
                <w:szCs w:val="12"/>
                <w:color w:val="auto"/>
              </w:rPr>
            </w:pPr>
          </w:p>
        </w:tc>
        <w:tc>
          <w:tcPr>
            <w:tcW w:w="96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86"/>
              </w:rPr>
              <w:t>Second</w:t>
            </w:r>
          </w:p>
        </w:tc>
        <w:tc>
          <w:tcPr>
            <w:tcW w:w="100" w:type="dxa"/>
            <w:vAlign w:val="bottom"/>
          </w:tcPr>
          <w:p>
            <w:pPr>
              <w:spacing w:after="0"/>
              <w:rPr>
                <w:sz w:val="12"/>
                <w:szCs w:val="12"/>
                <w:color w:val="auto"/>
              </w:rPr>
            </w:pPr>
          </w:p>
        </w:tc>
        <w:tc>
          <w:tcPr>
            <w:tcW w:w="700" w:type="dxa"/>
            <w:vAlign w:val="bottom"/>
          </w:tcPr>
          <w:p>
            <w:pPr>
              <w:jc w:val="right"/>
              <w:ind w:right="188"/>
              <w:spacing w:after="0" w:line="139" w:lineRule="exact"/>
              <w:rPr>
                <w:sz w:val="20"/>
                <w:szCs w:val="20"/>
                <w:color w:val="auto"/>
              </w:rPr>
            </w:pPr>
            <w:r>
              <w:rPr>
                <w:rFonts w:ascii="Arial" w:cs="Arial" w:eastAsia="Arial" w:hAnsi="Arial"/>
                <w:sz w:val="14"/>
                <w:szCs w:val="14"/>
                <w:b w:val="1"/>
                <w:bCs w:val="1"/>
                <w:color w:val="auto"/>
              </w:rPr>
              <w:t>First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00"/>
              <w:spacing w:after="0" w:line="139" w:lineRule="exact"/>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39"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39" w:lineRule="exact"/>
              <w:rPr>
                <w:sz w:val="20"/>
                <w:szCs w:val="20"/>
                <w:color w:val="auto"/>
              </w:rPr>
            </w:pPr>
            <w:r>
              <w:rPr>
                <w:rFonts w:ascii="Arial" w:cs="Arial" w:eastAsia="Arial" w:hAnsi="Arial"/>
                <w:sz w:val="14"/>
                <w:szCs w:val="14"/>
                <w:b w:val="1"/>
                <w:bCs w:val="1"/>
                <w:color w:val="auto"/>
                <w:w w:val="94"/>
              </w:rPr>
              <w:t>Second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88"/>
              <w:spacing w:after="0" w:line="139" w:lineRule="exact"/>
              <w:rPr>
                <w:sz w:val="20"/>
                <w:szCs w:val="20"/>
                <w:color w:val="auto"/>
              </w:rPr>
            </w:pPr>
            <w:r>
              <w:rPr>
                <w:rFonts w:ascii="Arial" w:cs="Arial" w:eastAsia="Arial" w:hAnsi="Arial"/>
                <w:sz w:val="14"/>
                <w:szCs w:val="14"/>
                <w:b w:val="1"/>
                <w:bCs w:val="1"/>
                <w:color w:val="auto"/>
              </w:rPr>
              <w:t>First</w:t>
            </w:r>
          </w:p>
        </w:tc>
        <w:tc>
          <w:tcPr>
            <w:tcW w:w="40" w:type="dxa"/>
            <w:vAlign w:val="bottom"/>
            <w:gridSpan w:val="2"/>
          </w:tcPr>
          <w:p>
            <w:pPr>
              <w:spacing w:after="0"/>
              <w:rPr>
                <w:sz w:val="12"/>
                <w:szCs w:val="12"/>
                <w:color w:val="auto"/>
              </w:rPr>
            </w:pPr>
          </w:p>
        </w:tc>
      </w:tr>
      <w:tr>
        <w:trPr>
          <w:trHeight w:val="178"/>
        </w:trPr>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8"/>
              </w:rPr>
              <w:t>Quarter</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40" w:type="dxa"/>
            <w:vAlign w:val="bottom"/>
            <w:gridSpan w:val="2"/>
          </w:tcPr>
          <w:p>
            <w:pPr>
              <w:spacing w:after="0"/>
              <w:rPr>
                <w:sz w:val="15"/>
                <w:szCs w:val="15"/>
                <w:color w:val="auto"/>
              </w:rPr>
            </w:pPr>
          </w:p>
        </w:tc>
      </w:tr>
      <w:tr>
        <w:trPr>
          <w:trHeight w:val="427"/>
        </w:trPr>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79,646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71,120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66,134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62,909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64,353</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63,338</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61,783</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60,495</w:t>
            </w:r>
          </w:p>
        </w:tc>
        <w:tc>
          <w:tcPr>
            <w:tcW w:w="20" w:type="dxa"/>
            <w:vAlign w:val="bottom"/>
          </w:tcPr>
          <w:p>
            <w:pPr>
              <w:spacing w:after="0"/>
              <w:rPr>
                <w:sz w:val="24"/>
                <w:szCs w:val="24"/>
                <w:color w:val="auto"/>
              </w:rPr>
            </w:pPr>
          </w:p>
        </w:tc>
      </w:tr>
      <w:tr>
        <w:trPr>
          <w:trHeight w:val="188"/>
        </w:trPr>
        <w:tc>
          <w:tcPr>
            <w:tcW w:w="10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(326)</w:t>
            </w: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(398)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(377)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rPr>
              <w:t>(357)</w:t>
            </w:r>
          </w:p>
        </w:tc>
      </w:tr>
      <w:tr>
        <w:trPr>
          <w:trHeight w:val="162"/>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79,362</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70,828</w:t>
            </w:r>
          </w:p>
        </w:tc>
        <w:tc>
          <w:tcPr>
            <w:tcW w:w="2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65,808</w:t>
            </w: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62,534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63,955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62,933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61,406</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60,138</w:t>
            </w:r>
          </w:p>
        </w:tc>
        <w:tc>
          <w:tcPr>
            <w:tcW w:w="20" w:type="dxa"/>
            <w:vAlign w:val="bottom"/>
          </w:tcPr>
          <w:p>
            <w:pPr>
              <w:spacing w:after="0"/>
              <w:rPr>
                <w:sz w:val="14"/>
                <w:szCs w:val="14"/>
                <w:color w:val="auto"/>
              </w:rPr>
            </w:pPr>
          </w:p>
        </w:tc>
      </w:tr>
      <w:tr>
        <w:trPr>
          <w:trHeight w:val="21"/>
        </w:trPr>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-445135</wp:posOffset>
            </wp:positionV>
            <wp:extent cx="7246620" cy="946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-256540</wp:posOffset>
            </wp:positionV>
            <wp:extent cx="7246620" cy="111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620" w:space="720"/>
            <w:col w:w="808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vMerge w:val="restart"/>
          </w:tcPr>
          <w:p>
            <w:pPr>
              <w:spacing w:after="0"/>
              <w:rPr>
                <w:sz w:val="11"/>
                <w:szCs w:val="11"/>
                <w:color w:val="auto"/>
              </w:rPr>
            </w:pPr>
          </w:p>
        </w:tc>
        <w:tc>
          <w:tcPr>
            <w:tcW w:w="33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Net interest revenue reconciliation</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Net interest revenue - taxable equivalent</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74,048</w:t>
            </w:r>
          </w:p>
        </w:tc>
        <w:tc>
          <w:tcPr>
            <w:tcW w:w="24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65,718</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61,317</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57,617</w:t>
            </w:r>
          </w:p>
        </w:tc>
        <w:tc>
          <w:tcPr>
            <w:tcW w:w="320" w:type="dxa"/>
            <w:vAlign w:val="bottom"/>
            <w:gridSpan w:val="2"/>
            <w:shd w:val="clear" w:color="auto" w:fill="F0FF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58,332</w:t>
            </w:r>
          </w:p>
        </w:tc>
        <w:tc>
          <w:tcPr>
            <w:tcW w:w="32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56,967</w:t>
            </w:r>
          </w:p>
        </w:tc>
        <w:tc>
          <w:tcPr>
            <w:tcW w:w="32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54,950</w:t>
            </w:r>
          </w:p>
        </w:tc>
        <w:tc>
          <w:tcPr>
            <w:tcW w:w="32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54,169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Taxable equivalent adjustment</w:t>
            </w:r>
          </w:p>
        </w:tc>
        <w:tc>
          <w:tcPr>
            <w:tcW w:w="2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(284)</w:t>
            </w:r>
          </w:p>
        </w:tc>
        <w:tc>
          <w:tcPr>
            <w:tcW w:w="2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(292)</w:t>
            </w:r>
          </w:p>
        </w:tc>
        <w:tc>
          <w:tcPr>
            <w:tcW w:w="2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(326)</w:t>
            </w:r>
          </w:p>
        </w:tc>
        <w:tc>
          <w:tcPr>
            <w:tcW w:w="24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(398)</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(377)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32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Net interest revenue (GAAP)</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73,764</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65,426</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60,991</w:t>
            </w:r>
          </w:p>
        </w:tc>
        <w:tc>
          <w:tcPr>
            <w:tcW w:w="26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57,242</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57,934</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56,562</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54,573</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53,812</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Total revenue reconciliation</w:t>
            </w: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Total operating revenue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95,032</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83,315</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77,683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71,499</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71,355</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69,379</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66,893</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63,845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4"/>
                <w:szCs w:val="14"/>
                <w:color w:val="auto"/>
              </w:rPr>
              <w:t>Taxable equivalent adjustment</w:t>
            </w:r>
          </w:p>
        </w:tc>
        <w:tc>
          <w:tcPr>
            <w:tcW w:w="24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(284)</w:t>
            </w:r>
          </w:p>
        </w:tc>
        <w:tc>
          <w:tcPr>
            <w:tcW w:w="24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(292)</w:t>
            </w:r>
          </w:p>
        </w:tc>
        <w:tc>
          <w:tcPr>
            <w:tcW w:w="24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(326)</w:t>
            </w:r>
          </w:p>
        </w:tc>
        <w:tc>
          <w:tcPr>
            <w:tcW w:w="24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(398)</w:t>
            </w:r>
          </w:p>
        </w:tc>
        <w:tc>
          <w:tcPr>
            <w:tcW w:w="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(405)</w:t>
            </w:r>
          </w:p>
        </w:tc>
        <w:tc>
          <w:tcPr>
            <w:tcW w:w="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(377)</w:t>
            </w:r>
          </w:p>
        </w:tc>
        <w:tc>
          <w:tcPr>
            <w:tcW w:w="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tcPr>
          <w:p>
            <w:pPr>
              <w:ind w:left="160"/>
              <w:spacing w:after="0" w:line="149" w:lineRule="exact"/>
              <w:rPr>
                <w:sz w:val="20"/>
                <w:szCs w:val="20"/>
                <w:color w:val="auto"/>
              </w:rPr>
            </w:pPr>
            <w:r>
              <w:rPr>
                <w:rFonts w:ascii="Arial" w:cs="Arial" w:eastAsia="Arial" w:hAnsi="Arial"/>
                <w:sz w:val="14"/>
                <w:szCs w:val="14"/>
                <w:color w:val="auto"/>
              </w:rPr>
              <w:t>Total revenue (GAAP)</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94,748</w:t>
            </w:r>
          </w:p>
        </w:tc>
        <w:tc>
          <w:tcPr>
            <w:tcW w:w="24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83,023</w:t>
            </w:r>
          </w:p>
        </w:tc>
        <w:tc>
          <w:tcPr>
            <w:tcW w:w="24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77,357</w:t>
            </w:r>
          </w:p>
        </w:tc>
        <w:tc>
          <w:tcPr>
            <w:tcW w:w="26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71,124</w:t>
            </w:r>
          </w:p>
        </w:tc>
        <w:tc>
          <w:tcPr>
            <w:tcW w:w="14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70,957</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68,974</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66,516</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63,488</w:t>
            </w:r>
          </w:p>
        </w:tc>
        <w:tc>
          <w:tcPr>
            <w:tcW w:w="10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3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Expense reconciliation</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Expenses - operating</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56,410</w:t>
            </w:r>
          </w:p>
        </w:tc>
        <w:tc>
          <w:tcPr>
            <w:tcW w:w="24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48,525</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45,247</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43,061</w:t>
            </w:r>
          </w:p>
        </w:tc>
        <w:tc>
          <w:tcPr>
            <w:tcW w:w="320" w:type="dxa"/>
            <w:vAlign w:val="bottom"/>
            <w:gridSpan w:val="2"/>
            <w:shd w:val="clear" w:color="auto" w:fill="F0FF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41,919</w:t>
            </w:r>
          </w:p>
        </w:tc>
        <w:tc>
          <w:tcPr>
            <w:tcW w:w="32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41,364</w:t>
            </w:r>
          </w:p>
        </w:tc>
        <w:tc>
          <w:tcPr>
            <w:tcW w:w="32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40,532</w:t>
            </w:r>
          </w:p>
        </w:tc>
        <w:tc>
          <w:tcPr>
            <w:tcW w:w="32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39,050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Merger-related and other charges</w:t>
            </w:r>
          </w:p>
        </w:tc>
        <w:tc>
          <w:tcPr>
            <w:tcW w:w="2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9,078</w:t>
            </w:r>
          </w:p>
        </w:tc>
        <w:tc>
          <w:tcPr>
            <w:tcW w:w="2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5,744</w:t>
            </w:r>
          </w:p>
        </w:tc>
        <w:tc>
          <w:tcPr>
            <w:tcW w:w="2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3,173</w:t>
            </w:r>
          </w:p>
        </w:tc>
        <w:tc>
          <w:tcPr>
            <w:tcW w:w="2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32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Expenses (GAAP)</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65,488</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54,269</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48,420</w:t>
            </w:r>
          </w:p>
        </w:tc>
        <w:tc>
          <w:tcPr>
            <w:tcW w:w="26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43,061</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41,919</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41,364</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40,532</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39,050</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Income before taxes reconciliation</w:t>
            </w: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Income before taxes - operating</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38,622</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34,790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32,436</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28,438</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29,436</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28,015</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26,361</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2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(284)</w:t>
            </w:r>
          </w:p>
        </w:tc>
        <w:tc>
          <w:tcPr>
            <w:tcW w:w="2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(292)</w:t>
            </w:r>
          </w:p>
        </w:tc>
        <w:tc>
          <w:tcPr>
            <w:tcW w:w="2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(326)</w:t>
            </w:r>
          </w:p>
        </w:tc>
        <w:tc>
          <w:tcPr>
            <w:tcW w:w="2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(375)</w:t>
            </w: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(398)</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(405)</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(377)</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Merger-related and other charges</w:t>
            </w:r>
          </w:p>
        </w:tc>
        <w:tc>
          <w:tcPr>
            <w:tcW w:w="2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(9,078)</w:t>
            </w:r>
          </w:p>
        </w:tc>
        <w:tc>
          <w:tcPr>
            <w:tcW w:w="2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(5,744)</w:t>
            </w:r>
          </w:p>
        </w:tc>
        <w:tc>
          <w:tcPr>
            <w:tcW w:w="2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(3,173)</w:t>
            </w:r>
          </w:p>
        </w:tc>
        <w:tc>
          <w:tcPr>
            <w:tcW w:w="2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32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Income before taxes (GAAP)</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29,260</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28,754</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28,937</w:t>
            </w:r>
          </w:p>
        </w:tc>
        <w:tc>
          <w:tcPr>
            <w:tcW w:w="26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28,063</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29,038</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27,610</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25,984</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24,438</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Income tax expense reconciliation</w:t>
            </w: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Income tax expense - operating</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14,822</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13,064</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12,447</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10,768</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11,189</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10,399</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10,004</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240" w:type="dxa"/>
            <w:vAlign w:val="bottom"/>
            <w:shd w:val="clear" w:color="auto" w:fill="F0FFFF"/>
          </w:tcPr>
          <w:p>
            <w:pPr>
              <w:spacing w:after="0"/>
              <w:rPr>
                <w:sz w:val="12"/>
                <w:szCs w:val="12"/>
                <w:color w:val="auto"/>
              </w:rPr>
            </w:pPr>
          </w:p>
        </w:tc>
        <w:tc>
          <w:tcPr>
            <w:tcW w:w="80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(284)</w:t>
            </w:r>
          </w:p>
        </w:tc>
        <w:tc>
          <w:tcPr>
            <w:tcW w:w="2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(292)</w:t>
            </w:r>
          </w:p>
        </w:tc>
        <w:tc>
          <w:tcPr>
            <w:tcW w:w="24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(326)</w:t>
            </w:r>
          </w:p>
        </w:tc>
        <w:tc>
          <w:tcPr>
            <w:tcW w:w="2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(375)</w:t>
            </w: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(398)</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(405)</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(377)</w:t>
            </w: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Merger-related and other charges, tax benefit</w:t>
            </w:r>
          </w:p>
        </w:tc>
        <w:tc>
          <w:tcPr>
            <w:tcW w:w="2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(3,486)</w:t>
            </w:r>
          </w:p>
        </w:tc>
        <w:tc>
          <w:tcPr>
            <w:tcW w:w="2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(1,905)</w:t>
            </w:r>
          </w:p>
        </w:tc>
        <w:tc>
          <w:tcPr>
            <w:tcW w:w="24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(997)</w:t>
            </w:r>
          </w:p>
        </w:tc>
        <w:tc>
          <w:tcPr>
            <w:tcW w:w="2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32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Income tax expense (GAAP)</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11,052</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10,867</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11,124</w:t>
            </w:r>
          </w:p>
        </w:tc>
        <w:tc>
          <w:tcPr>
            <w:tcW w:w="26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10,393</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10,791</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9,994</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9,627</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9,038</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Net income reconciliation</w:t>
            </w: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Net income - operating</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23,800</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21,726</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19,989</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17,670</w:t>
            </w:r>
          </w:p>
        </w:tc>
        <w:tc>
          <w:tcPr>
            <w:tcW w:w="32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18,247</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17,616</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16,357</w:t>
            </w:r>
          </w:p>
        </w:tc>
        <w:tc>
          <w:tcPr>
            <w:tcW w:w="3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15,400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Merger-related and other charges, net of income tax</w:t>
            </w: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4"/>
                <w:szCs w:val="14"/>
                <w:color w:val="auto"/>
              </w:rPr>
              <w:t>benefit</w:t>
            </w:r>
          </w:p>
        </w:tc>
        <w:tc>
          <w:tcPr>
            <w:tcW w:w="24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(5,592)</w:t>
            </w:r>
          </w:p>
        </w:tc>
        <w:tc>
          <w:tcPr>
            <w:tcW w:w="240" w:type="dxa"/>
            <w:vAlign w:val="bottom"/>
            <w:shd w:val="clear" w:color="auto" w:fill="F0FFFF"/>
          </w:tcPr>
          <w:p>
            <w:pPr>
              <w:spacing w:after="0"/>
              <w:rPr>
                <w:sz w:val="17"/>
                <w:szCs w:val="17"/>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(3,839)</w:t>
            </w:r>
          </w:p>
        </w:tc>
        <w:tc>
          <w:tcPr>
            <w:tcW w:w="240" w:type="dxa"/>
            <w:vAlign w:val="bottom"/>
            <w:shd w:val="clear" w:color="auto" w:fill="F0FFFF"/>
          </w:tcPr>
          <w:p>
            <w:pPr>
              <w:spacing w:after="0"/>
              <w:rPr>
                <w:sz w:val="17"/>
                <w:szCs w:val="17"/>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(2,176)</w:t>
            </w:r>
          </w:p>
        </w:tc>
        <w:tc>
          <w:tcPr>
            <w:tcW w:w="24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tcPr>
          <w:p>
            <w:pPr>
              <w:ind w:left="160"/>
              <w:spacing w:after="0" w:line="149" w:lineRule="exact"/>
              <w:rPr>
                <w:sz w:val="20"/>
                <w:szCs w:val="20"/>
                <w:color w:val="auto"/>
              </w:rPr>
            </w:pPr>
            <w:r>
              <w:rPr>
                <w:rFonts w:ascii="Arial" w:cs="Arial" w:eastAsia="Arial" w:hAnsi="Arial"/>
                <w:sz w:val="14"/>
                <w:szCs w:val="14"/>
                <w:color w:val="auto"/>
              </w:rPr>
              <w:t>Net income (GAAP)</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18,208</w:t>
            </w:r>
          </w:p>
        </w:tc>
        <w:tc>
          <w:tcPr>
            <w:tcW w:w="24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17,887</w:t>
            </w:r>
          </w:p>
        </w:tc>
        <w:tc>
          <w:tcPr>
            <w:tcW w:w="24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17,813</w:t>
            </w:r>
          </w:p>
        </w:tc>
        <w:tc>
          <w:tcPr>
            <w:tcW w:w="26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17,670</w:t>
            </w:r>
          </w:p>
        </w:tc>
        <w:tc>
          <w:tcPr>
            <w:tcW w:w="14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18,247</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17,616</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16,357</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15,400</w:t>
            </w:r>
          </w:p>
        </w:tc>
        <w:tc>
          <w:tcPr>
            <w:tcW w:w="10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3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3320" w:type="dxa"/>
            <w:vAlign w:val="bottom"/>
          </w:tcPr>
          <w:p>
            <w:pPr>
              <w:spacing w:after="0" w:line="126" w:lineRule="exact"/>
              <w:rPr>
                <w:sz w:val="20"/>
                <w:szCs w:val="20"/>
                <w:color w:val="auto"/>
              </w:rPr>
            </w:pPr>
            <w:r>
              <w:rPr>
                <w:rFonts w:ascii="Arial" w:cs="Arial" w:eastAsia="Arial" w:hAnsi="Arial"/>
                <w:sz w:val="14"/>
                <w:szCs w:val="14"/>
                <w:b w:val="1"/>
                <w:bCs w:val="1"/>
                <w:color w:val="auto"/>
              </w:rPr>
              <w:t>Net income available to common shareholders</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Arial" w:cs="Arial" w:eastAsia="Arial" w:hAnsi="Arial"/>
                <w:sz w:val="14"/>
                <w:szCs w:val="14"/>
                <w:b w:val="1"/>
                <w:bCs w:val="1"/>
                <w:color w:val="auto"/>
              </w:rPr>
              <w:t>reconciliation</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Net income available to common shareholders -</w:t>
            </w: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4"/>
                <w:szCs w:val="14"/>
                <w:color w:val="auto"/>
              </w:rPr>
              <w:t>operating</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23,775</w:t>
            </w:r>
          </w:p>
        </w:tc>
        <w:tc>
          <w:tcPr>
            <w:tcW w:w="24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21,701</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19,972</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17,670</w:t>
            </w:r>
          </w:p>
        </w:tc>
        <w:tc>
          <w:tcPr>
            <w:tcW w:w="320" w:type="dxa"/>
            <w:vAlign w:val="bottom"/>
            <w:gridSpan w:val="2"/>
            <w:shd w:val="clear" w:color="auto" w:fill="F0FFFF"/>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18,247</w:t>
            </w:r>
          </w:p>
        </w:tc>
        <w:tc>
          <w:tcPr>
            <w:tcW w:w="320" w:type="dxa"/>
            <w:vAlign w:val="bottom"/>
            <w:gridSpan w:val="2"/>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17,616</w:t>
            </w:r>
          </w:p>
        </w:tc>
        <w:tc>
          <w:tcPr>
            <w:tcW w:w="320" w:type="dxa"/>
            <w:vAlign w:val="bottom"/>
            <w:gridSpan w:val="2"/>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16,357</w:t>
            </w:r>
          </w:p>
        </w:tc>
        <w:tc>
          <w:tcPr>
            <w:tcW w:w="320" w:type="dxa"/>
            <w:vAlign w:val="bottom"/>
            <w:gridSpan w:val="2"/>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14,961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320" w:type="dxa"/>
            <w:vAlign w:val="bottom"/>
          </w:tcPr>
          <w:p>
            <w:pPr>
              <w:spacing w:after="0" w:line="130" w:lineRule="exact"/>
              <w:rPr>
                <w:sz w:val="20"/>
                <w:szCs w:val="20"/>
                <w:color w:val="auto"/>
              </w:rPr>
            </w:pPr>
            <w:r>
              <w:rPr>
                <w:rFonts w:ascii="Arial" w:cs="Arial" w:eastAsia="Arial" w:hAnsi="Arial"/>
                <w:sz w:val="14"/>
                <w:szCs w:val="14"/>
                <w:color w:val="auto"/>
              </w:rPr>
              <w:t>Merger-related and other charges, net of income tax</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20" w:type="dxa"/>
            <w:vAlign w:val="bottom"/>
          </w:tcPr>
          <w:p>
            <w:pPr>
              <w:ind w:left="160"/>
              <w:spacing w:after="0"/>
              <w:rPr>
                <w:sz w:val="20"/>
                <w:szCs w:val="20"/>
                <w:color w:val="auto"/>
              </w:rPr>
            </w:pPr>
            <w:r>
              <w:rPr>
                <w:rFonts w:ascii="Arial" w:cs="Arial" w:eastAsia="Arial" w:hAnsi="Arial"/>
                <w:sz w:val="14"/>
                <w:szCs w:val="14"/>
                <w:color w:val="auto"/>
              </w:rPr>
              <w:t>benefit</w:t>
            </w:r>
          </w:p>
        </w:tc>
        <w:tc>
          <w:tcPr>
            <w:tcW w:w="24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(5,592)</w:t>
            </w:r>
          </w:p>
        </w:tc>
        <w:tc>
          <w:tcPr>
            <w:tcW w:w="2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(3,839)</w:t>
            </w:r>
          </w:p>
        </w:tc>
        <w:tc>
          <w:tcPr>
            <w:tcW w:w="24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(2,176)</w:t>
            </w:r>
          </w:p>
        </w:tc>
        <w:tc>
          <w:tcPr>
            <w:tcW w:w="2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320" w:type="dxa"/>
            <w:vAlign w:val="bottom"/>
            <w:tcBorders>
              <w:top w:val="single" w:sz="8" w:color="F0FFFF"/>
            </w:tcBorders>
            <w:shd w:val="clear" w:color="auto" w:fill="F0FFFF"/>
          </w:tcPr>
          <w:p>
            <w:pPr>
              <w:ind w:left="160"/>
              <w:spacing w:after="0" w:line="116" w:lineRule="exact"/>
              <w:rPr>
                <w:sz w:val="20"/>
                <w:szCs w:val="20"/>
                <w:color w:val="auto"/>
              </w:rPr>
            </w:pPr>
            <w:r>
              <w:rPr>
                <w:rFonts w:ascii="Arial" w:cs="Arial" w:eastAsia="Arial" w:hAnsi="Arial"/>
                <w:sz w:val="13"/>
                <w:szCs w:val="13"/>
                <w:color w:val="auto"/>
              </w:rPr>
              <w:t>Net income available to common shareholders</w:t>
            </w:r>
          </w:p>
        </w:tc>
        <w:tc>
          <w:tcPr>
            <w:tcW w:w="240" w:type="dxa"/>
            <w:vAlign w:val="bottom"/>
            <w:tcBorders>
              <w:top w:val="single" w:sz="8" w:color="auto"/>
            </w:tcBorders>
            <w:shd w:val="clear" w:color="auto" w:fill="F0FFFF"/>
          </w:tcPr>
          <w:p>
            <w:pPr>
              <w:spacing w:after="0"/>
              <w:rPr>
                <w:sz w:val="10"/>
                <w:szCs w:val="10"/>
                <w:color w:val="auto"/>
              </w:rPr>
            </w:pPr>
          </w:p>
        </w:tc>
        <w:tc>
          <w:tcPr>
            <w:tcW w:w="560" w:type="dxa"/>
            <w:vAlign w:val="bottom"/>
            <w:tcBorders>
              <w:top w:val="single" w:sz="8" w:color="auto"/>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auto"/>
            </w:tcBorders>
            <w:shd w:val="clear" w:color="auto" w:fill="F0FFFF"/>
          </w:tcPr>
          <w:p>
            <w:pPr>
              <w:spacing w:after="0"/>
              <w:rPr>
                <w:sz w:val="10"/>
                <w:szCs w:val="10"/>
                <w:color w:val="auto"/>
              </w:rPr>
            </w:pPr>
          </w:p>
        </w:tc>
        <w:tc>
          <w:tcPr>
            <w:tcW w:w="580" w:type="dxa"/>
            <w:vAlign w:val="bottom"/>
            <w:tcBorders>
              <w:top w:val="single" w:sz="8" w:color="auto"/>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auto"/>
            </w:tcBorders>
            <w:shd w:val="clear" w:color="auto" w:fill="F0FFFF"/>
          </w:tcPr>
          <w:p>
            <w:pPr>
              <w:spacing w:after="0"/>
              <w:rPr>
                <w:sz w:val="10"/>
                <w:szCs w:val="10"/>
                <w:color w:val="auto"/>
              </w:rPr>
            </w:pPr>
          </w:p>
        </w:tc>
        <w:tc>
          <w:tcPr>
            <w:tcW w:w="560" w:type="dxa"/>
            <w:vAlign w:val="bottom"/>
            <w:tcBorders>
              <w:top w:val="single" w:sz="8" w:color="auto"/>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auto"/>
            </w:tcBorders>
            <w:shd w:val="clear" w:color="auto" w:fill="F0FFFF"/>
          </w:tcPr>
          <w:p>
            <w:pPr>
              <w:spacing w:after="0"/>
              <w:rPr>
                <w:sz w:val="10"/>
                <w:szCs w:val="10"/>
                <w:color w:val="auto"/>
              </w:rPr>
            </w:pPr>
          </w:p>
        </w:tc>
        <w:tc>
          <w:tcPr>
            <w:tcW w:w="560" w:type="dxa"/>
            <w:vAlign w:val="bottom"/>
            <w:tcBorders>
              <w:top w:val="single" w:sz="8" w:color="auto"/>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220" w:type="dxa"/>
            <w:vAlign w:val="bottom"/>
            <w:tcBorders>
              <w:top w:val="single" w:sz="8" w:color="auto"/>
            </w:tcBorders>
            <w:shd w:val="clear" w:color="auto" w:fill="F0FFFF"/>
          </w:tcPr>
          <w:p>
            <w:pPr>
              <w:spacing w:after="0"/>
              <w:rPr>
                <w:sz w:val="10"/>
                <w:szCs w:val="10"/>
                <w:color w:val="auto"/>
              </w:rPr>
            </w:pPr>
          </w:p>
        </w:tc>
        <w:tc>
          <w:tcPr>
            <w:tcW w:w="560" w:type="dxa"/>
            <w:vAlign w:val="bottom"/>
            <w:tcBorders>
              <w:top w:val="single" w:sz="8" w:color="auto"/>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auto"/>
            </w:tcBorders>
            <w:shd w:val="clear" w:color="auto" w:fill="F0FFFF"/>
          </w:tcPr>
          <w:p>
            <w:pPr>
              <w:spacing w:after="0"/>
              <w:rPr>
                <w:sz w:val="10"/>
                <w:szCs w:val="10"/>
                <w:color w:val="auto"/>
              </w:rPr>
            </w:pPr>
          </w:p>
        </w:tc>
        <w:tc>
          <w:tcPr>
            <w:tcW w:w="560" w:type="dxa"/>
            <w:vAlign w:val="bottom"/>
            <w:tcBorders>
              <w:top w:val="single" w:sz="8" w:color="auto"/>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auto"/>
            </w:tcBorders>
            <w:shd w:val="clear" w:color="auto" w:fill="F0FFFF"/>
          </w:tcPr>
          <w:p>
            <w:pPr>
              <w:spacing w:after="0"/>
              <w:rPr>
                <w:sz w:val="10"/>
                <w:szCs w:val="10"/>
                <w:color w:val="auto"/>
              </w:rPr>
            </w:pPr>
          </w:p>
        </w:tc>
        <w:tc>
          <w:tcPr>
            <w:tcW w:w="560" w:type="dxa"/>
            <w:vAlign w:val="bottom"/>
            <w:tcBorders>
              <w:top w:val="single" w:sz="8" w:color="auto"/>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auto"/>
            </w:tcBorders>
            <w:shd w:val="clear" w:color="auto" w:fill="F0FFFF"/>
          </w:tcPr>
          <w:p>
            <w:pPr>
              <w:spacing w:after="0"/>
              <w:rPr>
                <w:sz w:val="10"/>
                <w:szCs w:val="10"/>
                <w:color w:val="auto"/>
              </w:rPr>
            </w:pPr>
          </w:p>
        </w:tc>
        <w:tc>
          <w:tcPr>
            <w:tcW w:w="56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20" w:type="dxa"/>
            <w:vAlign w:val="bottom"/>
            <w:shd w:val="clear" w:color="auto" w:fill="F0FFFF"/>
          </w:tcPr>
          <w:p>
            <w:pPr>
              <w:ind w:left="320"/>
              <w:spacing w:after="0"/>
              <w:rPr>
                <w:sz w:val="20"/>
                <w:szCs w:val="20"/>
                <w:color w:val="auto"/>
              </w:rPr>
            </w:pPr>
            <w:r>
              <w:rPr>
                <w:rFonts w:ascii="Arial" w:cs="Arial" w:eastAsia="Arial" w:hAnsi="Arial"/>
                <w:sz w:val="14"/>
                <w:szCs w:val="14"/>
                <w:color w:val="auto"/>
              </w:rPr>
              <w:t>(GAAP)</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18,183</w:t>
            </w:r>
          </w:p>
        </w:tc>
        <w:tc>
          <w:tcPr>
            <w:tcW w:w="240" w:type="dxa"/>
            <w:vAlign w:val="bottom"/>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17,862</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17,796</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17,670</w:t>
            </w:r>
          </w:p>
        </w:tc>
        <w:tc>
          <w:tcPr>
            <w:tcW w:w="320" w:type="dxa"/>
            <w:vAlign w:val="bottom"/>
            <w:gridSpan w:val="2"/>
            <w:shd w:val="clear" w:color="auto" w:fill="F0FFFF"/>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18,247</w:t>
            </w:r>
          </w:p>
        </w:tc>
        <w:tc>
          <w:tcPr>
            <w:tcW w:w="320" w:type="dxa"/>
            <w:vAlign w:val="bottom"/>
            <w:gridSpan w:val="2"/>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17,616</w:t>
            </w:r>
          </w:p>
        </w:tc>
        <w:tc>
          <w:tcPr>
            <w:tcW w:w="320" w:type="dxa"/>
            <w:vAlign w:val="bottom"/>
            <w:gridSpan w:val="2"/>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16,357</w:t>
            </w:r>
          </w:p>
        </w:tc>
        <w:tc>
          <w:tcPr>
            <w:tcW w:w="320" w:type="dxa"/>
            <w:vAlign w:val="bottom"/>
            <w:gridSpan w:val="2"/>
            <w:shd w:val="clear" w:color="auto" w:fill="F0FFFF"/>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14,961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Diluted income per common share reconciliation</w:t>
            </w: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Diluted income per common share - operating</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.33</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.33</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.32</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.29</w:t>
            </w:r>
          </w:p>
        </w:tc>
        <w:tc>
          <w:tcPr>
            <w:tcW w:w="32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.30</w:t>
            </w:r>
          </w:p>
        </w:tc>
        <w:tc>
          <w:tcPr>
            <w:tcW w:w="3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.29</w:t>
            </w:r>
          </w:p>
        </w:tc>
        <w:tc>
          <w:tcPr>
            <w:tcW w:w="3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.27</w:t>
            </w:r>
          </w:p>
        </w:tc>
        <w:tc>
          <w:tcPr>
            <w:tcW w:w="32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4"/>
                <w:szCs w:val="14"/>
                <w:color w:val="auto"/>
              </w:rPr>
              <w:t>Merger-related and other charges</w:t>
            </w:r>
          </w:p>
        </w:tc>
        <w:tc>
          <w:tcPr>
            <w:tcW w:w="240" w:type="dxa"/>
            <w:vAlign w:val="bottom"/>
            <w:shd w:val="clear" w:color="auto" w:fill="F0FFFF"/>
          </w:tcPr>
          <w:p>
            <w:pPr>
              <w:spacing w:after="0"/>
              <w:rPr>
                <w:sz w:val="15"/>
                <w:szCs w:val="15"/>
                <w:color w:val="auto"/>
              </w:rPr>
            </w:pPr>
          </w:p>
        </w:tc>
        <w:tc>
          <w:tcPr>
            <w:tcW w:w="80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(.08)</w:t>
            </w:r>
          </w:p>
        </w:tc>
        <w:tc>
          <w:tcPr>
            <w:tcW w:w="24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(.06)</w:t>
            </w:r>
          </w:p>
        </w:tc>
        <w:tc>
          <w:tcPr>
            <w:tcW w:w="24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(.04)</w:t>
            </w:r>
          </w:p>
        </w:tc>
        <w:tc>
          <w:tcPr>
            <w:tcW w:w="240" w:type="dxa"/>
            <w:vAlign w:val="bottom"/>
            <w:shd w:val="clear" w:color="auto" w:fill="F0FFFF"/>
          </w:tcPr>
          <w:p>
            <w:pPr>
              <w:spacing w:after="0"/>
              <w:rPr>
                <w:sz w:val="15"/>
                <w:szCs w:val="15"/>
                <w:color w:val="auto"/>
              </w:rPr>
            </w:pPr>
          </w:p>
        </w:tc>
        <w:tc>
          <w:tcPr>
            <w:tcW w:w="70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6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Borders>
              <w:top w:val="single" w:sz="8" w:color="F0FFFF"/>
            </w:tcBorders>
          </w:tcPr>
          <w:p>
            <w:pPr>
              <w:ind w:left="160"/>
              <w:spacing w:after="0" w:line="149" w:lineRule="exact"/>
              <w:rPr>
                <w:sz w:val="20"/>
                <w:szCs w:val="20"/>
                <w:color w:val="auto"/>
              </w:rPr>
            </w:pPr>
            <w:r>
              <w:rPr>
                <w:rFonts w:ascii="Arial" w:cs="Arial" w:eastAsia="Arial" w:hAnsi="Arial"/>
                <w:sz w:val="14"/>
                <w:szCs w:val="14"/>
                <w:color w:val="auto"/>
              </w:rPr>
              <w:t>Diluted income per common share (GAAP)</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w:t>
            </w:r>
          </w:p>
        </w:tc>
        <w:tc>
          <w:tcPr>
            <w:tcW w:w="24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w:t>
            </w:r>
          </w:p>
        </w:tc>
        <w:tc>
          <w:tcPr>
            <w:tcW w:w="24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w:t>
            </w:r>
          </w:p>
        </w:tc>
        <w:tc>
          <w:tcPr>
            <w:tcW w:w="26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w:t>
            </w:r>
          </w:p>
        </w:tc>
        <w:tc>
          <w:tcPr>
            <w:tcW w:w="14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33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b w:val="1"/>
                <w:bCs w:val="1"/>
                <w:color w:val="auto"/>
              </w:rPr>
              <w:t>Book value per common share reconciliation</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Tangible book value per common share</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12.06</w:t>
            </w:r>
          </w:p>
        </w:tc>
        <w:tc>
          <w:tcPr>
            <w:tcW w:w="240" w:type="dxa"/>
            <w:vAlign w:val="bottom"/>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12.08</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12.66</w:t>
            </w:r>
          </w:p>
        </w:tc>
        <w:tc>
          <w:tcPr>
            <w:tcW w:w="240" w:type="dxa"/>
            <w:vAlign w:val="bottom"/>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12.53</w:t>
            </w:r>
          </w:p>
        </w:tc>
        <w:tc>
          <w:tcPr>
            <w:tcW w:w="320" w:type="dxa"/>
            <w:vAlign w:val="bottom"/>
            <w:gridSpan w:val="2"/>
            <w:shd w:val="clear" w:color="auto" w:fill="F0FF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12.15</w:t>
            </w:r>
          </w:p>
        </w:tc>
        <w:tc>
          <w:tcPr>
            <w:tcW w:w="32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12.10</w:t>
            </w:r>
          </w:p>
        </w:tc>
        <w:tc>
          <w:tcPr>
            <w:tcW w:w="32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11.91</w:t>
            </w:r>
          </w:p>
        </w:tc>
        <w:tc>
          <w:tcPr>
            <w:tcW w:w="320" w:type="dxa"/>
            <w:vAlign w:val="bottom"/>
            <w:gridSpan w:val="2"/>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11.63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Effect of goodwill and other intangibles</w:t>
            </w:r>
          </w:p>
        </w:tc>
        <w:tc>
          <w:tcPr>
            <w:tcW w:w="2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1.96</w:t>
            </w:r>
          </w:p>
        </w:tc>
        <w:tc>
          <w:tcPr>
            <w:tcW w:w="24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1.87</w:t>
            </w:r>
          </w:p>
        </w:tc>
        <w:tc>
          <w:tcPr>
            <w:tcW w:w="24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.29</w:t>
            </w:r>
          </w:p>
        </w:tc>
        <w:tc>
          <w:tcPr>
            <w:tcW w:w="2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32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Book value per common share (GAAP)</w:t>
            </w: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14.02</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13.95</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12.95</w:t>
            </w:r>
          </w:p>
        </w:tc>
        <w:tc>
          <w:tcPr>
            <w:tcW w:w="26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12.58</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12.20</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12.15</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11.94</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auto"/>
              <w:bottom w:val="single" w:sz="8" w:color="auto"/>
            </w:tcBorders>
            <w:shd w:val="clear" w:color="auto" w:fill="F0FFFF"/>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11.66</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 (Continued) - Non-GAAP Performance Measures Reconciliation - Quarterly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86" w:gutter="0" w:footer="0" w:header="0"/>
        </w:sectPr>
      </w:pPr>
    </w:p>
    <w:p>
      <w:pPr>
        <w:spacing w:after="0" w:line="200" w:lineRule="exact"/>
        <w:rPr>
          <w:sz w:val="20"/>
          <w:szCs w:val="20"/>
          <w:color w:val="auto"/>
        </w:rPr>
      </w:pPr>
    </w:p>
    <w:p>
      <w:pPr>
        <w:spacing w:after="0" w:line="223" w:lineRule="exact"/>
        <w:rPr>
          <w:sz w:val="20"/>
          <w:szCs w:val="20"/>
          <w:color w:val="auto"/>
        </w:rPr>
      </w:pPr>
    </w:p>
    <w:p>
      <w:pPr>
        <w:ind w:right="1400"/>
        <w:spacing w:after="0" w:line="358" w:lineRule="auto"/>
        <w:rPr>
          <w:sz w:val="20"/>
          <w:szCs w:val="20"/>
          <w:color w:val="auto"/>
        </w:rPr>
      </w:pPr>
      <w:r>
        <w:rPr>
          <w:rFonts w:ascii="Arial" w:cs="Arial" w:eastAsia="Arial" w:hAnsi="Arial"/>
          <w:sz w:val="12"/>
          <w:szCs w:val="12"/>
          <w:i w:val="1"/>
          <w:iCs w:val="1"/>
          <w:color w:val="auto"/>
        </w:rPr>
        <w:t>(in thousands, except per share data; fully taxable equivalent)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203263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32635" cy="1714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Return on tangible common equity reconciliation</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Return on tangible common equity - operating</w:t>
      </w:r>
    </w:p>
    <w:p>
      <w:pPr>
        <w:spacing w:after="0"/>
        <w:rPr>
          <w:sz w:val="20"/>
          <w:szCs w:val="20"/>
          <w:color w:val="auto"/>
        </w:rPr>
      </w:pPr>
      <w:r>
        <w:rPr>
          <w:rFonts w:ascii="Arial" w:cs="Arial" w:eastAsia="Arial" w:hAnsi="Arial"/>
          <w:sz w:val="14"/>
          <w:szCs w:val="14"/>
          <w:color w:val="auto"/>
        </w:rPr>
        <w:t>Effect of goodwill and other intangibles</w:t>
      </w:r>
    </w:p>
    <w:p>
      <w:pPr>
        <w:spacing w:after="0" w:line="16" w:lineRule="exact"/>
        <w:rPr>
          <w:sz w:val="20"/>
          <w:szCs w:val="20"/>
          <w:color w:val="auto"/>
        </w:rPr>
      </w:pPr>
    </w:p>
    <w:p>
      <w:pPr>
        <w:ind w:right="1020"/>
        <w:spacing w:after="0" w:line="265" w:lineRule="auto"/>
        <w:rPr>
          <w:sz w:val="20"/>
          <w:szCs w:val="20"/>
          <w:color w:val="auto"/>
        </w:rPr>
      </w:pPr>
      <w:r>
        <w:rPr>
          <w:rFonts w:ascii="Arial" w:cs="Arial" w:eastAsia="Arial" w:hAnsi="Arial"/>
          <w:sz w:val="13"/>
          <w:szCs w:val="13"/>
          <w:color w:val="auto"/>
        </w:rPr>
        <w:t>Return on common equity - operating Merger-related and other charges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Return on common equity (GAAP)</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Return on assets reconciliation</w:t>
      </w:r>
    </w:p>
    <w:p>
      <w:pPr>
        <w:spacing w:after="0" w:line="226" w:lineRule="auto"/>
        <w:rPr>
          <w:sz w:val="20"/>
          <w:szCs w:val="20"/>
          <w:color w:val="auto"/>
        </w:rPr>
      </w:pPr>
      <w:r>
        <w:rPr>
          <w:rFonts w:ascii="Arial" w:cs="Arial" w:eastAsia="Arial" w:hAnsi="Arial"/>
          <w:sz w:val="14"/>
          <w:szCs w:val="14"/>
          <w:color w:val="auto"/>
        </w:rPr>
        <w:t>Return on assets - operating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Merger-related and other charges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Return on assets (GAAP)</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Allowance for loan losses to loans reconciliation</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Allowance for loan losses to loans, excl. acquired loans</w:t>
      </w:r>
    </w:p>
    <w:p>
      <w:pPr>
        <w:spacing w:after="0"/>
        <w:rPr>
          <w:sz w:val="20"/>
          <w:szCs w:val="20"/>
          <w:color w:val="auto"/>
        </w:rPr>
      </w:pPr>
      <w:r>
        <w:rPr>
          <w:rFonts w:ascii="Arial" w:cs="Arial" w:eastAsia="Arial" w:hAnsi="Arial"/>
          <w:sz w:val="14"/>
          <w:szCs w:val="14"/>
          <w:color w:val="auto"/>
        </w:rPr>
        <w:t>Effect of removing acquired loans from ratio</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Allowance for loan losses to loans (GAAP)</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payout ratio reconciliation</w:t>
      </w:r>
    </w:p>
    <w:p>
      <w:pPr>
        <w:spacing w:after="0" w:line="226" w:lineRule="auto"/>
        <w:rPr>
          <w:sz w:val="20"/>
          <w:szCs w:val="20"/>
          <w:color w:val="auto"/>
        </w:rPr>
      </w:pPr>
      <w:r>
        <w:rPr>
          <w:rFonts w:ascii="Arial" w:cs="Arial" w:eastAsia="Arial" w:hAnsi="Arial"/>
          <w:sz w:val="14"/>
          <w:szCs w:val="14"/>
          <w:color w:val="auto"/>
        </w:rPr>
        <w:t>Dividend payout ratio - operating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Merger-related and other charges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Dividend payout ratio (GAAP)</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Efficiency ratio reconciliation</w:t>
      </w:r>
    </w:p>
    <w:p>
      <w:pPr>
        <w:spacing w:after="0" w:line="226" w:lineRule="auto"/>
        <w:rPr>
          <w:sz w:val="20"/>
          <w:szCs w:val="20"/>
          <w:color w:val="auto"/>
        </w:rPr>
      </w:pPr>
      <w:r>
        <w:rPr>
          <w:rFonts w:ascii="Arial" w:cs="Arial" w:eastAsia="Arial" w:hAnsi="Arial"/>
          <w:sz w:val="14"/>
          <w:szCs w:val="14"/>
          <w:color w:val="auto"/>
        </w:rPr>
        <w:t>Efficiency ratio - operating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Merger-related and other charges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Efficiency ratio (GAAP)</w:t>
      </w:r>
    </w:p>
    <w:p>
      <w:pPr>
        <w:spacing w:after="0" w:line="2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equity to assets reconciliation</w:t>
      </w:r>
    </w:p>
    <w:p>
      <w:pPr>
        <w:spacing w:after="0" w:line="226" w:lineRule="auto"/>
        <w:rPr>
          <w:sz w:val="20"/>
          <w:szCs w:val="20"/>
          <w:color w:val="auto"/>
        </w:rPr>
      </w:pPr>
      <w:r>
        <w:rPr>
          <w:rFonts w:ascii="Arial" w:cs="Arial" w:eastAsia="Arial" w:hAnsi="Arial"/>
          <w:sz w:val="14"/>
          <w:szCs w:val="14"/>
          <w:color w:val="auto"/>
        </w:rPr>
        <w:t>Tangible common equity to assets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Effect of preferred equity</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39"/>
        </w:trPr>
        <w:tc>
          <w:tcPr>
            <w:tcW w:w="1060" w:type="dxa"/>
            <w:vAlign w:val="bottom"/>
            <w:gridSpan w:val="2"/>
          </w:tcPr>
          <w:p>
            <w:pPr>
              <w:jc w:val="right"/>
              <w:ind w:right="368"/>
              <w:spacing w:after="0" w:line="139" w:lineRule="exact"/>
              <w:rPr>
                <w:sz w:val="20"/>
                <w:szCs w:val="20"/>
                <w:color w:val="auto"/>
              </w:rPr>
            </w:pPr>
            <w:r>
              <w:rPr>
                <w:rFonts w:ascii="Arial" w:cs="Arial" w:eastAsia="Arial" w:hAnsi="Arial"/>
                <w:sz w:val="14"/>
                <w:szCs w:val="14"/>
                <w:b w:val="1"/>
                <w:bCs w:val="1"/>
                <w:color w:val="auto"/>
              </w:rPr>
              <w:t>Fourth</w:t>
            </w:r>
          </w:p>
        </w:tc>
        <w:tc>
          <w:tcPr>
            <w:tcW w:w="1060" w:type="dxa"/>
            <w:vAlign w:val="bottom"/>
            <w:gridSpan w:val="2"/>
          </w:tcPr>
          <w:p>
            <w:pPr>
              <w:jc w:val="right"/>
              <w:ind w:right="408"/>
              <w:spacing w:after="0" w:line="139" w:lineRule="exact"/>
              <w:rPr>
                <w:sz w:val="20"/>
                <w:szCs w:val="20"/>
                <w:color w:val="auto"/>
              </w:rPr>
            </w:pPr>
            <w:r>
              <w:rPr>
                <w:rFonts w:ascii="Arial" w:cs="Arial" w:eastAsia="Arial" w:hAnsi="Arial"/>
                <w:sz w:val="14"/>
                <w:szCs w:val="14"/>
                <w:b w:val="1"/>
                <w:bCs w:val="1"/>
                <w:color w:val="auto"/>
              </w:rPr>
              <w:t>Third</w:t>
            </w:r>
          </w:p>
        </w:tc>
        <w:tc>
          <w:tcPr>
            <w:tcW w:w="1000" w:type="dxa"/>
            <w:vAlign w:val="bottom"/>
            <w:gridSpan w:val="2"/>
          </w:tcPr>
          <w:p>
            <w:pPr>
              <w:jc w:val="right"/>
              <w:ind w:right="328"/>
              <w:spacing w:after="0" w:line="139" w:lineRule="exact"/>
              <w:rPr>
                <w:sz w:val="20"/>
                <w:szCs w:val="20"/>
                <w:color w:val="auto"/>
              </w:rPr>
            </w:pPr>
            <w:r>
              <w:rPr>
                <w:rFonts w:ascii="Arial" w:cs="Arial" w:eastAsia="Arial" w:hAnsi="Arial"/>
                <w:sz w:val="14"/>
                <w:szCs w:val="14"/>
                <w:b w:val="1"/>
                <w:bCs w:val="1"/>
                <w:color w:val="auto"/>
              </w:rPr>
              <w:t>Second</w:t>
            </w:r>
          </w:p>
        </w:tc>
        <w:tc>
          <w:tcPr>
            <w:tcW w:w="780" w:type="dxa"/>
            <w:vAlign w:val="bottom"/>
          </w:tcPr>
          <w:p>
            <w:pPr>
              <w:jc w:val="right"/>
              <w:ind w:right="168"/>
              <w:spacing w:after="0" w:line="139" w:lineRule="exact"/>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2"/>
                <w:szCs w:val="12"/>
                <w:color w:val="auto"/>
              </w:rPr>
            </w:pPr>
          </w:p>
        </w:tc>
        <w:tc>
          <w:tcPr>
            <w:tcW w:w="1000" w:type="dxa"/>
            <w:vAlign w:val="bottom"/>
            <w:gridSpan w:val="2"/>
          </w:tcPr>
          <w:p>
            <w:pPr>
              <w:jc w:val="right"/>
              <w:ind w:right="328"/>
              <w:spacing w:after="0" w:line="139" w:lineRule="exact"/>
              <w:rPr>
                <w:sz w:val="20"/>
                <w:szCs w:val="20"/>
                <w:color w:val="auto"/>
              </w:rPr>
            </w:pPr>
            <w:r>
              <w:rPr>
                <w:rFonts w:ascii="Arial" w:cs="Arial" w:eastAsia="Arial" w:hAnsi="Arial"/>
                <w:sz w:val="14"/>
                <w:szCs w:val="14"/>
                <w:b w:val="1"/>
                <w:bCs w:val="1"/>
                <w:color w:val="auto"/>
              </w:rPr>
              <w:t>Fourth</w:t>
            </w:r>
          </w:p>
        </w:tc>
        <w:tc>
          <w:tcPr>
            <w:tcW w:w="1100" w:type="dxa"/>
            <w:vAlign w:val="bottom"/>
            <w:gridSpan w:val="3"/>
          </w:tcPr>
          <w:p>
            <w:pPr>
              <w:jc w:val="right"/>
              <w:ind w:right="520"/>
              <w:spacing w:after="0" w:line="139" w:lineRule="exact"/>
              <w:rPr>
                <w:sz w:val="20"/>
                <w:szCs w:val="20"/>
                <w:color w:val="auto"/>
              </w:rPr>
            </w:pPr>
            <w:r>
              <w:rPr>
                <w:rFonts w:ascii="Arial" w:cs="Arial" w:eastAsia="Arial" w:hAnsi="Arial"/>
                <w:sz w:val="14"/>
                <w:szCs w:val="14"/>
                <w:b w:val="1"/>
                <w:bCs w:val="1"/>
                <w:color w:val="auto"/>
              </w:rPr>
              <w:t>Third</w:t>
            </w:r>
          </w:p>
        </w:tc>
        <w:tc>
          <w:tcPr>
            <w:tcW w:w="940" w:type="dxa"/>
            <w:vAlign w:val="bottom"/>
            <w:gridSpan w:val="2"/>
          </w:tcPr>
          <w:p>
            <w:pPr>
              <w:jc w:val="right"/>
              <w:ind w:right="328"/>
              <w:spacing w:after="0" w:line="139" w:lineRule="exact"/>
              <w:rPr>
                <w:sz w:val="20"/>
                <w:szCs w:val="20"/>
                <w:color w:val="auto"/>
              </w:rPr>
            </w:pPr>
            <w:r>
              <w:rPr>
                <w:rFonts w:ascii="Arial" w:cs="Arial" w:eastAsia="Arial" w:hAnsi="Arial"/>
                <w:sz w:val="14"/>
                <w:szCs w:val="14"/>
                <w:b w:val="1"/>
                <w:bCs w:val="1"/>
                <w:color w:val="auto"/>
              </w:rPr>
              <w:t>Second</w:t>
            </w:r>
          </w:p>
        </w:tc>
        <w:tc>
          <w:tcPr>
            <w:tcW w:w="800" w:type="dxa"/>
            <w:vAlign w:val="bottom"/>
            <w:gridSpan w:val="2"/>
          </w:tcPr>
          <w:p>
            <w:pPr>
              <w:jc w:val="center"/>
              <w:ind w:right="20"/>
              <w:spacing w:after="0" w:line="139" w:lineRule="exact"/>
              <w:rPr>
                <w:sz w:val="20"/>
                <w:szCs w:val="20"/>
                <w:color w:val="auto"/>
              </w:rPr>
            </w:pPr>
            <w:r>
              <w:rPr>
                <w:rFonts w:ascii="Arial" w:cs="Arial" w:eastAsia="Arial" w:hAnsi="Arial"/>
                <w:sz w:val="14"/>
                <w:szCs w:val="14"/>
                <w:b w:val="1"/>
                <w:bCs w:val="1"/>
                <w:color w:val="auto"/>
                <w:w w:val="98"/>
              </w:rPr>
              <w:t>First</w:t>
            </w:r>
          </w:p>
        </w:tc>
        <w:tc>
          <w:tcPr>
            <w:tcW w:w="100" w:type="dxa"/>
            <w:vAlign w:val="bottom"/>
            <w:gridSpan w:val="2"/>
          </w:tcPr>
          <w:p>
            <w:pPr>
              <w:spacing w:after="0"/>
              <w:rPr>
                <w:sz w:val="12"/>
                <w:szCs w:val="12"/>
                <w:color w:val="auto"/>
              </w:rPr>
            </w:pPr>
          </w:p>
        </w:tc>
      </w:tr>
      <w:tr>
        <w:trPr>
          <w:trHeight w:val="178"/>
        </w:trPr>
        <w:tc>
          <w:tcPr>
            <w:tcW w:w="8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260" w:type="dxa"/>
            <w:vAlign w:val="bottom"/>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5"/>
                <w:szCs w:val="15"/>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gridSpan w:val="2"/>
          </w:tcPr>
          <w:p>
            <w:pPr>
              <w:spacing w:after="0"/>
              <w:rPr>
                <w:sz w:val="15"/>
                <w:szCs w:val="15"/>
                <w:color w:val="auto"/>
              </w:rPr>
            </w:pPr>
          </w:p>
        </w:tc>
      </w:tr>
      <w:tr>
        <w:trPr>
          <w:trHeight w:val="427"/>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10.87%</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10.29%</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10.20%</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9.46%</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9.74%</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9.55%</w:t>
            </w:r>
          </w:p>
        </w:tc>
        <w:tc>
          <w:tcPr>
            <w:tcW w:w="80" w:type="dxa"/>
            <w:vAlign w:val="bottom"/>
          </w:tcPr>
          <w:p>
            <w:pPr>
              <w:spacing w:after="0"/>
              <w:rPr>
                <w:sz w:val="24"/>
                <w:szCs w:val="24"/>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9.15%</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8.81%</w:t>
            </w:r>
          </w:p>
        </w:tc>
      </w:tr>
      <w:tr>
        <w:trPr>
          <w:trHeight w:val="188"/>
        </w:trPr>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(1.69)</w:t>
            </w:r>
          </w:p>
        </w:tc>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(.75)</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(.30)</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(.12)</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(.14)</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(.16)</w:t>
            </w:r>
          </w:p>
        </w:tc>
        <w:tc>
          <w:tcPr>
            <w:tcW w:w="900" w:type="dxa"/>
            <w:vAlign w:val="bottom"/>
            <w:gridSpan w:val="4"/>
          </w:tcPr>
          <w:p>
            <w:pPr>
              <w:jc w:val="right"/>
              <w:ind w:right="80"/>
              <w:spacing w:after="0"/>
              <w:rPr>
                <w:sz w:val="20"/>
                <w:szCs w:val="20"/>
                <w:color w:val="auto"/>
              </w:rPr>
            </w:pPr>
            <w:r>
              <w:rPr>
                <w:rFonts w:ascii="Arial" w:cs="Arial" w:eastAsia="Arial" w:hAnsi="Arial"/>
                <w:sz w:val="14"/>
                <w:szCs w:val="14"/>
                <w:color w:val="auto"/>
              </w:rPr>
              <w:t>(.17)</w:t>
            </w:r>
          </w:p>
        </w:tc>
      </w:tr>
      <w:tr>
        <w:trPr>
          <w:trHeight w:val="130"/>
        </w:trPr>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9.18</w:t>
            </w:r>
          </w:p>
        </w:tc>
        <w:tc>
          <w:tcPr>
            <w:tcW w:w="260" w:type="dxa"/>
            <w:vAlign w:val="bottom"/>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9.54</w:t>
            </w:r>
          </w:p>
        </w:tc>
        <w:tc>
          <w:tcPr>
            <w:tcW w:w="260" w:type="dxa"/>
            <w:vAlign w:val="bottom"/>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9.90</w:t>
            </w:r>
          </w:p>
        </w:tc>
        <w:tc>
          <w:tcPr>
            <w:tcW w:w="220" w:type="dxa"/>
            <w:vAlign w:val="bottom"/>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9.34</w:t>
            </w:r>
          </w:p>
        </w:tc>
        <w:tc>
          <w:tcPr>
            <w:tcW w:w="240" w:type="dxa"/>
            <w:vAlign w:val="bottom"/>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9.60</w:t>
            </w:r>
          </w:p>
        </w:tc>
        <w:tc>
          <w:tcPr>
            <w:tcW w:w="220" w:type="dxa"/>
            <w:vAlign w:val="bottom"/>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9.41</w:t>
            </w: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8.99</w:t>
            </w:r>
          </w:p>
        </w:tc>
        <w:tc>
          <w:tcPr>
            <w:tcW w:w="240" w:type="dxa"/>
            <w:vAlign w:val="bottom"/>
          </w:tcPr>
          <w:p>
            <w:pPr>
              <w:spacing w:after="0"/>
              <w:rPr>
                <w:sz w:val="11"/>
                <w:szCs w:val="11"/>
                <w:color w:val="auto"/>
              </w:rPr>
            </w:pPr>
          </w:p>
        </w:tc>
        <w:tc>
          <w:tcPr>
            <w:tcW w:w="820" w:type="dxa"/>
            <w:vAlign w:val="bottom"/>
            <w:tcBorders>
              <w:top w:val="single" w:sz="8" w:color="auto"/>
            </w:tcBorders>
            <w:gridSpan w:val="3"/>
          </w:tcPr>
          <w:p>
            <w:pPr>
              <w:jc w:val="right"/>
              <w:spacing w:after="0" w:line="130" w:lineRule="exact"/>
              <w:rPr>
                <w:sz w:val="20"/>
                <w:szCs w:val="20"/>
                <w:color w:val="auto"/>
              </w:rPr>
            </w:pPr>
            <w:r>
              <w:rPr>
                <w:rFonts w:ascii="Arial" w:cs="Arial" w:eastAsia="Arial" w:hAnsi="Arial"/>
                <w:sz w:val="14"/>
                <w:szCs w:val="14"/>
                <w:color w:val="auto"/>
              </w:rPr>
              <w:t>8.64</w:t>
            </w:r>
          </w:p>
        </w:tc>
        <w:tc>
          <w:tcPr>
            <w:tcW w:w="80" w:type="dxa"/>
            <w:vAlign w:val="bottom"/>
          </w:tcPr>
          <w:p>
            <w:pPr>
              <w:spacing w:after="0"/>
              <w:rPr>
                <w:sz w:val="11"/>
                <w:szCs w:val="11"/>
                <w:color w:val="auto"/>
              </w:rPr>
            </w:pPr>
          </w:p>
        </w:tc>
      </w:tr>
      <w:tr>
        <w:trPr>
          <w:trHeight w:val="188"/>
        </w:trPr>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(2.16)</w:t>
            </w:r>
          </w:p>
        </w:tc>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(1.69)</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(1.07)</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7.02</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7.85</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8.83</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9.34</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9.41</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8.99</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8.64</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74"/>
              </w:rPr>
              <w:t>%</w:t>
            </w: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0"/>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.99%</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1.00%</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1.00%</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.94%</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.96%</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24"/>
                <w:szCs w:val="24"/>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.88%</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.85%</w:t>
            </w:r>
          </w:p>
        </w:tc>
      </w:tr>
      <w:tr>
        <w:trPr>
          <w:trHeight w:val="188"/>
        </w:trPr>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(.23)</w:t>
            </w:r>
          </w:p>
        </w:tc>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(.18)</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(.11)</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.85</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74"/>
              </w:rPr>
              <w:t>%</w:t>
            </w: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0"/>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1.35%</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1.37%</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1.42%</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1.46%</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1.53%</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24"/>
                <w:szCs w:val="24"/>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1.66%</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1.73%</w:t>
            </w:r>
          </w:p>
        </w:tc>
      </w:tr>
      <w:tr>
        <w:trPr>
          <w:trHeight w:val="188"/>
        </w:trPr>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(.21)</w:t>
            </w:r>
          </w:p>
        </w:tc>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(.22)</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(.06)</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62"/>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20" w:type="dxa"/>
            <w:vAlign w:val="bottom"/>
            <w:tcBorders>
              <w:top w:val="single" w:sz="8" w:color="auto"/>
            </w:tcBorders>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74"/>
              </w:rPr>
              <w:t>%</w:t>
            </w: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34"/>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18.18%</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18.18%</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15.63%</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17.24%</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16.67%</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10.34%</w:t>
            </w:r>
          </w:p>
        </w:tc>
        <w:tc>
          <w:tcPr>
            <w:tcW w:w="80" w:type="dxa"/>
            <w:vAlign w:val="bottom"/>
          </w:tcPr>
          <w:p>
            <w:pPr>
              <w:spacing w:after="0"/>
              <w:rPr>
                <w:sz w:val="24"/>
                <w:szCs w:val="24"/>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11.11%</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5.82</w:t>
            </w:r>
          </w:p>
        </w:tc>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4.04</w:t>
            </w: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2.23</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24.00</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22.22</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17.86</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17.24</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16.67</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10.34</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11.11</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tcBorders>
          </w:tcPr>
          <w:p>
            <w:pPr>
              <w:spacing w:after="0"/>
              <w:rPr>
                <w:sz w:val="14"/>
                <w:szCs w:val="14"/>
                <w:color w:val="auto"/>
              </w:rPr>
            </w:pP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74"/>
              </w:rPr>
              <w:t>%</w:t>
            </w:r>
          </w:p>
        </w:tc>
      </w:tr>
      <w:tr>
        <w:trPr>
          <w:trHeight w:val="21"/>
        </w:trPr>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34"/>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59.41%</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57.81%</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57.59%</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59.15%</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57.47%</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57.96%</w:t>
            </w:r>
          </w:p>
        </w:tc>
        <w:tc>
          <w:tcPr>
            <w:tcW w:w="80" w:type="dxa"/>
            <w:vAlign w:val="bottom"/>
          </w:tcPr>
          <w:p>
            <w:pPr>
              <w:spacing w:after="0"/>
              <w:rPr>
                <w:sz w:val="24"/>
                <w:szCs w:val="24"/>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58.65%</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59.05%</w:t>
            </w:r>
          </w:p>
        </w:tc>
      </w:tr>
      <w:tr>
        <w:trPr>
          <w:trHeight w:val="174"/>
        </w:trPr>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9.56</w:t>
            </w:r>
          </w:p>
        </w:tc>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6.84</w:t>
            </w: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4.04</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62"/>
        </w:trPr>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68.97</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64.65</w:t>
            </w:r>
          </w:p>
        </w:tc>
        <w:tc>
          <w:tcPr>
            <w:tcW w:w="260" w:type="dxa"/>
            <w:vAlign w:val="bottom"/>
          </w:tcPr>
          <w:p>
            <w:pPr>
              <w:jc w:val="right"/>
              <w:ind w:right="6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61.63</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59.15</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57.47</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57.96</w:t>
            </w:r>
          </w:p>
        </w:tc>
        <w:tc>
          <w:tcPr>
            <w:tcW w:w="22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58.65</w:t>
            </w:r>
          </w:p>
        </w:tc>
        <w:tc>
          <w:tcPr>
            <w:tcW w:w="240" w:type="dxa"/>
            <w:vAlign w:val="bottom"/>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59.05</w:t>
            </w:r>
          </w:p>
        </w:tc>
        <w:tc>
          <w:tcPr>
            <w:tcW w:w="100" w:type="dxa"/>
            <w:vAlign w:val="bottom"/>
            <w:gridSpan w:val="2"/>
          </w:tcPr>
          <w:p>
            <w:pPr>
              <w:jc w:val="right"/>
              <w:spacing w:after="0"/>
              <w:rPr>
                <w:sz w:val="20"/>
                <w:szCs w:val="20"/>
                <w:color w:val="auto"/>
              </w:rPr>
            </w:pPr>
            <w:r>
              <w:rPr>
                <w:rFonts w:ascii="Arial" w:cs="Arial" w:eastAsia="Arial" w:hAnsi="Arial"/>
                <w:sz w:val="12"/>
                <w:szCs w:val="12"/>
                <w:color w:val="auto"/>
                <w:w w:val="74"/>
              </w:rPr>
              <w:t>%</w:t>
            </w:r>
          </w:p>
        </w:tc>
      </w:tr>
      <w:tr>
        <w:trPr>
          <w:trHeight w:val="21"/>
        </w:trPr>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4"/>
        </w:trPr>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9.29%</w:t>
            </w: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9.77%</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9.83%</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9.82%</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9.72%</w:t>
            </w: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9.83%</w:t>
            </w:r>
          </w:p>
        </w:tc>
        <w:tc>
          <w:tcPr>
            <w:tcW w:w="80" w:type="dxa"/>
            <w:vAlign w:val="bottom"/>
          </w:tcPr>
          <w:p>
            <w:pPr>
              <w:spacing w:after="0"/>
              <w:rPr>
                <w:sz w:val="24"/>
                <w:szCs w:val="24"/>
                <w:color w:val="auto"/>
              </w:rPr>
            </w:pPr>
          </w:p>
        </w:tc>
        <w:tc>
          <w:tcPr>
            <w:tcW w:w="940" w:type="dxa"/>
            <w:vAlign w:val="bottom"/>
            <w:gridSpan w:val="2"/>
          </w:tcPr>
          <w:p>
            <w:pPr>
              <w:jc w:val="right"/>
              <w:ind w:right="48"/>
              <w:spacing w:after="0"/>
              <w:rPr>
                <w:sz w:val="20"/>
                <w:szCs w:val="20"/>
                <w:color w:val="auto"/>
              </w:rPr>
            </w:pPr>
            <w:r>
              <w:rPr>
                <w:rFonts w:ascii="Arial" w:cs="Arial" w:eastAsia="Arial" w:hAnsi="Arial"/>
                <w:sz w:val="14"/>
                <w:szCs w:val="14"/>
                <w:color w:val="auto"/>
              </w:rPr>
              <w:t>9.58%</w:t>
            </w:r>
          </w:p>
        </w:tc>
        <w:tc>
          <w:tcPr>
            <w:tcW w:w="900" w:type="dxa"/>
            <w:vAlign w:val="bottom"/>
            <w:gridSpan w:val="4"/>
          </w:tcPr>
          <w:p>
            <w:pPr>
              <w:jc w:val="right"/>
              <w:spacing w:after="0"/>
              <w:rPr>
                <w:sz w:val="20"/>
                <w:szCs w:val="20"/>
                <w:color w:val="auto"/>
              </w:rPr>
            </w:pPr>
            <w:r>
              <w:rPr>
                <w:rFonts w:ascii="Arial" w:cs="Arial" w:eastAsia="Arial" w:hAnsi="Arial"/>
                <w:sz w:val="14"/>
                <w:szCs w:val="14"/>
                <w:color w:val="auto"/>
              </w:rPr>
              <w:t>9.22%</w:t>
            </w:r>
          </w:p>
        </w:tc>
      </w:tr>
      <w:tr>
        <w:trPr>
          <w:trHeight w:val="167"/>
        </w:trPr>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.11</w:t>
            </w:r>
          </w:p>
        </w:tc>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.11</w:t>
            </w: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.08</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-3206750</wp:posOffset>
            </wp:positionV>
            <wp:extent cx="724662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-3018155</wp:posOffset>
            </wp:positionV>
            <wp:extent cx="7246620" cy="111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-2803525</wp:posOffset>
            </wp:positionV>
            <wp:extent cx="7246620" cy="111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-2563495</wp:posOffset>
            </wp:positionV>
            <wp:extent cx="7246620"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-2357755</wp:posOffset>
            </wp:positionV>
            <wp:extent cx="724662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-2152015</wp:posOffset>
            </wp:positionV>
            <wp:extent cx="72466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-1911985</wp:posOffset>
            </wp:positionV>
            <wp:extent cx="724662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-1723390</wp:posOffset>
            </wp:positionV>
            <wp:extent cx="7246620" cy="1117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-1482725</wp:posOffset>
            </wp:positionV>
            <wp:extent cx="7246620" cy="1117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-1276985</wp:posOffset>
            </wp:positionV>
            <wp:extent cx="724662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-1071245</wp:posOffset>
            </wp:positionV>
            <wp:extent cx="724662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-831215</wp:posOffset>
            </wp:positionV>
            <wp:extent cx="7246620" cy="946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-642620</wp:posOffset>
            </wp:positionV>
            <wp:extent cx="7246620" cy="1117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-402590</wp:posOffset>
            </wp:positionV>
            <wp:extent cx="7246620" cy="1117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1176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-196850</wp:posOffset>
            </wp:positionV>
            <wp:extent cx="7246620" cy="946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00" w:space="140"/>
            <w:col w:w="8080"/>
          </w:cols>
          <w:pgMar w:left="240" w:top="904" w:right="239" w:bottom="86"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320" w:type="dxa"/>
            <w:vAlign w:val="bottom"/>
            <w:tcBorders>
              <w:top w:val="single" w:sz="8" w:color="F0FFFF"/>
            </w:tcBorders>
            <w:shd w:val="clear" w:color="auto" w:fill="F0FFFF"/>
          </w:tcPr>
          <w:p>
            <w:pPr>
              <w:ind w:left="160"/>
              <w:spacing w:after="0" w:line="155" w:lineRule="exact"/>
              <w:rPr>
                <w:sz w:val="20"/>
                <w:szCs w:val="20"/>
                <w:color w:val="auto"/>
              </w:rPr>
            </w:pPr>
            <w:r>
              <w:rPr>
                <w:rFonts w:ascii="Arial" w:cs="Arial" w:eastAsia="Arial" w:hAnsi="Arial"/>
                <w:sz w:val="14"/>
                <w:szCs w:val="14"/>
                <w:color w:val="auto"/>
              </w:rPr>
              <w:t>Tangible equity to assets</w:t>
            </w:r>
          </w:p>
        </w:tc>
        <w:tc>
          <w:tcPr>
            <w:tcW w:w="80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9.40</w:t>
            </w:r>
          </w:p>
        </w:tc>
        <w:tc>
          <w:tcPr>
            <w:tcW w:w="260" w:type="dxa"/>
            <w:vAlign w:val="bottom"/>
            <w:tcBorders>
              <w:top w:val="single" w:sz="8" w:color="F0FFFF"/>
            </w:tcBorders>
            <w:shd w:val="clear" w:color="auto" w:fill="F0FFFF"/>
          </w:tcPr>
          <w:p>
            <w:pPr>
              <w:spacing w:after="0"/>
              <w:rPr>
                <w:sz w:val="13"/>
                <w:szCs w:val="13"/>
                <w:color w:val="auto"/>
              </w:rPr>
            </w:pPr>
          </w:p>
        </w:tc>
        <w:tc>
          <w:tcPr>
            <w:tcW w:w="80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9.88</w:t>
            </w:r>
          </w:p>
        </w:tc>
        <w:tc>
          <w:tcPr>
            <w:tcW w:w="260" w:type="dxa"/>
            <w:vAlign w:val="bottom"/>
            <w:tcBorders>
              <w:top w:val="single" w:sz="8" w:color="F0FFFF"/>
            </w:tcBorders>
            <w:shd w:val="clear" w:color="auto" w:fill="F0FFFF"/>
          </w:tcPr>
          <w:p>
            <w:pPr>
              <w:spacing w:after="0"/>
              <w:rPr>
                <w:sz w:val="13"/>
                <w:szCs w:val="13"/>
                <w:color w:val="auto"/>
              </w:rPr>
            </w:pPr>
          </w:p>
        </w:tc>
        <w:tc>
          <w:tcPr>
            <w:tcW w:w="78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9.91</w:t>
            </w:r>
          </w:p>
        </w:tc>
        <w:tc>
          <w:tcPr>
            <w:tcW w:w="220" w:type="dxa"/>
            <w:vAlign w:val="bottom"/>
            <w:tcBorders>
              <w:top w:val="single" w:sz="8" w:color="F0FFFF"/>
            </w:tcBorders>
            <w:shd w:val="clear" w:color="auto" w:fill="F0FFFF"/>
          </w:tcPr>
          <w:p>
            <w:pPr>
              <w:spacing w:after="0"/>
              <w:rPr>
                <w:sz w:val="13"/>
                <w:szCs w:val="13"/>
                <w:color w:val="auto"/>
              </w:rPr>
            </w:pPr>
          </w:p>
        </w:tc>
        <w:tc>
          <w:tcPr>
            <w:tcW w:w="78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9.82</w:t>
            </w:r>
          </w:p>
        </w:tc>
        <w:tc>
          <w:tcPr>
            <w:tcW w:w="240" w:type="dxa"/>
            <w:vAlign w:val="bottom"/>
            <w:tcBorders>
              <w:top w:val="single" w:sz="8" w:color="F0FFFF"/>
            </w:tcBorders>
            <w:shd w:val="clear" w:color="auto" w:fill="F0FFFF"/>
          </w:tcPr>
          <w:p>
            <w:pPr>
              <w:spacing w:after="0"/>
              <w:rPr>
                <w:sz w:val="13"/>
                <w:szCs w:val="13"/>
                <w:color w:val="auto"/>
              </w:rPr>
            </w:pPr>
          </w:p>
        </w:tc>
        <w:tc>
          <w:tcPr>
            <w:tcW w:w="78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9.72</w:t>
            </w:r>
          </w:p>
        </w:tc>
        <w:tc>
          <w:tcPr>
            <w:tcW w:w="220" w:type="dxa"/>
            <w:vAlign w:val="bottom"/>
            <w:tcBorders>
              <w:top w:val="single" w:sz="8" w:color="F0FFFF"/>
            </w:tcBorders>
            <w:shd w:val="clear" w:color="auto" w:fill="F0FFFF"/>
          </w:tcPr>
          <w:p>
            <w:pPr>
              <w:spacing w:after="0"/>
              <w:rPr>
                <w:sz w:val="13"/>
                <w:szCs w:val="13"/>
                <w:color w:val="auto"/>
              </w:rPr>
            </w:pPr>
          </w:p>
        </w:tc>
        <w:tc>
          <w:tcPr>
            <w:tcW w:w="80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9.83</w:t>
            </w:r>
          </w:p>
        </w:tc>
        <w:tc>
          <w:tcPr>
            <w:tcW w:w="220" w:type="dxa"/>
            <w:vAlign w:val="bottom"/>
            <w:tcBorders>
              <w:top w:val="single" w:sz="8" w:color="F0FFFF"/>
            </w:tcBorders>
            <w:shd w:val="clear" w:color="auto" w:fill="F0FFFF"/>
          </w:tcPr>
          <w:p>
            <w:pPr>
              <w:spacing w:after="0"/>
              <w:rPr>
                <w:sz w:val="13"/>
                <w:szCs w:val="13"/>
                <w:color w:val="auto"/>
              </w:rPr>
            </w:pPr>
          </w:p>
        </w:tc>
        <w:tc>
          <w:tcPr>
            <w:tcW w:w="78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9.58</w:t>
            </w:r>
          </w:p>
        </w:tc>
        <w:tc>
          <w:tcPr>
            <w:tcW w:w="240" w:type="dxa"/>
            <w:vAlign w:val="bottom"/>
            <w:tcBorders>
              <w:top w:val="single" w:sz="8" w:color="F0FFFF"/>
            </w:tcBorders>
            <w:shd w:val="clear" w:color="auto" w:fill="F0FFFF"/>
          </w:tcPr>
          <w:p>
            <w:pPr>
              <w:spacing w:after="0"/>
              <w:rPr>
                <w:sz w:val="13"/>
                <w:szCs w:val="13"/>
                <w:color w:val="auto"/>
              </w:rPr>
            </w:pPr>
          </w:p>
        </w:tc>
        <w:tc>
          <w:tcPr>
            <w:tcW w:w="780" w:type="dxa"/>
            <w:vAlign w:val="bottom"/>
            <w:tcBorders>
              <w:top w:val="single" w:sz="8" w:color="auto"/>
            </w:tcBorders>
            <w:shd w:val="clear" w:color="auto" w:fill="F0FFFF"/>
          </w:tcPr>
          <w:p>
            <w:pPr>
              <w:jc w:val="right"/>
              <w:spacing w:after="0" w:line="155" w:lineRule="exact"/>
              <w:rPr>
                <w:sz w:val="20"/>
                <w:szCs w:val="20"/>
                <w:color w:val="auto"/>
              </w:rPr>
            </w:pPr>
            <w:r>
              <w:rPr>
                <w:rFonts w:ascii="Arial" w:cs="Arial" w:eastAsia="Arial" w:hAnsi="Arial"/>
                <w:sz w:val="14"/>
                <w:szCs w:val="14"/>
                <w:color w:val="auto"/>
              </w:rPr>
              <w:t>9.50</w:t>
            </w:r>
          </w:p>
        </w:tc>
        <w:tc>
          <w:tcPr>
            <w:tcW w:w="120" w:type="dxa"/>
            <w:vAlign w:val="bottom"/>
            <w:tcBorders>
              <w:top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Effect of goodwill and other intangibles</w:t>
            </w:r>
          </w:p>
        </w:tc>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1.28</w:t>
            </w:r>
          </w:p>
        </w:tc>
        <w:tc>
          <w:tcPr>
            <w:tcW w:w="1060" w:type="dxa"/>
            <w:vAlign w:val="bottom"/>
            <w:gridSpan w:val="2"/>
          </w:tcPr>
          <w:p>
            <w:pPr>
              <w:jc w:val="right"/>
              <w:ind w:right="188"/>
              <w:spacing w:after="0"/>
              <w:rPr>
                <w:sz w:val="20"/>
                <w:szCs w:val="20"/>
                <w:color w:val="auto"/>
              </w:rPr>
            </w:pPr>
            <w:r>
              <w:rPr>
                <w:rFonts w:ascii="Arial" w:cs="Arial" w:eastAsia="Arial" w:hAnsi="Arial"/>
                <w:sz w:val="14"/>
                <w:szCs w:val="14"/>
                <w:color w:val="auto"/>
              </w:rPr>
              <w:t>.51</w:t>
            </w: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.14</w:t>
            </w: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.04</w:t>
            </w: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.04</w:t>
            </w: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.03</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32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Equity to assets (GAAP)</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10.68</w:t>
            </w:r>
          </w:p>
        </w:tc>
        <w:tc>
          <w:tcPr>
            <w:tcW w:w="260" w:type="dxa"/>
            <w:vAlign w:val="bottom"/>
            <w:tcBorders>
              <w:top w:val="single" w:sz="8" w:color="F0FFFF"/>
              <w:bottom w:val="single" w:sz="8" w:color="F0FFFF"/>
            </w:tcBorders>
            <w:shd w:val="clear" w:color="auto" w:fill="F0FFFF"/>
          </w:tcPr>
          <w:p>
            <w:pPr>
              <w:jc w:val="right"/>
              <w:ind w:right="68"/>
              <w:spacing w:after="0"/>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10.39</w:t>
            </w:r>
          </w:p>
        </w:tc>
        <w:tc>
          <w:tcPr>
            <w:tcW w:w="260" w:type="dxa"/>
            <w:vAlign w:val="bottom"/>
            <w:tcBorders>
              <w:top w:val="single" w:sz="8" w:color="F0FFFF"/>
              <w:bottom w:val="single" w:sz="8" w:color="F0FFFF"/>
            </w:tcBorders>
            <w:shd w:val="clear" w:color="auto" w:fill="F0FFFF"/>
          </w:tcPr>
          <w:p>
            <w:pPr>
              <w:jc w:val="right"/>
              <w:ind w:right="6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10.05</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9.86</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9.76</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9.85</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9.61</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9.52</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3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3320" w:type="dxa"/>
            <w:vAlign w:val="bottom"/>
            <w:shd w:val="clear" w:color="auto" w:fill="F0FFFF"/>
          </w:tcPr>
          <w:p>
            <w:pPr>
              <w:spacing w:after="0" w:line="136" w:lineRule="exact"/>
              <w:rPr>
                <w:sz w:val="20"/>
                <w:szCs w:val="20"/>
                <w:color w:val="auto"/>
              </w:rPr>
            </w:pPr>
            <w:r>
              <w:rPr>
                <w:rFonts w:ascii="Arial" w:cs="Arial" w:eastAsia="Arial" w:hAnsi="Arial"/>
                <w:sz w:val="14"/>
                <w:szCs w:val="14"/>
                <w:b w:val="1"/>
                <w:bCs w:val="1"/>
                <w:color w:val="auto"/>
              </w:rPr>
              <w:t>Tangible common equity to risk-weighted assets</w:t>
            </w:r>
          </w:p>
        </w:tc>
        <w:tc>
          <w:tcPr>
            <w:tcW w:w="80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ind w:left="160"/>
              <w:spacing w:after="0" w:line="202" w:lineRule="exact"/>
              <w:rPr>
                <w:sz w:val="20"/>
                <w:szCs w:val="20"/>
                <w:color w:val="auto"/>
              </w:rPr>
            </w:pPr>
            <w:r>
              <w:rPr>
                <w:rFonts w:ascii="Arial" w:cs="Arial" w:eastAsia="Arial" w:hAnsi="Arial"/>
                <w:sz w:val="14"/>
                <w:szCs w:val="14"/>
                <w:b w:val="1"/>
                <w:bCs w:val="1"/>
                <w:color w:val="auto"/>
              </w:rPr>
              <w:t xml:space="preserve">reconciliation </w:t>
            </w:r>
            <w:r>
              <w:rPr>
                <w:rFonts w:ascii="Arial" w:cs="Arial" w:eastAsia="Arial" w:hAnsi="Arial"/>
                <w:sz w:val="23"/>
                <w:szCs w:val="23"/>
                <w:b w:val="1"/>
                <w:bCs w:val="1"/>
                <w:color w:val="auto"/>
                <w:vertAlign w:val="superscript"/>
              </w:rPr>
              <w:t>(1)</w:t>
            </w:r>
          </w:p>
        </w:tc>
        <w:tc>
          <w:tcPr>
            <w:tcW w:w="8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Tangible common equity to risk-weighted assets</w:t>
            </w: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12.82%</w:t>
            </w: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13.08%</w:t>
            </w: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13.24%</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13.53%</w:t>
            </w:r>
          </w:p>
        </w:tc>
        <w:tc>
          <w:tcPr>
            <w:tcW w:w="100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13.82%</w:t>
            </w: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14.10%</w:t>
            </w: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13.92%</w:t>
            </w: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Effect of other comprehensive income</w:t>
            </w:r>
          </w:p>
        </w:tc>
        <w:tc>
          <w:tcPr>
            <w:tcW w:w="1060" w:type="dxa"/>
            <w:vAlign w:val="bottom"/>
            <w:gridSpan w:val="2"/>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.38</w:t>
            </w:r>
          </w:p>
        </w:tc>
        <w:tc>
          <w:tcPr>
            <w:tcW w:w="1060" w:type="dxa"/>
            <w:vAlign w:val="bottom"/>
            <w:gridSpan w:val="2"/>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.23</w:t>
            </w:r>
          </w:p>
        </w:tc>
        <w:tc>
          <w:tcPr>
            <w:tcW w:w="100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.28</w:t>
            </w: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.19</w:t>
            </w:r>
          </w:p>
        </w:tc>
        <w:tc>
          <w:tcPr>
            <w:tcW w:w="100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.35</w:t>
            </w:r>
          </w:p>
        </w:tc>
        <w:tc>
          <w:tcPr>
            <w:tcW w:w="102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.34</w:t>
            </w: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.53</w:t>
            </w:r>
          </w:p>
        </w:tc>
        <w:tc>
          <w:tcPr>
            <w:tcW w:w="900" w:type="dxa"/>
            <w:vAlign w:val="bottom"/>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Effect of deferred tax limitation</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(2.05)</w:t>
            </w:r>
          </w:p>
        </w:tc>
        <w:tc>
          <w:tcPr>
            <w:tcW w:w="10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(2.24)</w:t>
            </w:r>
          </w:p>
        </w:tc>
        <w:tc>
          <w:tcPr>
            <w:tcW w:w="10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(2.49)</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(2.86)</w:t>
            </w:r>
          </w:p>
        </w:tc>
        <w:tc>
          <w:tcPr>
            <w:tcW w:w="10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(3.11)</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(3.39)</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(3.74)</w:t>
            </w:r>
          </w:p>
        </w:tc>
        <w:tc>
          <w:tcPr>
            <w:tcW w:w="90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Effect of trust preferred</w:t>
            </w:r>
          </w:p>
        </w:tc>
        <w:tc>
          <w:tcPr>
            <w:tcW w:w="1060" w:type="dxa"/>
            <w:vAlign w:val="bottom"/>
            <w:gridSpan w:val="2"/>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.08</w:t>
            </w:r>
          </w:p>
        </w:tc>
        <w:tc>
          <w:tcPr>
            <w:tcW w:w="1060" w:type="dxa"/>
            <w:vAlign w:val="bottom"/>
            <w:gridSpan w:val="2"/>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.08</w:t>
            </w:r>
          </w:p>
        </w:tc>
        <w:tc>
          <w:tcPr>
            <w:tcW w:w="100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.63</w:t>
            </w: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.67</w:t>
            </w:r>
          </w:p>
        </w:tc>
        <w:tc>
          <w:tcPr>
            <w:tcW w:w="100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1.00</w:t>
            </w:r>
          </w:p>
        </w:tc>
        <w:tc>
          <w:tcPr>
            <w:tcW w:w="102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1.02</w:t>
            </w: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1.04</w:t>
            </w:r>
          </w:p>
        </w:tc>
        <w:tc>
          <w:tcPr>
            <w:tcW w:w="900" w:type="dxa"/>
            <w:vAlign w:val="bottom"/>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Effect of preferred equity</w:t>
            </w:r>
          </w:p>
        </w:tc>
        <w:tc>
          <w:tcPr>
            <w:tcW w:w="10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w:t>
            </w:r>
          </w:p>
        </w:tc>
        <w:tc>
          <w:tcPr>
            <w:tcW w:w="106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.15</w:t>
            </w: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.17</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Basel III intangibles transition adjustment</w:t>
            </w:r>
          </w:p>
        </w:tc>
        <w:tc>
          <w:tcPr>
            <w:tcW w:w="1060" w:type="dxa"/>
            <w:vAlign w:val="bottom"/>
            <w:gridSpan w:val="2"/>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.10</w:t>
            </w:r>
          </w:p>
        </w:tc>
        <w:tc>
          <w:tcPr>
            <w:tcW w:w="1060" w:type="dxa"/>
            <w:vAlign w:val="bottom"/>
            <w:gridSpan w:val="2"/>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.13</w:t>
            </w:r>
          </w:p>
        </w:tc>
        <w:tc>
          <w:tcPr>
            <w:tcW w:w="100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.06</w:t>
            </w: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.04</w:t>
            </w:r>
          </w:p>
        </w:tc>
        <w:tc>
          <w:tcPr>
            <w:tcW w:w="1000" w:type="dxa"/>
            <w:vAlign w:val="bottom"/>
            <w:gridSpan w:val="2"/>
            <w:shd w:val="clear" w:color="auto" w:fill="F0FFFF"/>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1020" w:type="dxa"/>
            <w:vAlign w:val="bottom"/>
            <w:gridSpan w:val="2"/>
            <w:shd w:val="clear" w:color="auto" w:fill="F0FF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Pr>
          <w:p>
            <w:pPr>
              <w:spacing w:after="0"/>
              <w:rPr>
                <w:sz w:val="20"/>
                <w:szCs w:val="20"/>
                <w:color w:val="auto"/>
              </w:rPr>
            </w:pPr>
            <w:r>
              <w:rPr>
                <w:rFonts w:ascii="Arial" w:cs="Arial" w:eastAsia="Arial" w:hAnsi="Arial"/>
                <w:sz w:val="14"/>
                <w:szCs w:val="14"/>
                <w:color w:val="auto"/>
              </w:rPr>
              <w:t>Basel III disallowed investments</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(.03)</w:t>
            </w:r>
          </w:p>
        </w:tc>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(.03)</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(.03)</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(.04)</w:t>
            </w:r>
          </w:p>
        </w:tc>
        <w:tc>
          <w:tcPr>
            <w:tcW w:w="100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332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Tier I capital ratio (Regulatory)</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11.45</w:t>
            </w:r>
          </w:p>
        </w:tc>
        <w:tc>
          <w:tcPr>
            <w:tcW w:w="260" w:type="dxa"/>
            <w:vAlign w:val="bottom"/>
            <w:tcBorders>
              <w:top w:val="single" w:sz="8" w:color="F0FFFF"/>
              <w:bottom w:val="single" w:sz="8" w:color="F0FFFF"/>
            </w:tcBorders>
            <w:shd w:val="clear" w:color="auto" w:fill="F0FFFF"/>
          </w:tcPr>
          <w:p>
            <w:pPr>
              <w:jc w:val="right"/>
              <w:ind w:right="68"/>
              <w:spacing w:after="0"/>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11.40</w:t>
            </w:r>
          </w:p>
        </w:tc>
        <w:tc>
          <w:tcPr>
            <w:tcW w:w="260" w:type="dxa"/>
            <w:vAlign w:val="bottom"/>
            <w:tcBorders>
              <w:top w:val="single" w:sz="8" w:color="F0FFFF"/>
              <w:bottom w:val="single" w:sz="8" w:color="F0FFFF"/>
            </w:tcBorders>
            <w:shd w:val="clear" w:color="auto" w:fill="F0FFFF"/>
          </w:tcPr>
          <w:p>
            <w:pPr>
              <w:jc w:val="right"/>
              <w:ind w:right="6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11.86</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11.53</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12.06</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12.07</w:t>
            </w:r>
          </w:p>
        </w:tc>
        <w:tc>
          <w:tcPr>
            <w:tcW w:w="220" w:type="dxa"/>
            <w:vAlign w:val="bottom"/>
            <w:tcBorders>
              <w:top w:val="single" w:sz="8" w:color="F0FFFF"/>
              <w:bottom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11.75</w:t>
            </w:r>
          </w:p>
        </w:tc>
        <w:tc>
          <w:tcPr>
            <w:tcW w:w="240" w:type="dxa"/>
            <w:vAlign w:val="bottom"/>
            <w:tcBorders>
              <w:top w:val="single" w:sz="8" w:color="F0FFFF"/>
              <w:bottom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11.10</w:t>
            </w:r>
          </w:p>
        </w:tc>
        <w:tc>
          <w:tcPr>
            <w:tcW w:w="1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26"/>
          <w:szCs w:val="26"/>
          <w:color w:val="auto"/>
          <w:vertAlign w:val="superscript"/>
        </w:rPr>
      </w:pPr>
      <w:r>
        <w:rPr>
          <w:rFonts w:ascii="Arial" w:cs="Arial" w:eastAsia="Arial" w:hAnsi="Arial"/>
          <w:sz w:val="16"/>
          <w:szCs w:val="16"/>
          <w:color w:val="auto"/>
        </w:rPr>
        <w:t>December 31, September 30, June 30 and March 31, 2015 calculated under Basel III rules, which became effective January 1, 2015.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reported net income of $71.6 million for the year ended December 31, 2015. This compared to net income of $67.6 million in 2014. Diluted earnings per common share for 2015 were $1.09, compared to diluted earnings per common share for 2014 of $1.11.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Revenue (Taxable Equivalent)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other liabilities) is the single largest component of United’s revenue. United actively manages this revenue source to provide optimal levels of revenue while balancing interest rate, credit, and liquidity risks. Taxable equivalent net interest revenue totaled $259 million in 2015, an increase of $34.3 million, or 15%, from 2014. Taxable equivalent net interest revenue for 2014 increased $4.78 million, or 2%, from 2013.</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combination of growth in the loan portfolio and lower interest costs on deposits and borrowed funds were responsible for the growth in net interest revenue in 2015. The acquisition of Palmetto on September 1, 2015 and MoneyTree on May 1, 2015 also contributed to the increase as the acquired entities’ results are included in consolidated results beginning on the acquisition date.</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second quarter of 2014, United restructured its balance sheet to improve its net interest margin and increase net interest revenue. The second quarter 2014 balance sheet restructure included the sale of approximately $237 million in securities which were mostly low-yielding, variable-rate collateralized mortgage obligations (“CMOs”) and fixed rate corporate bonds that had been swapped to a floating rate. Improvement in the credit spreads on corporate bonds allowed United to sell the securities at an attractive gain that was used to repay $44 million in structured repurchase agreements that were paying a 4% interest rate. About $120 million of the proceeds from the sales of securities was reinvested in fixed-rate mortgage-backed securities (“MBS”) and higher yielding floating rate collateralized loan obligations to offset the impact of the decrease in interest revenue on the sold securities. These actions in the second quarter of 2014, along with strong loan growth, were primarily responsible for the increase in net interest revenue and stabilizing the net interest margin.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6" w:gutter="0" w:footer="0" w:header="0"/>
          <w:type w:val="continuous"/>
        </w:sectPr>
      </w:pPr>
    </w:p>
    <w:bookmarkStart w:id="36" w:name="page37"/>
    <w:bookmarkEnd w:id="36"/>
    <w:p>
      <w:pPr>
        <w:jc w:val="both"/>
        <w:spacing w:after="0" w:line="290" w:lineRule="auto"/>
        <w:rPr>
          <w:sz w:val="20"/>
          <w:szCs w:val="20"/>
          <w:color w:val="auto"/>
        </w:rPr>
      </w:pPr>
      <w:r>
        <w:rPr>
          <w:rFonts w:ascii="Arial" w:cs="Arial" w:eastAsia="Arial" w:hAnsi="Arial"/>
          <w:sz w:val="16"/>
          <w:szCs w:val="16"/>
          <w:color w:val="auto"/>
        </w:rPr>
        <w:t>Also in the second quarter of 2014, as a result of improvement in the interest sensitivity position, United effectively terminated $300 million notional in pay-fixed, forward-starting swaps that were serving as cash flow hedges of LIBOR based wholesale borrowings and indexed money market deposits. The swaps were entered into in 2012 in anticipation of rising interest rates and had forward start dates that took effect in the first and second quarters of 2014. Changes in United’s balance sheet since that time made the hedges no longer necessary to achieve a neutral interest sensitivity position. The termination of the cash flow hedges in the second quarter of 2014 lowered United’s deposit and wholesale borrowings costs and also contributed to the increase in net interest revenue and improvement in the net interest margin. United effectively terminated another $100 million notional in pay-fixed swaps that were serving as cash flow hedges of LIBOR based money market deposits late in the fourth quarter of 2014. In the first quarter of 2015, United terminated its one remaining $175 million notional pay-fixed swap that was serving as a cash flow hedge of LIBOR-based money market deposits.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Average interest bearing liabilities in 2015 increased $493 million, or 10%, from the prior year as United’s funding needs increased with the increase in loans and a larger securities portfolio. Average noninterest bearing deposits increased $394 million from 2014 to 2015 providing much of United’s 2015 funding needs. The average cost of interest bearing liabilities for 2015 was .38% compared to .50% for 2014, reflecting United’s concerted efforts to reduce deposit pricing coupled with the termination of hedges mentioned above. Also contributing to the overall lower rate on interest bearing liabilities was a shift in the mix of deposits away from more expensive time deposits toward lower-rate transaction deposits. United was able to reduce the effective rate on brokered deposits by swapping the fixed rate on longer-term brokered time deposits to LIBOR minus a spread. In 2015 and 2013, this hedging program resulted in a negative rate on brokered certificates of deposit. In addition, during 2015 United redeemed higher-rate trust preferred securities and issued lower-rate senior notes.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banking industry uses two key ratios to measure relative profitability of net interest revenue - the net interest spread and the net interest margin. The net interest spread measures the difference between the average yield on interest-earning assets and the average rate paid on interest bearing liabilities. The interest rate spread eliminates the effect of non-interest-bearing deposits and other non-interest-bearing funding sources and gives a direct perspective on the effect of market interest rate movements. The net interest margin is an indication of the profitability of a company’s overall balance sheet management activities and is defined as net interest revenue as a percentage of total average interest-earning assets, which includes the positive effect of funding a portion of interest-earning assets with customers’ non-interest-bearing deposits and with shareholders’ equity.</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2015, 2014 and 2013, United’s net interest spread was 3.19%, 3.13%, and 3.16%, respectively, while the net interest margin was 3.30%, 3.26%, and 3.30%, respectively. Although loan yields continued to decline in 2015 due to competitive pricing pressure on new and renewed loans and a shift in loan mix to more floating rate loans, this decline was offset by an increase in the yield on investment securities and a decrease in the cost of deposits and borrowed funds. The increase in the yield on investment securities was due to a combination of a change in the investment portfolio mix and the balance sheet restructuring activities in mid-2014. The decrease in both ratios from 2013 to 2014 was due to lower yields on loans, which were not completely offset by the increase in the taxable investment securities yield and the decrease in rates paid for deposits and other interest bearing liabilities.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interest expense and the average balances of interest-earning assets and interest-bearing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 and Net Interest Margin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fully taxable equivalent)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00"/>
              <w:spacing w:after="0" w:line="139" w:lineRule="exact"/>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ind w:right="191"/>
              <w:spacing w:after="0" w:line="139" w:lineRule="exact"/>
              <w:rPr>
                <w:sz w:val="20"/>
                <w:szCs w:val="20"/>
                <w:color w:val="auto"/>
              </w:rPr>
            </w:pPr>
            <w:r>
              <w:rPr>
                <w:rFonts w:ascii="Arial" w:cs="Arial" w:eastAsia="Arial" w:hAnsi="Arial"/>
                <w:sz w:val="14"/>
                <w:szCs w:val="14"/>
                <w:b w:val="1"/>
                <w:bCs w:val="1"/>
                <w:color w:val="auto"/>
              </w:rPr>
              <w:t>Avg.</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80"/>
              <w:spacing w:after="0" w:line="139" w:lineRule="exact"/>
              <w:rPr>
                <w:sz w:val="20"/>
                <w:szCs w:val="20"/>
                <w:color w:val="auto"/>
              </w:rPr>
            </w:pPr>
            <w:r>
              <w:rPr>
                <w:rFonts w:ascii="Arial" w:cs="Arial" w:eastAsia="Arial" w:hAnsi="Arial"/>
                <w:sz w:val="14"/>
                <w:szCs w:val="14"/>
                <w:b w:val="1"/>
                <w:bCs w:val="1"/>
                <w:color w:val="auto"/>
                <w:w w:val="94"/>
              </w:rPr>
              <w:t>Average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169"/>
              <w:spacing w:after="0" w:line="139" w:lineRule="exact"/>
              <w:rPr>
                <w:sz w:val="20"/>
                <w:szCs w:val="20"/>
                <w:color w:val="auto"/>
              </w:rPr>
            </w:pPr>
            <w:r>
              <w:rPr>
                <w:rFonts w:ascii="Arial" w:cs="Arial" w:eastAsia="Arial" w:hAnsi="Arial"/>
                <w:sz w:val="14"/>
                <w:szCs w:val="14"/>
                <w:b w:val="1"/>
                <w:bCs w:val="1"/>
                <w:color w:val="auto"/>
              </w:rPr>
              <w:t>Avg.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60"/>
              <w:spacing w:after="0" w:line="139" w:lineRule="exact"/>
              <w:rPr>
                <w:sz w:val="20"/>
                <w:szCs w:val="20"/>
                <w:color w:val="auto"/>
              </w:rPr>
            </w:pPr>
            <w:r>
              <w:rPr>
                <w:rFonts w:ascii="Arial" w:cs="Arial" w:eastAsia="Arial" w:hAnsi="Arial"/>
                <w:sz w:val="14"/>
                <w:szCs w:val="14"/>
                <w:b w:val="1"/>
                <w:bCs w:val="1"/>
                <w:color w:val="auto"/>
                <w:w w:val="94"/>
              </w:rPr>
              <w:t>Average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191"/>
              <w:spacing w:after="0" w:line="139" w:lineRule="exact"/>
              <w:rPr>
                <w:sz w:val="20"/>
                <w:szCs w:val="20"/>
                <w:color w:val="auto"/>
              </w:rPr>
            </w:pPr>
            <w:r>
              <w:rPr>
                <w:rFonts w:ascii="Arial" w:cs="Arial" w:eastAsia="Arial" w:hAnsi="Arial"/>
                <w:sz w:val="14"/>
                <w:szCs w:val="14"/>
                <w:b w:val="1"/>
                <w:bCs w:val="1"/>
                <w:color w:val="auto"/>
              </w:rPr>
              <w:t>Avg.</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6"/>
              </w:rPr>
              <w:t>Balance</w:t>
            </w: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Interest</w:t>
            </w:r>
          </w:p>
        </w:tc>
        <w:tc>
          <w:tcPr>
            <w:tcW w:w="9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Rate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780" w:type="dxa"/>
            <w:vAlign w:val="bottom"/>
          </w:tcPr>
          <w:p>
            <w:pPr>
              <w:jc w:val="right"/>
              <w:ind w:right="169"/>
              <w:spacing w:after="0"/>
              <w:rPr>
                <w:sz w:val="20"/>
                <w:szCs w:val="20"/>
                <w:color w:val="auto"/>
              </w:rPr>
            </w:pPr>
            <w:r>
              <w:rPr>
                <w:rFonts w:ascii="Arial" w:cs="Arial" w:eastAsia="Arial" w:hAnsi="Arial"/>
                <w:sz w:val="14"/>
                <w:szCs w:val="14"/>
                <w:b w:val="1"/>
                <w:bCs w:val="1"/>
                <w:color w:val="auto"/>
              </w:rPr>
              <w:t>Rate</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Balance</w:t>
            </w:r>
          </w:p>
        </w:tc>
        <w:tc>
          <w:tcPr>
            <w:tcW w:w="100" w:type="dxa"/>
            <w:vAlign w:val="bottom"/>
          </w:tcPr>
          <w:p>
            <w:pPr>
              <w:spacing w:after="0"/>
              <w:rPr>
                <w:sz w:val="15"/>
                <w:szCs w:val="15"/>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Interest</w:t>
            </w: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F0FFFF"/>
            </w:tcBorders>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60" w:type="dxa"/>
            <w:vAlign w:val="bottom"/>
            <w:tcBorders>
              <w:top w:val="single" w:sz="8" w:color="F0FFFF"/>
            </w:tcBorders>
            <w:shd w:val="clear" w:color="auto" w:fill="F0FFFF"/>
          </w:tcPr>
          <w:p>
            <w:pPr>
              <w:spacing w:after="0"/>
              <w:rPr>
                <w:sz w:val="12"/>
                <w:szCs w:val="12"/>
                <w:color w:val="auto"/>
              </w:rPr>
            </w:pPr>
          </w:p>
        </w:tc>
        <w:tc>
          <w:tcPr>
            <w:tcW w:w="800" w:type="dxa"/>
            <w:vAlign w:val="bottom"/>
            <w:tcBorders>
              <w:top w:val="single" w:sz="8" w:color="auto"/>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Interest-earning assets: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shd w:val="clear" w:color="auto" w:fill="F0FFFF"/>
          </w:tcPr>
          <w:p>
            <w:pPr>
              <w:ind w:left="320"/>
              <w:spacing w:after="0" w:line="189" w:lineRule="exact"/>
              <w:rPr>
                <w:sz w:val="20"/>
                <w:szCs w:val="20"/>
                <w:color w:val="auto"/>
              </w:rPr>
            </w:pPr>
            <w:r>
              <w:rPr>
                <w:rFonts w:ascii="Arial" w:cs="Arial" w:eastAsia="Arial" w:hAnsi="Arial"/>
                <w:sz w:val="21"/>
                <w:szCs w:val="21"/>
                <w:color w:val="auto"/>
                <w:vertAlign w:val="subscript"/>
              </w:rPr>
              <w:t>Loans</w:t>
            </w:r>
            <w:r>
              <w:rPr>
                <w:rFonts w:ascii="Arial" w:cs="Arial" w:eastAsia="Arial" w:hAnsi="Arial"/>
                <w:sz w:val="10"/>
                <w:szCs w:val="10"/>
                <w:color w:val="auto"/>
              </w:rPr>
              <w:t xml:space="preserve"> (1)(2)</w:t>
            </w:r>
          </w:p>
        </w:tc>
        <w:tc>
          <w:tcPr>
            <w:tcW w:w="12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5,297,687</w:t>
            </w: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223,713</w:t>
            </w: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4.22%</w:t>
            </w:r>
          </w:p>
        </w:tc>
        <w:tc>
          <w:tcPr>
            <w:tcW w:w="200" w:type="dxa"/>
            <w:vAlign w:val="bottom"/>
            <w:gridSpan w:val="2"/>
            <w:shd w:val="clear" w:color="auto" w:fill="F0FFFF"/>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4,450,268</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197,039</w:t>
            </w:r>
          </w:p>
        </w:tc>
        <w:tc>
          <w:tcPr>
            <w:tcW w:w="1020" w:type="dxa"/>
            <w:vAlign w:val="bottom"/>
            <w:gridSpan w:val="2"/>
            <w:shd w:val="clear" w:color="auto" w:fill="F0FFFF"/>
          </w:tcPr>
          <w:p>
            <w:pPr>
              <w:jc w:val="right"/>
              <w:ind w:right="48"/>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4,254,159</w:t>
            </w:r>
          </w:p>
        </w:tc>
        <w:tc>
          <w:tcPr>
            <w:tcW w:w="2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201,278</w:t>
            </w: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tcPr>
          <w:p>
            <w:pPr>
              <w:ind w:left="320"/>
              <w:spacing w:after="0" w:line="189" w:lineRule="exact"/>
              <w:rPr>
                <w:sz w:val="20"/>
                <w:szCs w:val="20"/>
                <w:color w:val="auto"/>
              </w:rPr>
            </w:pPr>
            <w:r>
              <w:rPr>
                <w:rFonts w:ascii="Arial" w:cs="Arial" w:eastAsia="Arial" w:hAnsi="Arial"/>
                <w:sz w:val="13"/>
                <w:szCs w:val="13"/>
                <w:color w:val="auto"/>
              </w:rPr>
              <w:t xml:space="preserve">Taxable securities </w:t>
            </w:r>
            <w:r>
              <w:rPr>
                <w:rFonts w:ascii="Arial" w:cs="Arial" w:eastAsia="Arial" w:hAnsi="Arial"/>
                <w:sz w:val="21"/>
                <w:szCs w:val="21"/>
                <w:color w:val="auto"/>
                <w:vertAlign w:val="superscript"/>
              </w:rPr>
              <w:t>(3)</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2,342,533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51,143</w:t>
            </w:r>
          </w:p>
        </w:tc>
        <w:tc>
          <w:tcPr>
            <w:tcW w:w="980" w:type="dxa"/>
            <w:vAlign w:val="bottom"/>
            <w:gridSpan w:val="2"/>
          </w:tcPr>
          <w:p>
            <w:pPr>
              <w:jc w:val="right"/>
              <w:ind w:right="108"/>
              <w:spacing w:after="0"/>
              <w:rPr>
                <w:sz w:val="20"/>
                <w:szCs w:val="20"/>
                <w:color w:val="auto"/>
              </w:rPr>
            </w:pPr>
            <w:r>
              <w:rPr>
                <w:rFonts w:ascii="Arial" w:cs="Arial" w:eastAsia="Arial" w:hAnsi="Arial"/>
                <w:sz w:val="14"/>
                <w:szCs w:val="14"/>
                <w:color w:val="auto"/>
              </w:rPr>
              <w:t>2.18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2,255,084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47,755</w:t>
            </w:r>
          </w:p>
        </w:tc>
        <w:tc>
          <w:tcPr>
            <w:tcW w:w="780" w:type="dxa"/>
            <w:vAlign w:val="bottom"/>
          </w:tcPr>
          <w:p>
            <w:pPr>
              <w:jc w:val="right"/>
              <w:spacing w:after="0"/>
              <w:rPr>
                <w:sz w:val="20"/>
                <w:szCs w:val="20"/>
                <w:color w:val="auto"/>
              </w:rPr>
            </w:pPr>
            <w:r>
              <w:rPr>
                <w:rFonts w:ascii="Arial" w:cs="Arial" w:eastAsia="Arial" w:hAnsi="Arial"/>
                <w:sz w:val="14"/>
                <w:szCs w:val="14"/>
                <w:color w:val="auto"/>
              </w:rPr>
              <w:t>2.12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2,169,024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40,331</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80" w:type="dxa"/>
            <w:vAlign w:val="bottom"/>
            <w:shd w:val="clear" w:color="auto" w:fill="F0FFFF"/>
          </w:tcPr>
          <w:p>
            <w:pPr>
              <w:ind w:left="320"/>
              <w:spacing w:after="0" w:line="189" w:lineRule="exact"/>
              <w:rPr>
                <w:sz w:val="20"/>
                <w:szCs w:val="20"/>
                <w:color w:val="auto"/>
              </w:rPr>
            </w:pPr>
            <w:r>
              <w:rPr>
                <w:rFonts w:ascii="Arial" w:cs="Arial" w:eastAsia="Arial" w:hAnsi="Arial"/>
                <w:sz w:val="13"/>
                <w:szCs w:val="13"/>
                <w:color w:val="auto"/>
              </w:rPr>
              <w:t xml:space="preserve">Tax-exempt securities </w:t>
            </w:r>
            <w:r>
              <w:rPr>
                <w:rFonts w:ascii="Arial" w:cs="Arial" w:eastAsia="Arial" w:hAnsi="Arial"/>
                <w:sz w:val="21"/>
                <w:szCs w:val="21"/>
                <w:color w:val="auto"/>
                <w:vertAlign w:val="superscript"/>
              </w:rPr>
              <w:t>(1)(3)</w:t>
            </w:r>
          </w:p>
        </w:tc>
        <w:tc>
          <w:tcPr>
            <w:tcW w:w="12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25,439</w:t>
            </w:r>
          </w:p>
        </w:tc>
        <w:tc>
          <w:tcPr>
            <w:tcW w:w="12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1,154</w:t>
            </w:r>
          </w:p>
        </w:tc>
        <w:tc>
          <w:tcPr>
            <w:tcW w:w="980" w:type="dxa"/>
            <w:vAlign w:val="bottom"/>
            <w:gridSpan w:val="2"/>
            <w:shd w:val="clear" w:color="auto" w:fill="F0FFFF"/>
          </w:tcPr>
          <w:p>
            <w:pPr>
              <w:jc w:val="right"/>
              <w:ind w:right="108"/>
              <w:spacing w:after="0"/>
              <w:rPr>
                <w:sz w:val="20"/>
                <w:szCs w:val="20"/>
                <w:color w:val="auto"/>
              </w:rPr>
            </w:pPr>
            <w:r>
              <w:rPr>
                <w:rFonts w:ascii="Arial" w:cs="Arial" w:eastAsia="Arial" w:hAnsi="Arial"/>
                <w:sz w:val="14"/>
                <w:szCs w:val="14"/>
                <w:color w:val="auto"/>
              </w:rPr>
              <w:t>4.54</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19,279</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1,209</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6.27</w:t>
            </w:r>
          </w:p>
        </w:tc>
        <w:tc>
          <w:tcPr>
            <w:tcW w:w="2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21,228</w:t>
            </w:r>
          </w:p>
        </w:tc>
        <w:tc>
          <w:tcPr>
            <w:tcW w:w="10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1,354</w:t>
            </w:r>
          </w:p>
        </w:tc>
        <w:tc>
          <w:tcPr>
            <w:tcW w:w="900" w:type="dxa"/>
            <w:vAlign w:val="bottom"/>
            <w:gridSpan w:val="2"/>
            <w:shd w:val="clear" w:color="auto" w:fill="F0FFFF"/>
          </w:tcPr>
          <w:p>
            <w:pPr>
              <w:jc w:val="right"/>
              <w:ind w:right="48"/>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ind w:left="320"/>
              <w:spacing w:after="0" w:line="130" w:lineRule="exact"/>
              <w:rPr>
                <w:sz w:val="20"/>
                <w:szCs w:val="20"/>
                <w:color w:val="auto"/>
              </w:rPr>
            </w:pPr>
            <w:r>
              <w:rPr>
                <w:rFonts w:ascii="Arial" w:cs="Arial" w:eastAsia="Arial" w:hAnsi="Arial"/>
                <w:sz w:val="14"/>
                <w:szCs w:val="14"/>
                <w:color w:val="auto"/>
              </w:rPr>
              <w:t>Federal funds sold and other</w:t>
            </w:r>
          </w:p>
        </w:tc>
        <w:tc>
          <w:tcPr>
            <w:tcW w:w="120" w:type="dxa"/>
            <w:vAlign w:val="bottom"/>
          </w:tcPr>
          <w:p>
            <w:pPr>
              <w:spacing w:after="0"/>
              <w:rPr>
                <w:sz w:val="11"/>
                <w:szCs w:val="11"/>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168,494</w:t>
            </w:r>
          </w:p>
        </w:tc>
        <w:tc>
          <w:tcPr>
            <w:tcW w:w="120" w:type="dxa"/>
            <w:vAlign w:val="bottom"/>
          </w:tcPr>
          <w:p>
            <w:pPr>
              <w:spacing w:after="0"/>
              <w:rPr>
                <w:sz w:val="11"/>
                <w:szCs w:val="11"/>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3,799</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155,803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3,966</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204,303</w:t>
            </w:r>
          </w:p>
        </w:tc>
        <w:tc>
          <w:tcPr>
            <w:tcW w:w="100" w:type="dxa"/>
            <w:vAlign w:val="bottom"/>
          </w:tcPr>
          <w:p>
            <w:pPr>
              <w:spacing w:after="0"/>
              <w:rPr>
                <w:sz w:val="11"/>
                <w:szCs w:val="11"/>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4,360</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80" w:type="dxa"/>
            <w:vAlign w:val="bottom"/>
          </w:tcPr>
          <w:p>
            <w:pPr>
              <w:ind w:left="480"/>
              <w:spacing w:after="0" w:line="154" w:lineRule="exact"/>
              <w:rPr>
                <w:sz w:val="20"/>
                <w:szCs w:val="20"/>
                <w:color w:val="auto"/>
              </w:rPr>
            </w:pPr>
            <w:r>
              <w:rPr>
                <w:rFonts w:ascii="Arial" w:cs="Arial" w:eastAsia="Arial" w:hAnsi="Arial"/>
                <w:sz w:val="14"/>
                <w:szCs w:val="14"/>
                <w:color w:val="auto"/>
              </w:rPr>
              <w:t>interest-earning assets</w:t>
            </w: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gridSpan w:val="2"/>
          </w:tcPr>
          <w:p>
            <w:pPr>
              <w:jc w:val="right"/>
              <w:ind w:right="108"/>
              <w:spacing w:after="0" w:line="154" w:lineRule="exact"/>
              <w:rPr>
                <w:sz w:val="20"/>
                <w:szCs w:val="20"/>
                <w:color w:val="auto"/>
              </w:rPr>
            </w:pPr>
            <w:r>
              <w:rPr>
                <w:rFonts w:ascii="Arial" w:cs="Arial" w:eastAsia="Arial" w:hAnsi="Arial"/>
                <w:sz w:val="14"/>
                <w:szCs w:val="14"/>
                <w:color w:val="auto"/>
              </w:rPr>
              <w:t>2.25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780" w:type="dxa"/>
            <w:vAlign w:val="bottom"/>
          </w:tcPr>
          <w:p>
            <w:pPr>
              <w:jc w:val="right"/>
              <w:spacing w:after="0" w:line="154" w:lineRule="exact"/>
              <w:rPr>
                <w:sz w:val="20"/>
                <w:szCs w:val="20"/>
                <w:color w:val="auto"/>
              </w:rPr>
            </w:pPr>
            <w:r>
              <w:rPr>
                <w:rFonts w:ascii="Arial" w:cs="Arial" w:eastAsia="Arial" w:hAnsi="Arial"/>
                <w:sz w:val="14"/>
                <w:szCs w:val="14"/>
                <w:color w:val="auto"/>
              </w:rPr>
              <w:t>2.55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2"/>
          </w:tcPr>
          <w:p>
            <w:pPr>
              <w:jc w:val="right"/>
              <w:ind w:right="48"/>
              <w:spacing w:after="0" w:line="154" w:lineRule="exact"/>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280" w:type="dxa"/>
            <w:vAlign w:val="bottom"/>
            <w:tcBorders>
              <w:top w:val="single" w:sz="8" w:color="F0FFFF"/>
            </w:tcBorders>
            <w:shd w:val="clear" w:color="auto" w:fill="F0FFFF"/>
          </w:tcPr>
          <w:p>
            <w:pPr>
              <w:ind w:left="480"/>
              <w:spacing w:after="0" w:line="113" w:lineRule="exact"/>
              <w:rPr>
                <w:sz w:val="20"/>
                <w:szCs w:val="20"/>
                <w:color w:val="auto"/>
              </w:rPr>
            </w:pPr>
            <w:r>
              <w:rPr>
                <w:rFonts w:ascii="Arial" w:cs="Arial" w:eastAsia="Arial" w:hAnsi="Arial"/>
                <w:sz w:val="13"/>
                <w:szCs w:val="13"/>
                <w:b w:val="1"/>
                <w:bCs w:val="1"/>
                <w:color w:val="auto"/>
              </w:rPr>
              <w:t>Total interest-earning</w:t>
            </w:r>
          </w:p>
        </w:tc>
        <w:tc>
          <w:tcPr>
            <w:tcW w:w="120" w:type="dxa"/>
            <w:vAlign w:val="bottom"/>
            <w:tcBorders>
              <w:top w:val="single" w:sz="8" w:color="auto"/>
            </w:tcBorders>
            <w:shd w:val="clear" w:color="auto" w:fill="F0FFFF"/>
          </w:tcPr>
          <w:p>
            <w:pPr>
              <w:spacing w:after="0"/>
              <w:rPr>
                <w:sz w:val="9"/>
                <w:szCs w:val="9"/>
                <w:color w:val="auto"/>
              </w:rPr>
            </w:pPr>
          </w:p>
        </w:tc>
        <w:tc>
          <w:tcPr>
            <w:tcW w:w="700" w:type="dxa"/>
            <w:vAlign w:val="bottom"/>
            <w:tcBorders>
              <w:top w:val="single" w:sz="8" w:color="auto"/>
            </w:tcBorders>
            <w:shd w:val="clear" w:color="auto" w:fill="F0FFFF"/>
          </w:tcPr>
          <w:p>
            <w:pPr>
              <w:spacing w:after="0"/>
              <w:rPr>
                <w:sz w:val="9"/>
                <w:szCs w:val="9"/>
                <w:color w:val="auto"/>
              </w:rPr>
            </w:pPr>
          </w:p>
        </w:tc>
        <w:tc>
          <w:tcPr>
            <w:tcW w:w="240" w:type="dxa"/>
            <w:vAlign w:val="bottom"/>
            <w:tcBorders>
              <w:top w:val="single" w:sz="8" w:color="F0FFFF"/>
            </w:tcBorders>
            <w:shd w:val="clear" w:color="auto" w:fill="F0FFFF"/>
          </w:tcPr>
          <w:p>
            <w:pPr>
              <w:spacing w:after="0"/>
              <w:rPr>
                <w:sz w:val="9"/>
                <w:szCs w:val="9"/>
                <w:color w:val="auto"/>
              </w:rPr>
            </w:pPr>
          </w:p>
        </w:tc>
        <w:tc>
          <w:tcPr>
            <w:tcW w:w="120" w:type="dxa"/>
            <w:vAlign w:val="bottom"/>
            <w:tcBorders>
              <w:top w:val="single" w:sz="8" w:color="auto"/>
            </w:tcBorders>
            <w:shd w:val="clear" w:color="auto" w:fill="F0FFFF"/>
          </w:tcPr>
          <w:p>
            <w:pPr>
              <w:spacing w:after="0"/>
              <w:rPr>
                <w:sz w:val="9"/>
                <w:szCs w:val="9"/>
                <w:color w:val="auto"/>
              </w:rPr>
            </w:pPr>
          </w:p>
        </w:tc>
        <w:tc>
          <w:tcPr>
            <w:tcW w:w="680" w:type="dxa"/>
            <w:vAlign w:val="bottom"/>
            <w:tcBorders>
              <w:top w:val="single" w:sz="8" w:color="auto"/>
            </w:tcBorders>
            <w:shd w:val="clear" w:color="auto" w:fill="F0FFFF"/>
          </w:tcPr>
          <w:p>
            <w:pPr>
              <w:spacing w:after="0"/>
              <w:rPr>
                <w:sz w:val="9"/>
                <w:szCs w:val="9"/>
                <w:color w:val="auto"/>
              </w:rPr>
            </w:pPr>
          </w:p>
        </w:tc>
        <w:tc>
          <w:tcPr>
            <w:tcW w:w="260" w:type="dxa"/>
            <w:vAlign w:val="bottom"/>
            <w:tcBorders>
              <w:top w:val="single" w:sz="8" w:color="F0FFFF"/>
            </w:tcBorders>
            <w:shd w:val="clear" w:color="auto" w:fill="F0FFFF"/>
          </w:tcPr>
          <w:p>
            <w:pPr>
              <w:spacing w:after="0"/>
              <w:rPr>
                <w:sz w:val="9"/>
                <w:szCs w:val="9"/>
                <w:color w:val="auto"/>
              </w:rPr>
            </w:pPr>
          </w:p>
        </w:tc>
        <w:tc>
          <w:tcPr>
            <w:tcW w:w="800" w:type="dxa"/>
            <w:vAlign w:val="bottom"/>
            <w:tcBorders>
              <w:top w:val="single" w:sz="8" w:color="F0FFFF"/>
            </w:tcBorders>
            <w:shd w:val="clear" w:color="auto" w:fill="F0FFFF"/>
          </w:tcPr>
          <w:p>
            <w:pPr>
              <w:spacing w:after="0"/>
              <w:rPr>
                <w:sz w:val="9"/>
                <w:szCs w:val="9"/>
                <w:color w:val="auto"/>
              </w:rPr>
            </w:pPr>
          </w:p>
        </w:tc>
        <w:tc>
          <w:tcPr>
            <w:tcW w:w="180" w:type="dxa"/>
            <w:vAlign w:val="bottom"/>
            <w:tcBorders>
              <w:top w:val="single" w:sz="8" w:color="F0FFFF"/>
            </w:tcBorders>
            <w:shd w:val="clear" w:color="auto" w:fill="F0FFFF"/>
          </w:tcPr>
          <w:p>
            <w:pPr>
              <w:spacing w:after="0"/>
              <w:rPr>
                <w:sz w:val="9"/>
                <w:szCs w:val="9"/>
                <w:color w:val="auto"/>
              </w:rPr>
            </w:pPr>
          </w:p>
        </w:tc>
        <w:tc>
          <w:tcPr>
            <w:tcW w:w="80" w:type="dxa"/>
            <w:vAlign w:val="bottom"/>
            <w:tcBorders>
              <w:top w:val="single" w:sz="8" w:color="F0FFFF"/>
            </w:tcBorders>
            <w:shd w:val="clear" w:color="auto" w:fill="F0FFFF"/>
          </w:tcPr>
          <w:p>
            <w:pPr>
              <w:spacing w:after="0"/>
              <w:rPr>
                <w:sz w:val="9"/>
                <w:szCs w:val="9"/>
                <w:color w:val="auto"/>
              </w:rPr>
            </w:pPr>
          </w:p>
        </w:tc>
        <w:tc>
          <w:tcPr>
            <w:tcW w:w="120" w:type="dxa"/>
            <w:vAlign w:val="bottom"/>
            <w:tcBorders>
              <w:top w:val="single" w:sz="8" w:color="auto"/>
            </w:tcBorders>
            <w:shd w:val="clear" w:color="auto" w:fill="F0FFFF"/>
          </w:tcPr>
          <w:p>
            <w:pPr>
              <w:spacing w:after="0"/>
              <w:rPr>
                <w:sz w:val="9"/>
                <w:szCs w:val="9"/>
                <w:color w:val="auto"/>
              </w:rPr>
            </w:pPr>
          </w:p>
        </w:tc>
        <w:tc>
          <w:tcPr>
            <w:tcW w:w="680" w:type="dxa"/>
            <w:vAlign w:val="bottom"/>
            <w:tcBorders>
              <w:top w:val="single" w:sz="8" w:color="auto"/>
            </w:tcBorders>
            <w:shd w:val="clear" w:color="auto" w:fill="F0FFFF"/>
          </w:tcPr>
          <w:p>
            <w:pPr>
              <w:spacing w:after="0"/>
              <w:rPr>
                <w:sz w:val="9"/>
                <w:szCs w:val="9"/>
                <w:color w:val="auto"/>
              </w:rPr>
            </w:pPr>
          </w:p>
        </w:tc>
        <w:tc>
          <w:tcPr>
            <w:tcW w:w="140" w:type="dxa"/>
            <w:vAlign w:val="bottom"/>
            <w:tcBorders>
              <w:top w:val="single" w:sz="8" w:color="F0FFFF"/>
            </w:tcBorders>
            <w:shd w:val="clear" w:color="auto" w:fill="F0FFFF"/>
          </w:tcPr>
          <w:p>
            <w:pPr>
              <w:spacing w:after="0"/>
              <w:rPr>
                <w:sz w:val="9"/>
                <w:szCs w:val="9"/>
                <w:color w:val="auto"/>
              </w:rPr>
            </w:pPr>
          </w:p>
        </w:tc>
        <w:tc>
          <w:tcPr>
            <w:tcW w:w="80" w:type="dxa"/>
            <w:vAlign w:val="bottom"/>
            <w:tcBorders>
              <w:top w:val="single" w:sz="8" w:color="F0FFFF"/>
            </w:tcBorders>
            <w:shd w:val="clear" w:color="auto" w:fill="F0FFFF"/>
          </w:tcPr>
          <w:p>
            <w:pPr>
              <w:spacing w:after="0"/>
              <w:rPr>
                <w:sz w:val="9"/>
                <w:szCs w:val="9"/>
                <w:color w:val="auto"/>
              </w:rPr>
            </w:pPr>
          </w:p>
        </w:tc>
        <w:tc>
          <w:tcPr>
            <w:tcW w:w="120" w:type="dxa"/>
            <w:vAlign w:val="bottom"/>
            <w:tcBorders>
              <w:top w:val="single" w:sz="8" w:color="auto"/>
            </w:tcBorders>
            <w:shd w:val="clear" w:color="auto" w:fill="F0FFFF"/>
          </w:tcPr>
          <w:p>
            <w:pPr>
              <w:spacing w:after="0"/>
              <w:rPr>
                <w:sz w:val="9"/>
                <w:szCs w:val="9"/>
                <w:color w:val="auto"/>
              </w:rPr>
            </w:pPr>
          </w:p>
        </w:tc>
        <w:tc>
          <w:tcPr>
            <w:tcW w:w="660" w:type="dxa"/>
            <w:vAlign w:val="bottom"/>
            <w:tcBorders>
              <w:top w:val="single" w:sz="8" w:color="auto"/>
            </w:tcBorders>
            <w:shd w:val="clear" w:color="auto" w:fill="F0FFFF"/>
          </w:tcPr>
          <w:p>
            <w:pPr>
              <w:spacing w:after="0"/>
              <w:rPr>
                <w:sz w:val="9"/>
                <w:szCs w:val="9"/>
                <w:color w:val="auto"/>
              </w:rPr>
            </w:pPr>
          </w:p>
        </w:tc>
        <w:tc>
          <w:tcPr>
            <w:tcW w:w="220" w:type="dxa"/>
            <w:vAlign w:val="bottom"/>
            <w:tcBorders>
              <w:top w:val="single" w:sz="8" w:color="F0FFFF"/>
            </w:tcBorders>
            <w:shd w:val="clear" w:color="auto" w:fill="F0FFFF"/>
          </w:tcPr>
          <w:p>
            <w:pPr>
              <w:spacing w:after="0"/>
              <w:rPr>
                <w:sz w:val="9"/>
                <w:szCs w:val="9"/>
                <w:color w:val="auto"/>
              </w:rPr>
            </w:pPr>
          </w:p>
        </w:tc>
        <w:tc>
          <w:tcPr>
            <w:tcW w:w="780" w:type="dxa"/>
            <w:vAlign w:val="bottom"/>
            <w:tcBorders>
              <w:top w:val="single" w:sz="8" w:color="F0FFFF"/>
            </w:tcBorders>
            <w:shd w:val="clear" w:color="auto" w:fill="F0FFFF"/>
          </w:tcPr>
          <w:p>
            <w:pPr>
              <w:spacing w:after="0"/>
              <w:rPr>
                <w:sz w:val="9"/>
                <w:szCs w:val="9"/>
                <w:color w:val="auto"/>
              </w:rPr>
            </w:pPr>
          </w:p>
        </w:tc>
        <w:tc>
          <w:tcPr>
            <w:tcW w:w="240" w:type="dxa"/>
            <w:vAlign w:val="bottom"/>
            <w:tcBorders>
              <w:top w:val="single" w:sz="8" w:color="F0FFFF"/>
            </w:tcBorders>
            <w:shd w:val="clear" w:color="auto" w:fill="F0FFFF"/>
          </w:tcPr>
          <w:p>
            <w:pPr>
              <w:spacing w:after="0"/>
              <w:rPr>
                <w:sz w:val="9"/>
                <w:szCs w:val="9"/>
                <w:color w:val="auto"/>
              </w:rPr>
            </w:pPr>
          </w:p>
        </w:tc>
        <w:tc>
          <w:tcPr>
            <w:tcW w:w="100" w:type="dxa"/>
            <w:vAlign w:val="bottom"/>
            <w:tcBorders>
              <w:top w:val="single" w:sz="8" w:color="auto"/>
            </w:tcBorders>
            <w:shd w:val="clear" w:color="auto" w:fill="F0FFFF"/>
          </w:tcPr>
          <w:p>
            <w:pPr>
              <w:spacing w:after="0"/>
              <w:rPr>
                <w:sz w:val="9"/>
                <w:szCs w:val="9"/>
                <w:color w:val="auto"/>
              </w:rPr>
            </w:pPr>
          </w:p>
        </w:tc>
        <w:tc>
          <w:tcPr>
            <w:tcW w:w="680" w:type="dxa"/>
            <w:vAlign w:val="bottom"/>
            <w:tcBorders>
              <w:top w:val="single" w:sz="8" w:color="auto"/>
            </w:tcBorders>
            <w:shd w:val="clear" w:color="auto" w:fill="F0FFFF"/>
          </w:tcPr>
          <w:p>
            <w:pPr>
              <w:spacing w:after="0"/>
              <w:rPr>
                <w:sz w:val="9"/>
                <w:szCs w:val="9"/>
                <w:color w:val="auto"/>
              </w:rPr>
            </w:pPr>
          </w:p>
        </w:tc>
        <w:tc>
          <w:tcPr>
            <w:tcW w:w="220" w:type="dxa"/>
            <w:vAlign w:val="bottom"/>
            <w:tcBorders>
              <w:top w:val="single" w:sz="8" w:color="F0FFFF"/>
            </w:tcBorders>
            <w:shd w:val="clear" w:color="auto" w:fill="F0FFFF"/>
          </w:tcPr>
          <w:p>
            <w:pPr>
              <w:spacing w:after="0"/>
              <w:rPr>
                <w:sz w:val="9"/>
                <w:szCs w:val="9"/>
                <w:color w:val="auto"/>
              </w:rPr>
            </w:pPr>
          </w:p>
        </w:tc>
        <w:tc>
          <w:tcPr>
            <w:tcW w:w="100" w:type="dxa"/>
            <w:vAlign w:val="bottom"/>
            <w:tcBorders>
              <w:top w:val="single" w:sz="8" w:color="auto"/>
            </w:tcBorders>
            <w:shd w:val="clear" w:color="auto" w:fill="F0FFFF"/>
          </w:tcPr>
          <w:p>
            <w:pPr>
              <w:spacing w:after="0"/>
              <w:rPr>
                <w:sz w:val="9"/>
                <w:szCs w:val="9"/>
                <w:color w:val="auto"/>
              </w:rPr>
            </w:pPr>
          </w:p>
        </w:tc>
        <w:tc>
          <w:tcPr>
            <w:tcW w:w="680" w:type="dxa"/>
            <w:vAlign w:val="bottom"/>
            <w:tcBorders>
              <w:top w:val="single" w:sz="8" w:color="auto"/>
            </w:tcBorders>
            <w:shd w:val="clear" w:color="auto" w:fill="F0FFFF"/>
          </w:tcPr>
          <w:p>
            <w:pPr>
              <w:spacing w:after="0"/>
              <w:rPr>
                <w:sz w:val="9"/>
                <w:szCs w:val="9"/>
                <w:color w:val="auto"/>
              </w:rPr>
            </w:pPr>
          </w:p>
        </w:tc>
        <w:tc>
          <w:tcPr>
            <w:tcW w:w="220" w:type="dxa"/>
            <w:vAlign w:val="bottom"/>
            <w:tcBorders>
              <w:top w:val="single" w:sz="8" w:color="F0FFFF"/>
            </w:tcBorders>
            <w:shd w:val="clear" w:color="auto" w:fill="F0FFFF"/>
          </w:tcPr>
          <w:p>
            <w:pPr>
              <w:spacing w:after="0"/>
              <w:rPr>
                <w:sz w:val="9"/>
                <w:szCs w:val="9"/>
                <w:color w:val="auto"/>
              </w:rPr>
            </w:pPr>
          </w:p>
        </w:tc>
        <w:tc>
          <w:tcPr>
            <w:tcW w:w="780" w:type="dxa"/>
            <w:vAlign w:val="bottom"/>
            <w:tcBorders>
              <w:top w:val="single" w:sz="8" w:color="F0FFFF"/>
            </w:tcBorders>
            <w:shd w:val="clear" w:color="auto" w:fill="F0FFFF"/>
          </w:tcPr>
          <w:p>
            <w:pPr>
              <w:spacing w:after="0"/>
              <w:rPr>
                <w:sz w:val="9"/>
                <w:szCs w:val="9"/>
                <w:color w:val="auto"/>
              </w:rPr>
            </w:pPr>
          </w:p>
        </w:tc>
        <w:tc>
          <w:tcPr>
            <w:tcW w:w="120" w:type="dxa"/>
            <w:vAlign w:val="bottom"/>
            <w:tcBorders>
              <w:top w:val="single" w:sz="8" w:color="F0FFFF"/>
            </w:tcBorders>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shd w:val="clear" w:color="auto" w:fill="F0FFFF"/>
          </w:tcPr>
          <w:p>
            <w:pPr>
              <w:ind w:left="48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F0FFFF"/>
          </w:tcPr>
          <w:p>
            <w:pPr>
              <w:spacing w:after="0"/>
              <w:rPr>
                <w:sz w:val="17"/>
                <w:szCs w:val="17"/>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7,834,153</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279,809</w:t>
            </w:r>
          </w:p>
        </w:tc>
        <w:tc>
          <w:tcPr>
            <w:tcW w:w="980" w:type="dxa"/>
            <w:vAlign w:val="bottom"/>
            <w:gridSpan w:val="2"/>
            <w:shd w:val="clear" w:color="auto" w:fill="F0FFFF"/>
          </w:tcPr>
          <w:p>
            <w:pPr>
              <w:jc w:val="right"/>
              <w:ind w:right="108"/>
              <w:spacing w:after="0"/>
              <w:rPr>
                <w:sz w:val="20"/>
                <w:szCs w:val="20"/>
                <w:color w:val="auto"/>
              </w:rPr>
            </w:pPr>
            <w:r>
              <w:rPr>
                <w:rFonts w:ascii="Arial" w:cs="Arial" w:eastAsia="Arial" w:hAnsi="Arial"/>
                <w:sz w:val="14"/>
                <w:szCs w:val="14"/>
                <w:color w:val="auto"/>
              </w:rPr>
              <w:t>3.57</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6,880,434</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249,969</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3.63</w:t>
            </w:r>
          </w:p>
        </w:tc>
        <w:tc>
          <w:tcPr>
            <w:tcW w:w="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6,648,714</w:t>
            </w: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247,323</w:t>
            </w:r>
          </w:p>
        </w:tc>
        <w:tc>
          <w:tcPr>
            <w:tcW w:w="900" w:type="dxa"/>
            <w:vAlign w:val="bottom"/>
            <w:gridSpan w:val="2"/>
            <w:shd w:val="clear" w:color="auto" w:fill="F0FFFF"/>
          </w:tcPr>
          <w:p>
            <w:pPr>
              <w:jc w:val="right"/>
              <w:ind w:right="48"/>
              <w:spacing w:after="0"/>
              <w:rPr>
                <w:sz w:val="20"/>
                <w:szCs w:val="20"/>
                <w:color w:val="auto"/>
              </w:rPr>
            </w:pPr>
            <w:r>
              <w:rPr>
                <w:rFonts w:ascii="Arial" w:cs="Arial" w:eastAsia="Arial" w:hAnsi="Arial"/>
                <w:sz w:val="14"/>
                <w:szCs w:val="14"/>
                <w:color w:val="auto"/>
              </w:rPr>
              <w:t>3.72</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80" w:type="dxa"/>
            <w:vAlign w:val="bottom"/>
            <w:tcBorders>
              <w:top w:val="single" w:sz="8" w:color="F0FFFF"/>
            </w:tcBorders>
          </w:tcPr>
          <w:p>
            <w:pPr>
              <w:spacing w:after="0" w:line="136" w:lineRule="exact"/>
              <w:rPr>
                <w:sz w:val="20"/>
                <w:szCs w:val="20"/>
                <w:color w:val="auto"/>
              </w:rPr>
            </w:pPr>
            <w:r>
              <w:rPr>
                <w:rFonts w:ascii="Arial" w:cs="Arial" w:eastAsia="Arial" w:hAnsi="Arial"/>
                <w:sz w:val="14"/>
                <w:szCs w:val="14"/>
                <w:color w:val="auto"/>
              </w:rPr>
              <w:t>Non-interest-earning assets:</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60" w:type="dxa"/>
            <w:vAlign w:val="bottom"/>
            <w:tcBorders>
              <w:top w:val="single" w:sz="8" w:color="F0FFFF"/>
            </w:tcBorders>
          </w:tcPr>
          <w:p>
            <w:pPr>
              <w:spacing w:after="0"/>
              <w:rPr>
                <w:sz w:val="11"/>
                <w:szCs w:val="11"/>
                <w:color w:val="auto"/>
              </w:rPr>
            </w:pPr>
          </w:p>
        </w:tc>
        <w:tc>
          <w:tcPr>
            <w:tcW w:w="800" w:type="dxa"/>
            <w:vAlign w:val="bottom"/>
            <w:tcBorders>
              <w:top w:val="single" w:sz="8" w:color="F0FFFF"/>
            </w:tcBorders>
          </w:tcPr>
          <w:p>
            <w:pPr>
              <w:spacing w:after="0"/>
              <w:rPr>
                <w:sz w:val="11"/>
                <w:szCs w:val="11"/>
                <w:color w:val="auto"/>
              </w:rPr>
            </w:pPr>
          </w:p>
        </w:tc>
        <w:tc>
          <w:tcPr>
            <w:tcW w:w="18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780" w:type="dxa"/>
            <w:vAlign w:val="bottom"/>
            <w:tcBorders>
              <w:top w:val="single" w:sz="8" w:color="F0FFFF"/>
            </w:tcBorders>
          </w:tcPr>
          <w:p>
            <w:pPr>
              <w:spacing w:after="0"/>
              <w:rPr>
                <w:sz w:val="11"/>
                <w:szCs w:val="11"/>
                <w:color w:val="auto"/>
              </w:rPr>
            </w:pP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780" w:type="dxa"/>
            <w:vAlign w:val="bottom"/>
            <w:tcBorders>
              <w:top w:val="single" w:sz="8" w:color="F0FFFF"/>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ind w:left="320"/>
              <w:spacing w:after="0" w:line="149" w:lineRule="exact"/>
              <w:rPr>
                <w:sz w:val="20"/>
                <w:szCs w:val="20"/>
                <w:color w:val="auto"/>
              </w:rPr>
            </w:pPr>
            <w:r>
              <w:rPr>
                <w:rFonts w:ascii="Arial" w:cs="Arial" w:eastAsia="Arial" w:hAnsi="Arial"/>
                <w:sz w:val="14"/>
                <w:szCs w:val="14"/>
                <w:color w:val="auto"/>
              </w:rPr>
              <w:t>Allowance for loan losses</w:t>
            </w:r>
          </w:p>
        </w:tc>
        <w:tc>
          <w:tcPr>
            <w:tcW w:w="12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(71,001)</w:t>
            </w: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(75,237)</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(95,411)</w:t>
            </w: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line="149" w:lineRule="exact"/>
              <w:rPr>
                <w:sz w:val="20"/>
                <w:szCs w:val="20"/>
                <w:color w:val="auto"/>
              </w:rPr>
            </w:pPr>
            <w:r>
              <w:rPr>
                <w:rFonts w:ascii="Arial" w:cs="Arial" w:eastAsia="Arial" w:hAnsi="Arial"/>
                <w:sz w:val="14"/>
                <w:szCs w:val="14"/>
                <w:color w:val="auto"/>
              </w:rPr>
              <w:t>Cash and due from banks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81,244</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67,818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63,174</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ind w:left="320"/>
              <w:spacing w:after="0" w:line="149" w:lineRule="exact"/>
              <w:rPr>
                <w:sz w:val="20"/>
                <w:szCs w:val="20"/>
                <w:color w:val="auto"/>
              </w:rPr>
            </w:pPr>
            <w:r>
              <w:rPr>
                <w:rFonts w:ascii="Arial" w:cs="Arial" w:eastAsia="Arial" w:hAnsi="Arial"/>
                <w:sz w:val="14"/>
                <w:szCs w:val="14"/>
                <w:color w:val="auto"/>
              </w:rPr>
              <w:t>Premises and equipment</w:t>
            </w:r>
          </w:p>
        </w:tc>
        <w:tc>
          <w:tcPr>
            <w:tcW w:w="12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174,835</w:t>
            </w: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161,391</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167,424</w:t>
            </w: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ind w:left="320"/>
              <w:spacing w:after="0" w:line="202" w:lineRule="exact"/>
              <w:rPr>
                <w:sz w:val="20"/>
                <w:szCs w:val="20"/>
                <w:color w:val="auto"/>
              </w:rPr>
            </w:pPr>
            <w:r>
              <w:rPr>
                <w:rFonts w:ascii="Arial" w:cs="Arial" w:eastAsia="Arial" w:hAnsi="Arial"/>
                <w:sz w:val="14"/>
                <w:szCs w:val="14"/>
                <w:color w:val="auto"/>
              </w:rPr>
              <w:t xml:space="preserve">Other assets </w:t>
            </w:r>
            <w:r>
              <w:rPr>
                <w:rFonts w:ascii="Arial" w:cs="Arial" w:eastAsia="Arial" w:hAnsi="Arial"/>
                <w:sz w:val="23"/>
                <w:szCs w:val="23"/>
                <w:color w:val="auto"/>
                <w:vertAlign w:val="superscript"/>
              </w:rPr>
              <w:t>(3)</w:t>
            </w: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442,878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401,240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290,098</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28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8,462,109</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F0FFFF"/>
              <w:bottom w:val="single" w:sz="8" w:color="F0FFFF"/>
            </w:tcBorders>
            <w:shd w:val="clear" w:color="auto" w:fill="F0FFFF"/>
          </w:tcPr>
          <w:p>
            <w:pPr>
              <w:spacing w:after="0"/>
              <w:rPr>
                <w:sz w:val="15"/>
                <w:szCs w:val="15"/>
                <w:color w:val="auto"/>
              </w:rPr>
            </w:pPr>
          </w:p>
        </w:tc>
        <w:tc>
          <w:tcPr>
            <w:tcW w:w="260" w:type="dxa"/>
            <w:vAlign w:val="bottom"/>
            <w:tcBorders>
              <w:top w:val="single" w:sz="8" w:color="F0FFFF"/>
              <w:bottom w:val="single" w:sz="8" w:color="F0FFFF"/>
            </w:tcBorders>
            <w:shd w:val="clear" w:color="auto" w:fill="F0FFFF"/>
          </w:tcPr>
          <w:p>
            <w:pPr>
              <w:spacing w:after="0"/>
              <w:rPr>
                <w:sz w:val="15"/>
                <w:szCs w:val="15"/>
                <w:color w:val="auto"/>
              </w:rPr>
            </w:pPr>
          </w:p>
        </w:tc>
        <w:tc>
          <w:tcPr>
            <w:tcW w:w="800" w:type="dxa"/>
            <w:vAlign w:val="bottom"/>
            <w:tcBorders>
              <w:top w:val="single" w:sz="8" w:color="F0FFFF"/>
              <w:bottom w:val="single" w:sz="8" w:color="F0FFFF"/>
            </w:tcBorders>
            <w:shd w:val="clear" w:color="auto" w:fill="F0FFFF"/>
          </w:tcPr>
          <w:p>
            <w:pPr>
              <w:spacing w:after="0"/>
              <w:rPr>
                <w:sz w:val="15"/>
                <w:szCs w:val="15"/>
                <w:color w:val="auto"/>
              </w:rPr>
            </w:pP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7,435,646</w:t>
            </w:r>
          </w:p>
        </w:tc>
        <w:tc>
          <w:tcPr>
            <w:tcW w:w="1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66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780" w:type="dxa"/>
            <w:vAlign w:val="bottom"/>
            <w:tcBorders>
              <w:top w:val="single" w:sz="8" w:color="F0FFFF"/>
              <w:bottom w:val="single" w:sz="8" w:color="F0FFFF"/>
            </w:tcBorders>
            <w:shd w:val="clear" w:color="auto" w:fill="F0FFFF"/>
          </w:tcPr>
          <w:p>
            <w:pPr>
              <w:spacing w:after="0"/>
              <w:rPr>
                <w:sz w:val="15"/>
                <w:szCs w:val="15"/>
                <w:color w:val="auto"/>
              </w:rPr>
            </w:pP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7,073,999</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68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78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280" w:type="dxa"/>
            <w:vAlign w:val="bottom"/>
            <w:shd w:val="clear" w:color="auto" w:fill="F0FFFF"/>
          </w:tcPr>
          <w:p>
            <w:pPr>
              <w:spacing w:after="0" w:line="126" w:lineRule="exact"/>
              <w:rPr>
                <w:sz w:val="20"/>
                <w:szCs w:val="20"/>
                <w:color w:val="auto"/>
              </w:rPr>
            </w:pPr>
            <w:r>
              <w:rPr>
                <w:rFonts w:ascii="Arial" w:cs="Arial" w:eastAsia="Arial" w:hAnsi="Arial"/>
                <w:sz w:val="14"/>
                <w:szCs w:val="14"/>
                <w:b w:val="1"/>
                <w:bCs w:val="1"/>
                <w:color w:val="auto"/>
              </w:rPr>
              <w:t>Liabilities and Shareholders’</w:t>
            </w:r>
          </w:p>
        </w:tc>
        <w:tc>
          <w:tcPr>
            <w:tcW w:w="12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260" w:type="dxa"/>
            <w:vAlign w:val="bottom"/>
            <w:shd w:val="clear" w:color="auto" w:fill="F0FFFF"/>
          </w:tcPr>
          <w:p>
            <w:pPr>
              <w:spacing w:after="0"/>
              <w:rPr>
                <w:sz w:val="10"/>
                <w:szCs w:val="10"/>
                <w:color w:val="auto"/>
              </w:rPr>
            </w:pPr>
          </w:p>
        </w:tc>
        <w:tc>
          <w:tcPr>
            <w:tcW w:w="80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780" w:type="dxa"/>
            <w:vAlign w:val="bottom"/>
            <w:shd w:val="clear" w:color="auto" w:fill="F0FFFF"/>
          </w:tcPr>
          <w:p>
            <w:pPr>
              <w:spacing w:after="0"/>
              <w:rPr>
                <w:sz w:val="10"/>
                <w:szCs w:val="10"/>
                <w:color w:val="auto"/>
              </w:rPr>
            </w:pPr>
          </w:p>
        </w:tc>
        <w:tc>
          <w:tcPr>
            <w:tcW w:w="24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220" w:type="dxa"/>
            <w:vAlign w:val="bottom"/>
            <w:shd w:val="clear" w:color="auto" w:fill="F0FFFF"/>
          </w:tcPr>
          <w:p>
            <w:pPr>
              <w:spacing w:after="0"/>
              <w:rPr>
                <w:sz w:val="10"/>
                <w:szCs w:val="10"/>
                <w:color w:val="auto"/>
              </w:rPr>
            </w:pPr>
          </w:p>
        </w:tc>
        <w:tc>
          <w:tcPr>
            <w:tcW w:w="7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shd w:val="clear" w:color="auto" w:fill="F0FFFF"/>
          </w:tcPr>
          <w:p>
            <w:pPr>
              <w:ind w:left="160"/>
              <w:spacing w:after="0"/>
              <w:rPr>
                <w:sz w:val="20"/>
                <w:szCs w:val="20"/>
                <w:color w:val="auto"/>
              </w:rPr>
            </w:pPr>
            <w:r>
              <w:rPr>
                <w:rFonts w:ascii="Arial" w:cs="Arial" w:eastAsia="Arial" w:hAnsi="Arial"/>
                <w:sz w:val="14"/>
                <w:szCs w:val="14"/>
                <w:b w:val="1"/>
                <w:bCs w:val="1"/>
                <w:color w:val="auto"/>
              </w:rPr>
              <w:t>Equity:</w:t>
            </w: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Interest-bearing liabilities: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Interest-bearing deposits:</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line="149" w:lineRule="exact"/>
              <w:rPr>
                <w:sz w:val="20"/>
                <w:szCs w:val="20"/>
                <w:color w:val="auto"/>
              </w:rPr>
            </w:pPr>
            <w:r>
              <w:rPr>
                <w:rFonts w:ascii="Arial" w:cs="Arial" w:eastAsia="Arial" w:hAnsi="Arial"/>
                <w:sz w:val="14"/>
                <w:szCs w:val="14"/>
                <w:color w:val="auto"/>
              </w:rPr>
              <w:t>NOW</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1,563,911</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1,505</w:t>
            </w:r>
          </w:p>
        </w:tc>
        <w:tc>
          <w:tcPr>
            <w:tcW w:w="9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.10</w:t>
            </w:r>
          </w:p>
        </w:tc>
        <w:tc>
          <w:tcPr>
            <w:tcW w:w="20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1,396,373</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1,651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1,285,842</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1,759</w:t>
            </w: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ind w:left="320"/>
              <w:spacing w:after="0" w:line="149" w:lineRule="exact"/>
              <w:rPr>
                <w:sz w:val="20"/>
                <w:szCs w:val="20"/>
                <w:color w:val="auto"/>
              </w:rPr>
            </w:pPr>
            <w:r>
              <w:rPr>
                <w:rFonts w:ascii="Arial" w:cs="Arial" w:eastAsia="Arial" w:hAnsi="Arial"/>
                <w:sz w:val="14"/>
                <w:szCs w:val="14"/>
                <w:color w:val="auto"/>
              </w:rPr>
              <w:t>Money market</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1,678,765</w:t>
            </w:r>
          </w:p>
        </w:tc>
        <w:tc>
          <w:tcPr>
            <w:tcW w:w="2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3,466</w:t>
            </w:r>
          </w:p>
        </w:tc>
        <w:tc>
          <w:tcPr>
            <w:tcW w:w="980" w:type="dxa"/>
            <w:vAlign w:val="bottom"/>
            <w:gridSpan w:val="2"/>
            <w:shd w:val="clear" w:color="auto" w:fill="F0FFFF"/>
          </w:tcPr>
          <w:p>
            <w:pPr>
              <w:jc w:val="right"/>
              <w:ind w:right="108"/>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1,389,837</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3,060</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w:t>
            </w: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1,315,385</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2,210</w:t>
            </w:r>
          </w:p>
        </w:tc>
        <w:tc>
          <w:tcPr>
            <w:tcW w:w="900" w:type="dxa"/>
            <w:vAlign w:val="bottom"/>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320"/>
              <w:spacing w:after="0" w:line="149" w:lineRule="exact"/>
              <w:rPr>
                <w:sz w:val="20"/>
                <w:szCs w:val="20"/>
                <w:color w:val="auto"/>
              </w:rPr>
            </w:pPr>
            <w:r>
              <w:rPr>
                <w:rFonts w:ascii="Arial" w:cs="Arial" w:eastAsia="Arial" w:hAnsi="Arial"/>
                <w:sz w:val="14"/>
                <w:szCs w:val="14"/>
                <w:color w:val="auto"/>
              </w:rPr>
              <w:t>Savings deposits</w:t>
            </w:r>
          </w:p>
        </w:tc>
        <w:tc>
          <w:tcPr>
            <w:tcW w:w="12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372,414</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98</w:t>
            </w:r>
          </w:p>
        </w:tc>
        <w:tc>
          <w:tcPr>
            <w:tcW w:w="260" w:type="dxa"/>
            <w:vAlign w:val="bottom"/>
          </w:tcPr>
          <w:p>
            <w:pPr>
              <w:spacing w:after="0"/>
              <w:rPr>
                <w:sz w:val="12"/>
                <w:szCs w:val="12"/>
                <w:color w:val="auto"/>
              </w:rPr>
            </w:pPr>
          </w:p>
        </w:tc>
        <w:tc>
          <w:tcPr>
            <w:tcW w:w="9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.03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277,351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244,725</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220" w:type="dxa"/>
            <w:vAlign w:val="bottom"/>
          </w:tcPr>
          <w:p>
            <w:pPr>
              <w:spacing w:after="0"/>
              <w:rPr>
                <w:sz w:val="12"/>
                <w:szCs w:val="12"/>
                <w:color w:val="auto"/>
              </w:rPr>
            </w:pPr>
          </w:p>
        </w:tc>
        <w:tc>
          <w:tcPr>
            <w:tcW w:w="9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ind w:left="320"/>
              <w:spacing w:after="0" w:line="149" w:lineRule="exact"/>
              <w:rPr>
                <w:sz w:val="20"/>
                <w:szCs w:val="20"/>
                <w:color w:val="auto"/>
              </w:rPr>
            </w:pPr>
            <w:r>
              <w:rPr>
                <w:rFonts w:ascii="Arial" w:cs="Arial" w:eastAsia="Arial" w:hAnsi="Arial"/>
                <w:sz w:val="14"/>
                <w:szCs w:val="14"/>
                <w:color w:val="auto"/>
              </w:rPr>
              <w:t>Time deposits</w:t>
            </w: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1,269,360</w:t>
            </w:r>
          </w:p>
        </w:tc>
        <w:tc>
          <w:tcPr>
            <w:tcW w:w="2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4,823</w:t>
            </w:r>
          </w:p>
        </w:tc>
        <w:tc>
          <w:tcPr>
            <w:tcW w:w="980" w:type="dxa"/>
            <w:vAlign w:val="bottom"/>
            <w:gridSpan w:val="2"/>
            <w:shd w:val="clear" w:color="auto" w:fill="F0FFFF"/>
          </w:tcPr>
          <w:p>
            <w:pPr>
              <w:jc w:val="right"/>
              <w:ind w:right="108"/>
              <w:spacing w:after="0" w:line="149" w:lineRule="exact"/>
              <w:rPr>
                <w:sz w:val="20"/>
                <w:szCs w:val="20"/>
                <w:color w:val="auto"/>
              </w:rPr>
            </w:pPr>
            <w:r>
              <w:rPr>
                <w:rFonts w:ascii="Arial" w:cs="Arial" w:eastAsia="Arial" w:hAnsi="Arial"/>
                <w:sz w:val="14"/>
                <w:szCs w:val="14"/>
                <w:color w:val="auto"/>
              </w:rPr>
              <w:t>.38</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1,362,873</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7,009</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.51</w:t>
            </w: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1,628,572</w:t>
            </w:r>
          </w:p>
        </w:tc>
        <w:tc>
          <w:tcPr>
            <w:tcW w:w="2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10,965</w:t>
            </w:r>
          </w:p>
        </w:tc>
        <w:tc>
          <w:tcPr>
            <w:tcW w:w="900" w:type="dxa"/>
            <w:vAlign w:val="bottom"/>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auto"/>
              </w:rPr>
              <w:t>Brokered deposits</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269,162</w:t>
            </w:r>
          </w:p>
        </w:tc>
        <w:tc>
          <w:tcPr>
            <w:tcW w:w="12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(1,067)</w:t>
            </w:r>
          </w:p>
        </w:tc>
        <w:tc>
          <w:tcPr>
            <w:tcW w:w="980" w:type="dxa"/>
            <w:vAlign w:val="bottom"/>
            <w:gridSpan w:val="2"/>
          </w:tcPr>
          <w:p>
            <w:pPr>
              <w:jc w:val="right"/>
              <w:ind w:right="6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293,657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124</w:t>
            </w:r>
          </w:p>
        </w:tc>
        <w:tc>
          <w:tcPr>
            <w:tcW w:w="780" w:type="dxa"/>
            <w:vAlign w:val="bottom"/>
          </w:tcPr>
          <w:p>
            <w:pPr>
              <w:jc w:val="right"/>
              <w:spacing w:after="0"/>
              <w:rPr>
                <w:sz w:val="20"/>
                <w:szCs w:val="20"/>
                <w:color w:val="auto"/>
              </w:rPr>
            </w:pPr>
            <w:r>
              <w:rPr>
                <w:rFonts w:ascii="Arial" w:cs="Arial" w:eastAsia="Arial" w:hAnsi="Arial"/>
                <w:sz w:val="14"/>
                <w:szCs w:val="14"/>
                <w:color w:val="auto"/>
              </w:rPr>
              <w:t>.04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219,215</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(501)</w:t>
            </w:r>
          </w:p>
        </w:tc>
        <w:tc>
          <w:tcPr>
            <w:tcW w:w="900" w:type="dxa"/>
            <w:vAlign w:val="bottom"/>
            <w:gridSpan w:val="2"/>
          </w:tcPr>
          <w:p>
            <w:pPr>
              <w:jc w:val="right"/>
              <w:ind w:right="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280" w:type="dxa"/>
            <w:vAlign w:val="bottom"/>
            <w:tcBorders>
              <w:top w:val="single" w:sz="8" w:color="F0FFFF"/>
            </w:tcBorders>
            <w:shd w:val="clear" w:color="auto" w:fill="F0FFFF"/>
          </w:tcPr>
          <w:p>
            <w:pPr>
              <w:ind w:left="480"/>
              <w:spacing w:after="0" w:line="116" w:lineRule="exact"/>
              <w:rPr>
                <w:sz w:val="20"/>
                <w:szCs w:val="20"/>
                <w:color w:val="auto"/>
              </w:rPr>
            </w:pPr>
            <w:r>
              <w:rPr>
                <w:rFonts w:ascii="Arial" w:cs="Arial" w:eastAsia="Arial" w:hAnsi="Arial"/>
                <w:sz w:val="13"/>
                <w:szCs w:val="13"/>
                <w:color w:val="auto"/>
              </w:rPr>
              <w:t>Total interest-bearing</w:t>
            </w:r>
          </w:p>
        </w:tc>
        <w:tc>
          <w:tcPr>
            <w:tcW w:w="120" w:type="dxa"/>
            <w:vAlign w:val="bottom"/>
            <w:tcBorders>
              <w:top w:val="single" w:sz="8" w:color="auto"/>
            </w:tcBorders>
            <w:shd w:val="clear" w:color="auto" w:fill="F0FFFF"/>
          </w:tcPr>
          <w:p>
            <w:pPr>
              <w:spacing w:after="0"/>
              <w:rPr>
                <w:sz w:val="10"/>
                <w:szCs w:val="10"/>
                <w:color w:val="auto"/>
              </w:rPr>
            </w:pPr>
          </w:p>
        </w:tc>
        <w:tc>
          <w:tcPr>
            <w:tcW w:w="700" w:type="dxa"/>
            <w:vAlign w:val="bottom"/>
            <w:tcBorders>
              <w:top w:val="single" w:sz="8" w:color="auto"/>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60" w:type="dxa"/>
            <w:vAlign w:val="bottom"/>
            <w:tcBorders>
              <w:top w:val="single" w:sz="8" w:color="F0FFFF"/>
            </w:tcBorders>
            <w:shd w:val="clear" w:color="auto" w:fill="F0FFFF"/>
          </w:tcPr>
          <w:p>
            <w:pPr>
              <w:spacing w:after="0"/>
              <w:rPr>
                <w:sz w:val="10"/>
                <w:szCs w:val="10"/>
                <w:color w:val="auto"/>
              </w:rPr>
            </w:pPr>
          </w:p>
        </w:tc>
        <w:tc>
          <w:tcPr>
            <w:tcW w:w="800" w:type="dxa"/>
            <w:vAlign w:val="bottom"/>
            <w:tcBorders>
              <w:top w:val="single" w:sz="8" w:color="F0FFFF"/>
            </w:tcBorders>
            <w:shd w:val="clear" w:color="auto" w:fill="F0FFFF"/>
          </w:tcPr>
          <w:p>
            <w:pPr>
              <w:spacing w:after="0"/>
              <w:rPr>
                <w:sz w:val="10"/>
                <w:szCs w:val="10"/>
                <w:color w:val="auto"/>
              </w:rPr>
            </w:pPr>
          </w:p>
        </w:tc>
        <w:tc>
          <w:tcPr>
            <w:tcW w:w="18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auto"/>
            </w:tcBorders>
            <w:shd w:val="clear" w:color="auto" w:fill="F0FFFF"/>
          </w:tcPr>
          <w:p>
            <w:pPr>
              <w:spacing w:after="0"/>
              <w:rPr>
                <w:sz w:val="10"/>
                <w:szCs w:val="10"/>
                <w:color w:val="auto"/>
              </w:rPr>
            </w:pPr>
          </w:p>
        </w:tc>
        <w:tc>
          <w:tcPr>
            <w:tcW w:w="66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78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78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280" w:type="dxa"/>
            <w:vAlign w:val="bottom"/>
            <w:shd w:val="clear" w:color="auto" w:fill="F0FFFF"/>
          </w:tcPr>
          <w:p>
            <w:pPr>
              <w:ind w:left="640"/>
              <w:spacing w:after="0"/>
              <w:rPr>
                <w:sz w:val="20"/>
                <w:szCs w:val="20"/>
                <w:color w:val="auto"/>
              </w:rPr>
            </w:pPr>
            <w:r>
              <w:rPr>
                <w:rFonts w:ascii="Arial" w:cs="Arial" w:eastAsia="Arial" w:hAnsi="Arial"/>
                <w:sz w:val="14"/>
                <w:szCs w:val="14"/>
                <w:color w:val="auto"/>
              </w:rPr>
              <w:t>deposits</w:t>
            </w:r>
          </w:p>
        </w:tc>
        <w:tc>
          <w:tcPr>
            <w:tcW w:w="120" w:type="dxa"/>
            <w:vAlign w:val="bottom"/>
            <w:shd w:val="clear" w:color="auto" w:fill="F0FFFF"/>
          </w:tcPr>
          <w:p>
            <w:pPr>
              <w:spacing w:after="0"/>
              <w:rPr>
                <w:sz w:val="17"/>
                <w:szCs w:val="17"/>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5,153,612</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8,825</w:t>
            </w:r>
          </w:p>
        </w:tc>
        <w:tc>
          <w:tcPr>
            <w:tcW w:w="980" w:type="dxa"/>
            <w:vAlign w:val="bottom"/>
            <w:gridSpan w:val="2"/>
            <w:shd w:val="clear" w:color="auto" w:fill="F0FFFF"/>
          </w:tcPr>
          <w:p>
            <w:pPr>
              <w:jc w:val="right"/>
              <w:ind w:right="108"/>
              <w:spacing w:after="0"/>
              <w:rPr>
                <w:sz w:val="20"/>
                <w:szCs w:val="20"/>
                <w:color w:val="auto"/>
              </w:rPr>
            </w:pPr>
            <w:r>
              <w:rPr>
                <w:rFonts w:ascii="Arial" w:cs="Arial" w:eastAsia="Arial" w:hAnsi="Arial"/>
                <w:sz w:val="14"/>
                <w:szCs w:val="14"/>
                <w:color w:val="auto"/>
              </w:rPr>
              <w:t>.17</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4,720,091</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11,925</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.25</w:t>
            </w:r>
          </w:p>
        </w:tc>
        <w:tc>
          <w:tcPr>
            <w:tcW w:w="2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4,693,739</w:t>
            </w: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14,566</w:t>
            </w:r>
          </w:p>
        </w:tc>
        <w:tc>
          <w:tcPr>
            <w:tcW w:w="900" w:type="dxa"/>
            <w:vAlign w:val="bottom"/>
            <w:gridSpan w:val="2"/>
            <w:shd w:val="clear" w:color="auto" w:fill="F0FFFF"/>
          </w:tcPr>
          <w:p>
            <w:pPr>
              <w:jc w:val="right"/>
              <w:ind w:right="4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280" w:type="dxa"/>
            <w:vAlign w:val="bottom"/>
            <w:tcBorders>
              <w:top w:val="single" w:sz="8" w:color="F0FFFF"/>
            </w:tcBorders>
          </w:tcPr>
          <w:p>
            <w:pPr>
              <w:spacing w:after="0" w:line="104" w:lineRule="exact"/>
              <w:rPr>
                <w:sz w:val="20"/>
                <w:szCs w:val="20"/>
                <w:color w:val="auto"/>
              </w:rPr>
            </w:pPr>
            <w:r>
              <w:rPr>
                <w:rFonts w:ascii="Arial" w:cs="Arial" w:eastAsia="Arial" w:hAnsi="Arial"/>
                <w:sz w:val="11"/>
                <w:szCs w:val="11"/>
                <w:color w:val="auto"/>
              </w:rPr>
              <w:t>Federal funds purchased, repurchase</w:t>
            </w: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60" w:type="dxa"/>
            <w:vAlign w:val="bottom"/>
            <w:tcBorders>
              <w:top w:val="single" w:sz="8" w:color="F0FFFF"/>
            </w:tcBorders>
          </w:tcPr>
          <w:p>
            <w:pPr>
              <w:spacing w:after="0"/>
              <w:rPr>
                <w:sz w:val="8"/>
                <w:szCs w:val="8"/>
                <w:color w:val="auto"/>
              </w:rPr>
            </w:pPr>
          </w:p>
        </w:tc>
        <w:tc>
          <w:tcPr>
            <w:tcW w:w="800" w:type="dxa"/>
            <w:vAlign w:val="bottom"/>
            <w:tcBorders>
              <w:top w:val="single" w:sz="8" w:color="F0FFFF"/>
            </w:tcBorders>
          </w:tcPr>
          <w:p>
            <w:pPr>
              <w:spacing w:after="0"/>
              <w:rPr>
                <w:sz w:val="8"/>
                <w:szCs w:val="8"/>
                <w:color w:val="auto"/>
              </w:rPr>
            </w:pPr>
          </w:p>
        </w:tc>
        <w:tc>
          <w:tcPr>
            <w:tcW w:w="180" w:type="dxa"/>
            <w:vAlign w:val="bottom"/>
            <w:tcBorders>
              <w:top w:val="single" w:sz="8" w:color="F0FFFF"/>
            </w:tcBorders>
          </w:tcPr>
          <w:p>
            <w:pPr>
              <w:spacing w:after="0"/>
              <w:rPr>
                <w:sz w:val="8"/>
                <w:szCs w:val="8"/>
                <w:color w:val="auto"/>
              </w:rPr>
            </w:pPr>
          </w:p>
        </w:tc>
        <w:tc>
          <w:tcPr>
            <w:tcW w:w="80" w:type="dxa"/>
            <w:vAlign w:val="bottom"/>
            <w:tcBorders>
              <w:top w:val="single" w:sz="8" w:color="F0FF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Borders>
              <w:top w:val="single" w:sz="8" w:color="F0FFFF"/>
            </w:tcBorders>
          </w:tcPr>
          <w:p>
            <w:pPr>
              <w:spacing w:after="0"/>
              <w:rPr>
                <w:sz w:val="8"/>
                <w:szCs w:val="8"/>
                <w:color w:val="auto"/>
              </w:rPr>
            </w:pPr>
          </w:p>
        </w:tc>
        <w:tc>
          <w:tcPr>
            <w:tcW w:w="80" w:type="dxa"/>
            <w:vAlign w:val="bottom"/>
            <w:tcBorders>
              <w:top w:val="single" w:sz="8" w:color="F0FF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780" w:type="dxa"/>
            <w:vAlign w:val="bottom"/>
            <w:tcBorders>
              <w:top w:val="single" w:sz="8" w:color="F0FFFF"/>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F0FFFF"/>
            </w:tcBorders>
          </w:tcPr>
          <w:p>
            <w:pPr>
              <w:spacing w:after="0"/>
              <w:rPr>
                <w:sz w:val="8"/>
                <w:szCs w:val="8"/>
                <w:color w:val="auto"/>
              </w:rPr>
            </w:pPr>
          </w:p>
        </w:tc>
        <w:tc>
          <w:tcPr>
            <w:tcW w:w="780" w:type="dxa"/>
            <w:vAlign w:val="bottom"/>
            <w:tcBorders>
              <w:top w:val="single" w:sz="8" w:color="F0FFFF"/>
            </w:tcBorders>
          </w:tcPr>
          <w:p>
            <w:pPr>
              <w:spacing w:after="0"/>
              <w:rPr>
                <w:sz w:val="8"/>
                <w:szCs w:val="8"/>
                <w:color w:val="auto"/>
              </w:rPr>
            </w:pPr>
          </w:p>
        </w:tc>
        <w:tc>
          <w:tcPr>
            <w:tcW w:w="120" w:type="dxa"/>
            <w:vAlign w:val="bottom"/>
            <w:tcBorders>
              <w:top w:val="single" w:sz="8" w:color="F0FFFF"/>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20"/>
              <w:spacing w:after="0" w:line="149" w:lineRule="exact"/>
              <w:rPr>
                <w:sz w:val="20"/>
                <w:szCs w:val="20"/>
                <w:color w:val="auto"/>
              </w:rPr>
            </w:pPr>
            <w:r>
              <w:rPr>
                <w:rFonts w:ascii="Arial" w:cs="Arial" w:eastAsia="Arial" w:hAnsi="Arial"/>
                <w:sz w:val="14"/>
                <w:szCs w:val="14"/>
                <w:color w:val="auto"/>
              </w:rPr>
              <w:t>agreeements,  &amp; other short-term</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120"/>
              <w:spacing w:after="0"/>
              <w:rPr>
                <w:sz w:val="20"/>
                <w:szCs w:val="20"/>
                <w:color w:val="auto"/>
              </w:rPr>
            </w:pPr>
            <w:r>
              <w:rPr>
                <w:rFonts w:ascii="Arial" w:cs="Arial" w:eastAsia="Arial" w:hAnsi="Arial"/>
                <w:sz w:val="14"/>
                <w:szCs w:val="14"/>
                <w:color w:val="auto"/>
              </w:rPr>
              <w:t>borrowings</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49,301</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364</w:t>
            </w:r>
          </w:p>
        </w:tc>
        <w:tc>
          <w:tcPr>
            <w:tcW w:w="260" w:type="dxa"/>
            <w:vAlign w:val="bottom"/>
          </w:tcPr>
          <w:p>
            <w:pPr>
              <w:spacing w:after="0"/>
              <w:rPr>
                <w:sz w:val="14"/>
                <w:szCs w:val="14"/>
                <w:color w:val="auto"/>
              </w:rPr>
            </w:pPr>
          </w:p>
        </w:tc>
        <w:tc>
          <w:tcPr>
            <w:tcW w:w="980" w:type="dxa"/>
            <w:vAlign w:val="bottom"/>
            <w:gridSpan w:val="2"/>
          </w:tcPr>
          <w:p>
            <w:pPr>
              <w:jc w:val="right"/>
              <w:ind w:right="108"/>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74,541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2,160</w:t>
            </w:r>
          </w:p>
        </w:tc>
        <w:tc>
          <w:tcPr>
            <w:tcW w:w="780" w:type="dxa"/>
            <w:vAlign w:val="bottom"/>
          </w:tcPr>
          <w:p>
            <w:pPr>
              <w:jc w:val="right"/>
              <w:spacing w:after="0"/>
              <w:rPr>
                <w:sz w:val="20"/>
                <w:szCs w:val="20"/>
                <w:color w:val="auto"/>
              </w:rPr>
            </w:pPr>
            <w:r>
              <w:rPr>
                <w:rFonts w:ascii="Arial" w:cs="Arial" w:eastAsia="Arial" w:hAnsi="Arial"/>
                <w:sz w:val="14"/>
                <w:szCs w:val="14"/>
                <w:color w:val="auto"/>
              </w:rPr>
              <w:t>2.90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66,561</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2,071</w:t>
            </w:r>
          </w:p>
        </w:tc>
        <w:tc>
          <w:tcPr>
            <w:tcW w:w="780" w:type="dxa"/>
            <w:vAlign w:val="bottom"/>
          </w:tcPr>
          <w:p>
            <w:pPr>
              <w:jc w:val="right"/>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Federal Home Loan Bank advances</w:t>
            </w:r>
          </w:p>
        </w:tc>
        <w:tc>
          <w:tcPr>
            <w:tcW w:w="12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250,404</w:t>
            </w:r>
          </w:p>
        </w:tc>
        <w:tc>
          <w:tcPr>
            <w:tcW w:w="12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1,743</w:t>
            </w:r>
          </w:p>
        </w:tc>
        <w:tc>
          <w:tcPr>
            <w:tcW w:w="980" w:type="dxa"/>
            <w:vAlign w:val="bottom"/>
            <w:gridSpan w:val="2"/>
            <w:shd w:val="clear" w:color="auto" w:fill="F0FFFF"/>
          </w:tcPr>
          <w:p>
            <w:pPr>
              <w:jc w:val="right"/>
              <w:ind w:right="108"/>
              <w:spacing w:after="0" w:line="149" w:lineRule="exact"/>
              <w:rPr>
                <w:sz w:val="20"/>
                <w:szCs w:val="20"/>
                <w:color w:val="auto"/>
              </w:rPr>
            </w:pPr>
            <w:r>
              <w:rPr>
                <w:rFonts w:ascii="Arial" w:cs="Arial" w:eastAsia="Arial" w:hAnsi="Arial"/>
                <w:sz w:val="14"/>
                <w:szCs w:val="14"/>
                <w:color w:val="auto"/>
              </w:rPr>
              <w:t>.70</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175,481</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912</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.52</w:t>
            </w:r>
          </w:p>
        </w:tc>
        <w:tc>
          <w:tcPr>
            <w:tcW w:w="2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32,604</w:t>
            </w:r>
          </w:p>
        </w:tc>
        <w:tc>
          <w:tcPr>
            <w:tcW w:w="10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68</w:t>
            </w:r>
          </w:p>
        </w:tc>
        <w:tc>
          <w:tcPr>
            <w:tcW w:w="2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Long-term debt</w:t>
            </w: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139,979</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10,177</w:t>
            </w:r>
          </w:p>
        </w:tc>
        <w:tc>
          <w:tcPr>
            <w:tcW w:w="980" w:type="dxa"/>
            <w:vAlign w:val="bottom"/>
            <w:gridSpan w:val="2"/>
          </w:tcPr>
          <w:p>
            <w:pPr>
              <w:jc w:val="right"/>
              <w:ind w:right="108"/>
              <w:spacing w:after="0"/>
              <w:rPr>
                <w:sz w:val="20"/>
                <w:szCs w:val="20"/>
                <w:color w:val="auto"/>
              </w:rPr>
            </w:pPr>
            <w:r>
              <w:rPr>
                <w:rFonts w:ascii="Arial" w:cs="Arial" w:eastAsia="Arial" w:hAnsi="Arial"/>
                <w:sz w:val="14"/>
                <w:szCs w:val="14"/>
                <w:color w:val="auto"/>
              </w:rPr>
              <w:t>7.27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129,865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10,554</w:t>
            </w:r>
          </w:p>
        </w:tc>
        <w:tc>
          <w:tcPr>
            <w:tcW w:w="780" w:type="dxa"/>
            <w:vAlign w:val="bottom"/>
          </w:tcPr>
          <w:p>
            <w:pPr>
              <w:jc w:val="right"/>
              <w:spacing w:after="0"/>
              <w:rPr>
                <w:sz w:val="20"/>
                <w:szCs w:val="20"/>
                <w:color w:val="auto"/>
              </w:rPr>
            </w:pPr>
            <w:r>
              <w:rPr>
                <w:rFonts w:ascii="Arial" w:cs="Arial" w:eastAsia="Arial" w:hAnsi="Arial"/>
                <w:sz w:val="14"/>
                <w:szCs w:val="14"/>
                <w:color w:val="auto"/>
              </w:rPr>
              <w:t>8.13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131,081</w:t>
            </w: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10,977</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8.37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Borders>
              <w:top w:val="single" w:sz="8" w:color="F0FFFF"/>
              <w:bottom w:val="single" w:sz="8" w:color="F0FFFF"/>
            </w:tcBorders>
            <w:shd w:val="clear" w:color="auto" w:fill="F0FFFF"/>
          </w:tcPr>
          <w:p>
            <w:pPr>
              <w:ind w:left="480"/>
              <w:spacing w:after="0" w:line="149" w:lineRule="exact"/>
              <w:rPr>
                <w:sz w:val="20"/>
                <w:szCs w:val="20"/>
                <w:color w:val="auto"/>
              </w:rPr>
            </w:pPr>
            <w:r>
              <w:rPr>
                <w:rFonts w:ascii="Arial" w:cs="Arial" w:eastAsia="Arial" w:hAnsi="Arial"/>
                <w:sz w:val="14"/>
                <w:szCs w:val="14"/>
                <w:color w:val="auto"/>
              </w:rPr>
              <w:t>Total borrowed funds</w:t>
            </w:r>
          </w:p>
        </w:tc>
        <w:tc>
          <w:tcPr>
            <w:tcW w:w="120" w:type="dxa"/>
            <w:vAlign w:val="bottom"/>
            <w:tcBorders>
              <w:top w:val="single" w:sz="8" w:color="auto"/>
              <w:bottom w:val="single" w:sz="8" w:color="auto"/>
            </w:tcBorders>
            <w:shd w:val="clear" w:color="auto" w:fill="F0FFFF"/>
          </w:tcPr>
          <w:p>
            <w:pPr>
              <w:spacing w:after="0"/>
              <w:rPr>
                <w:sz w:val="14"/>
                <w:szCs w:val="14"/>
                <w:color w:val="auto"/>
              </w:rPr>
            </w:pPr>
          </w:p>
        </w:tc>
        <w:tc>
          <w:tcPr>
            <w:tcW w:w="7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439,684</w:t>
            </w:r>
          </w:p>
        </w:tc>
        <w:tc>
          <w:tcPr>
            <w:tcW w:w="240" w:type="dxa"/>
            <w:vAlign w:val="bottom"/>
            <w:tcBorders>
              <w:top w:val="single" w:sz="8" w:color="F0FFFF"/>
              <w:bottom w:val="single" w:sz="8" w:color="F0FFFF"/>
            </w:tcBorders>
            <w:shd w:val="clear" w:color="auto" w:fill="F0FFFF"/>
          </w:tcPr>
          <w:p>
            <w:pPr>
              <w:spacing w:after="0"/>
              <w:rPr>
                <w:sz w:val="14"/>
                <w:szCs w:val="14"/>
                <w:color w:val="auto"/>
              </w:rPr>
            </w:pPr>
          </w:p>
        </w:tc>
        <w:tc>
          <w:tcPr>
            <w:tcW w:w="120" w:type="dxa"/>
            <w:vAlign w:val="bottom"/>
            <w:tcBorders>
              <w:top w:val="single" w:sz="8" w:color="auto"/>
              <w:bottom w:val="single" w:sz="8" w:color="auto"/>
            </w:tcBorders>
            <w:shd w:val="clear" w:color="auto" w:fill="F0FFFF"/>
          </w:tcPr>
          <w:p>
            <w:pPr>
              <w:spacing w:after="0"/>
              <w:rPr>
                <w:sz w:val="14"/>
                <w:szCs w:val="14"/>
                <w:color w:val="auto"/>
              </w:rPr>
            </w:pPr>
          </w:p>
        </w:tc>
        <w:tc>
          <w:tcPr>
            <w:tcW w:w="68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12,284</w:t>
            </w:r>
          </w:p>
        </w:tc>
        <w:tc>
          <w:tcPr>
            <w:tcW w:w="260" w:type="dxa"/>
            <w:vAlign w:val="bottom"/>
            <w:tcBorders>
              <w:top w:val="single" w:sz="8" w:color="F0FFFF"/>
              <w:bottom w:val="single" w:sz="8" w:color="F0FFFF"/>
            </w:tcBorders>
            <w:shd w:val="clear" w:color="auto" w:fill="F0FFFF"/>
          </w:tcPr>
          <w:p>
            <w:pPr>
              <w:spacing w:after="0"/>
              <w:rPr>
                <w:sz w:val="14"/>
                <w:szCs w:val="14"/>
                <w:color w:val="auto"/>
              </w:rPr>
            </w:pPr>
          </w:p>
        </w:tc>
        <w:tc>
          <w:tcPr>
            <w:tcW w:w="980" w:type="dxa"/>
            <w:vAlign w:val="bottom"/>
            <w:tcBorders>
              <w:top w:val="single" w:sz="8" w:color="F0FFFF"/>
              <w:bottom w:val="single" w:sz="8" w:color="F0FFFF"/>
            </w:tcBorders>
            <w:gridSpan w:val="2"/>
            <w:shd w:val="clear" w:color="auto" w:fill="F0FFFF"/>
          </w:tcPr>
          <w:p>
            <w:pPr>
              <w:jc w:val="right"/>
              <w:ind w:right="108"/>
              <w:spacing w:after="0" w:line="149" w:lineRule="exact"/>
              <w:rPr>
                <w:sz w:val="20"/>
                <w:szCs w:val="20"/>
                <w:color w:val="auto"/>
              </w:rPr>
            </w:pPr>
            <w:r>
              <w:rPr>
                <w:rFonts w:ascii="Arial" w:cs="Arial" w:eastAsia="Arial" w:hAnsi="Arial"/>
                <w:sz w:val="14"/>
                <w:szCs w:val="14"/>
                <w:color w:val="auto"/>
              </w:rPr>
              <w:t>2.79</w:t>
            </w:r>
          </w:p>
        </w:tc>
        <w:tc>
          <w:tcPr>
            <w:tcW w:w="80" w:type="dxa"/>
            <w:vAlign w:val="bottom"/>
            <w:tcBorders>
              <w:top w:val="single" w:sz="8" w:color="F0FFFF"/>
              <w:bottom w:val="single" w:sz="8" w:color="F0FFFF"/>
            </w:tcBorders>
            <w:shd w:val="clear" w:color="auto" w:fill="F0FFFF"/>
          </w:tcPr>
          <w:p>
            <w:pPr>
              <w:spacing w:after="0"/>
              <w:rPr>
                <w:sz w:val="14"/>
                <w:szCs w:val="14"/>
                <w:color w:val="auto"/>
              </w:rPr>
            </w:pPr>
          </w:p>
        </w:tc>
        <w:tc>
          <w:tcPr>
            <w:tcW w:w="120" w:type="dxa"/>
            <w:vAlign w:val="bottom"/>
            <w:tcBorders>
              <w:top w:val="single" w:sz="8" w:color="auto"/>
              <w:bottom w:val="single" w:sz="8" w:color="auto"/>
            </w:tcBorders>
            <w:shd w:val="clear" w:color="auto" w:fill="F0FFFF"/>
          </w:tcPr>
          <w:p>
            <w:pPr>
              <w:spacing w:after="0"/>
              <w:rPr>
                <w:sz w:val="14"/>
                <w:szCs w:val="14"/>
                <w:color w:val="auto"/>
              </w:rPr>
            </w:pPr>
          </w:p>
        </w:tc>
        <w:tc>
          <w:tcPr>
            <w:tcW w:w="68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379,887</w:t>
            </w:r>
          </w:p>
        </w:tc>
        <w:tc>
          <w:tcPr>
            <w:tcW w:w="140" w:type="dxa"/>
            <w:vAlign w:val="bottom"/>
            <w:tcBorders>
              <w:top w:val="single" w:sz="8" w:color="F0FFFF"/>
              <w:bottom w:val="single" w:sz="8" w:color="F0FFFF"/>
            </w:tcBorders>
            <w:shd w:val="clear" w:color="auto" w:fill="F0FFFF"/>
          </w:tcPr>
          <w:p>
            <w:pPr>
              <w:spacing w:after="0"/>
              <w:rPr>
                <w:sz w:val="14"/>
                <w:szCs w:val="14"/>
                <w:color w:val="auto"/>
              </w:rPr>
            </w:pPr>
          </w:p>
        </w:tc>
        <w:tc>
          <w:tcPr>
            <w:tcW w:w="80" w:type="dxa"/>
            <w:vAlign w:val="bottom"/>
            <w:tcBorders>
              <w:top w:val="single" w:sz="8" w:color="F0FFFF"/>
              <w:bottom w:val="single" w:sz="8" w:color="F0FFFF"/>
            </w:tcBorders>
            <w:shd w:val="clear" w:color="auto" w:fill="F0FFFF"/>
          </w:tcPr>
          <w:p>
            <w:pPr>
              <w:spacing w:after="0"/>
              <w:rPr>
                <w:sz w:val="14"/>
                <w:szCs w:val="14"/>
                <w:color w:val="auto"/>
              </w:rPr>
            </w:pPr>
          </w:p>
        </w:tc>
        <w:tc>
          <w:tcPr>
            <w:tcW w:w="120" w:type="dxa"/>
            <w:vAlign w:val="bottom"/>
            <w:tcBorders>
              <w:top w:val="single" w:sz="8" w:color="auto"/>
              <w:bottom w:val="single" w:sz="8" w:color="auto"/>
            </w:tcBorders>
            <w:shd w:val="clear" w:color="auto" w:fill="F0FFFF"/>
          </w:tcPr>
          <w:p>
            <w:pPr>
              <w:spacing w:after="0"/>
              <w:rPr>
                <w:sz w:val="14"/>
                <w:szCs w:val="14"/>
                <w:color w:val="auto"/>
              </w:rPr>
            </w:pPr>
          </w:p>
        </w:tc>
        <w:tc>
          <w:tcPr>
            <w:tcW w:w="66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13,626</w:t>
            </w:r>
          </w:p>
        </w:tc>
        <w:tc>
          <w:tcPr>
            <w:tcW w:w="220" w:type="dxa"/>
            <w:vAlign w:val="bottom"/>
            <w:tcBorders>
              <w:top w:val="single" w:sz="8" w:color="F0FFFF"/>
              <w:bottom w:val="single" w:sz="8" w:color="F0FFFF"/>
            </w:tcBorders>
            <w:shd w:val="clear" w:color="auto" w:fill="F0FFFF"/>
          </w:tcPr>
          <w:p>
            <w:pPr>
              <w:spacing w:after="0"/>
              <w:rPr>
                <w:sz w:val="14"/>
                <w:szCs w:val="14"/>
                <w:color w:val="auto"/>
              </w:rPr>
            </w:pPr>
          </w:p>
        </w:tc>
        <w:tc>
          <w:tcPr>
            <w:tcW w:w="780" w:type="dxa"/>
            <w:vAlign w:val="bottom"/>
            <w:tcBorders>
              <w:top w:val="single" w:sz="8" w:color="F0FFFF"/>
              <w:bottom w:val="single" w:sz="8" w:color="F0FFFF"/>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3.59</w:t>
            </w:r>
          </w:p>
        </w:tc>
        <w:tc>
          <w:tcPr>
            <w:tcW w:w="24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auto"/>
              <w:bottom w:val="single" w:sz="8" w:color="auto"/>
            </w:tcBorders>
            <w:shd w:val="clear" w:color="auto" w:fill="F0FFFF"/>
          </w:tcPr>
          <w:p>
            <w:pPr>
              <w:spacing w:after="0"/>
              <w:rPr>
                <w:sz w:val="14"/>
                <w:szCs w:val="14"/>
                <w:color w:val="auto"/>
              </w:rPr>
            </w:pPr>
          </w:p>
        </w:tc>
        <w:tc>
          <w:tcPr>
            <w:tcW w:w="68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230,246</w:t>
            </w:r>
          </w:p>
        </w:tc>
        <w:tc>
          <w:tcPr>
            <w:tcW w:w="220" w:type="dxa"/>
            <w:vAlign w:val="bottom"/>
            <w:tcBorders>
              <w:top w:val="single" w:sz="8" w:color="F0FFFF"/>
              <w:bottom w:val="single" w:sz="8" w:color="F0FFFF"/>
            </w:tcBorders>
            <w:shd w:val="clear" w:color="auto" w:fill="F0FFFF"/>
          </w:tcPr>
          <w:p>
            <w:pPr>
              <w:spacing w:after="0"/>
              <w:rPr>
                <w:sz w:val="14"/>
                <w:szCs w:val="14"/>
                <w:color w:val="auto"/>
              </w:rPr>
            </w:pPr>
          </w:p>
        </w:tc>
        <w:tc>
          <w:tcPr>
            <w:tcW w:w="100" w:type="dxa"/>
            <w:vAlign w:val="bottom"/>
            <w:tcBorders>
              <w:top w:val="single" w:sz="8" w:color="auto"/>
              <w:bottom w:val="single" w:sz="8" w:color="auto"/>
            </w:tcBorders>
            <w:shd w:val="clear" w:color="auto" w:fill="F0FFFF"/>
          </w:tcPr>
          <w:p>
            <w:pPr>
              <w:spacing w:after="0"/>
              <w:rPr>
                <w:sz w:val="14"/>
                <w:szCs w:val="14"/>
                <w:color w:val="auto"/>
              </w:rPr>
            </w:pPr>
          </w:p>
        </w:tc>
        <w:tc>
          <w:tcPr>
            <w:tcW w:w="68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13,116</w:t>
            </w:r>
          </w:p>
        </w:tc>
        <w:tc>
          <w:tcPr>
            <w:tcW w:w="220" w:type="dxa"/>
            <w:vAlign w:val="bottom"/>
            <w:tcBorders>
              <w:top w:val="single" w:sz="8" w:color="F0FFFF"/>
              <w:bottom w:val="single" w:sz="8" w:color="F0FFFF"/>
            </w:tcBorders>
            <w:shd w:val="clear" w:color="auto" w:fill="F0FFFF"/>
          </w:tcPr>
          <w:p>
            <w:pPr>
              <w:spacing w:after="0"/>
              <w:rPr>
                <w:sz w:val="14"/>
                <w:szCs w:val="14"/>
                <w:color w:val="auto"/>
              </w:rPr>
            </w:pPr>
          </w:p>
        </w:tc>
        <w:tc>
          <w:tcPr>
            <w:tcW w:w="900" w:type="dxa"/>
            <w:vAlign w:val="bottom"/>
            <w:tcBorders>
              <w:top w:val="single" w:sz="8" w:color="F0FFFF"/>
              <w:bottom w:val="single" w:sz="8" w:color="F0FFFF"/>
            </w:tcBorders>
            <w:gridSpan w:val="2"/>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tcPr>
          <w:p>
            <w:pPr>
              <w:ind w:left="480"/>
              <w:spacing w:after="0" w:line="100" w:lineRule="exact"/>
              <w:rPr>
                <w:sz w:val="20"/>
                <w:szCs w:val="20"/>
                <w:color w:val="auto"/>
              </w:rPr>
            </w:pPr>
            <w:r>
              <w:rPr>
                <w:rFonts w:ascii="Arial" w:cs="Arial" w:eastAsia="Arial" w:hAnsi="Arial"/>
                <w:sz w:val="11"/>
                <w:szCs w:val="11"/>
                <w:b w:val="1"/>
                <w:bCs w:val="1"/>
                <w:color w:val="auto"/>
              </w:rPr>
              <w:t>Total interest-bearing</w:t>
            </w: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ind w:left="48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5,593,296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21,109</w:t>
            </w:r>
          </w:p>
        </w:tc>
        <w:tc>
          <w:tcPr>
            <w:tcW w:w="980" w:type="dxa"/>
            <w:vAlign w:val="bottom"/>
            <w:gridSpan w:val="2"/>
          </w:tcPr>
          <w:p>
            <w:pPr>
              <w:jc w:val="right"/>
              <w:ind w:right="108"/>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5,099,978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25,551</w:t>
            </w:r>
          </w:p>
        </w:tc>
        <w:tc>
          <w:tcPr>
            <w:tcW w:w="780" w:type="dxa"/>
            <w:vAlign w:val="bottom"/>
          </w:tcPr>
          <w:p>
            <w:pPr>
              <w:jc w:val="right"/>
              <w:spacing w:after="0"/>
              <w:rPr>
                <w:sz w:val="20"/>
                <w:szCs w:val="20"/>
                <w:color w:val="auto"/>
              </w:rPr>
            </w:pPr>
            <w:r>
              <w:rPr>
                <w:rFonts w:ascii="Arial" w:cs="Arial" w:eastAsia="Arial" w:hAnsi="Arial"/>
                <w:sz w:val="14"/>
                <w:szCs w:val="14"/>
                <w:color w:val="auto"/>
              </w:rPr>
              <w:t>.50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4,923,985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27,682</w:t>
            </w:r>
          </w:p>
        </w:tc>
        <w:tc>
          <w:tcPr>
            <w:tcW w:w="900" w:type="dxa"/>
            <w:vAlign w:val="bottom"/>
            <w:gridSpan w:val="2"/>
          </w:tcPr>
          <w:p>
            <w:pPr>
              <w:jc w:val="right"/>
              <w:ind w:right="4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Borders>
              <w:top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Non-interest-bearing liabilities:</w:t>
            </w:r>
          </w:p>
        </w:tc>
        <w:tc>
          <w:tcPr>
            <w:tcW w:w="120" w:type="dxa"/>
            <w:vAlign w:val="bottom"/>
            <w:tcBorders>
              <w:top w:val="single" w:sz="8" w:color="F0FFFF"/>
            </w:tcBorders>
            <w:shd w:val="clear" w:color="auto" w:fill="F0FFFF"/>
          </w:tcPr>
          <w:p>
            <w:pPr>
              <w:spacing w:after="0"/>
              <w:rPr>
                <w:sz w:val="12"/>
                <w:szCs w:val="12"/>
                <w:color w:val="auto"/>
              </w:rPr>
            </w:pPr>
          </w:p>
        </w:tc>
        <w:tc>
          <w:tcPr>
            <w:tcW w:w="700" w:type="dxa"/>
            <w:vAlign w:val="bottom"/>
            <w:tcBorders>
              <w:top w:val="single" w:sz="8" w:color="F0FFFF"/>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60" w:type="dxa"/>
            <w:vAlign w:val="bottom"/>
            <w:tcBorders>
              <w:top w:val="single" w:sz="8" w:color="F0FFFF"/>
            </w:tcBorders>
            <w:shd w:val="clear" w:color="auto" w:fill="F0FFFF"/>
          </w:tcPr>
          <w:p>
            <w:pPr>
              <w:spacing w:after="0"/>
              <w:rPr>
                <w:sz w:val="12"/>
                <w:szCs w:val="12"/>
                <w:color w:val="auto"/>
              </w:rPr>
            </w:pPr>
          </w:p>
        </w:tc>
        <w:tc>
          <w:tcPr>
            <w:tcW w:w="80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F0FFFF"/>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F0FFFF"/>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20" w:type="dxa"/>
            <w:vAlign w:val="bottom"/>
            <w:tcBorders>
              <w:top w:val="single" w:sz="8" w:color="F0FFFF"/>
            </w:tcBorders>
            <w:shd w:val="clear" w:color="auto" w:fill="F0FFFF"/>
          </w:tcPr>
          <w:p>
            <w:pPr>
              <w:spacing w:after="0"/>
              <w:rPr>
                <w:sz w:val="12"/>
                <w:szCs w:val="12"/>
                <w:color w:val="auto"/>
              </w:rPr>
            </w:pPr>
          </w:p>
        </w:tc>
        <w:tc>
          <w:tcPr>
            <w:tcW w:w="7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Non-interest-bearing deposits</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1,901,521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1,507,944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1,333,199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280" w:type="dxa"/>
            <w:vAlign w:val="bottom"/>
            <w:shd w:val="clear" w:color="auto" w:fill="F0FFFF"/>
          </w:tcPr>
          <w:p>
            <w:pPr>
              <w:ind w:left="16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F0FFFF"/>
          </w:tcPr>
          <w:p>
            <w:pPr>
              <w:spacing w:after="0"/>
              <w:rPr>
                <w:sz w:val="15"/>
                <w:szCs w:val="15"/>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97,890</w:t>
            </w:r>
          </w:p>
        </w:tc>
        <w:tc>
          <w:tcPr>
            <w:tcW w:w="12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107,523</w:t>
            </w: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84,506</w:t>
            </w:r>
          </w:p>
        </w:tc>
        <w:tc>
          <w:tcPr>
            <w:tcW w:w="100" w:type="dxa"/>
            <w:vAlign w:val="bottom"/>
            <w:shd w:val="clear" w:color="auto" w:fill="F0FFFF"/>
          </w:tcPr>
          <w:p>
            <w:pPr>
              <w:spacing w:after="0"/>
              <w:rPr>
                <w:sz w:val="15"/>
                <w:szCs w:val="15"/>
                <w:color w:val="auto"/>
              </w:rPr>
            </w:pPr>
          </w:p>
        </w:tc>
        <w:tc>
          <w:tcPr>
            <w:tcW w:w="6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80" w:type="dxa"/>
            <w:vAlign w:val="bottom"/>
            <w:tcBorders>
              <w:top w:val="single" w:sz="8" w:color="F0FFFF"/>
            </w:tcBorders>
          </w:tcPr>
          <w:p>
            <w:pPr>
              <w:ind w:left="320"/>
              <w:spacing w:after="0" w:line="136" w:lineRule="exact"/>
              <w:rPr>
                <w:sz w:val="20"/>
                <w:szCs w:val="20"/>
                <w:color w:val="auto"/>
              </w:rPr>
            </w:pPr>
            <w:r>
              <w:rPr>
                <w:rFonts w:ascii="Arial" w:cs="Arial" w:eastAsia="Arial" w:hAnsi="Arial"/>
                <w:sz w:val="14"/>
                <w:szCs w:val="14"/>
                <w:color w:val="auto"/>
              </w:rPr>
              <w:t>Total liabilities</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7,592,707</w:t>
            </w:r>
          </w:p>
        </w:tc>
        <w:tc>
          <w:tcPr>
            <w:tcW w:w="240" w:type="dxa"/>
            <w:vAlign w:val="bottom"/>
            <w:tcBorders>
              <w:top w:val="single" w:sz="8" w:color="F0FFFF"/>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680" w:type="dxa"/>
            <w:vAlign w:val="bottom"/>
            <w:tcBorders>
              <w:top w:val="single" w:sz="8" w:color="F0FFFF"/>
            </w:tcBorders>
          </w:tcPr>
          <w:p>
            <w:pPr>
              <w:spacing w:after="0"/>
              <w:rPr>
                <w:sz w:val="11"/>
                <w:szCs w:val="11"/>
                <w:color w:val="auto"/>
              </w:rPr>
            </w:pPr>
          </w:p>
        </w:tc>
        <w:tc>
          <w:tcPr>
            <w:tcW w:w="260" w:type="dxa"/>
            <w:vAlign w:val="bottom"/>
            <w:tcBorders>
              <w:top w:val="single" w:sz="8" w:color="F0FFFF"/>
            </w:tcBorders>
          </w:tcPr>
          <w:p>
            <w:pPr>
              <w:spacing w:after="0"/>
              <w:rPr>
                <w:sz w:val="11"/>
                <w:szCs w:val="11"/>
                <w:color w:val="auto"/>
              </w:rPr>
            </w:pPr>
          </w:p>
        </w:tc>
        <w:tc>
          <w:tcPr>
            <w:tcW w:w="800" w:type="dxa"/>
            <w:vAlign w:val="bottom"/>
            <w:tcBorders>
              <w:top w:val="single" w:sz="8" w:color="F0FFFF"/>
            </w:tcBorders>
          </w:tcPr>
          <w:p>
            <w:pPr>
              <w:spacing w:after="0"/>
              <w:rPr>
                <w:sz w:val="11"/>
                <w:szCs w:val="11"/>
                <w:color w:val="auto"/>
              </w:rPr>
            </w:pPr>
          </w:p>
        </w:tc>
        <w:tc>
          <w:tcPr>
            <w:tcW w:w="18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6,715,445</w:t>
            </w:r>
          </w:p>
        </w:tc>
        <w:tc>
          <w:tcPr>
            <w:tcW w:w="14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660" w:type="dxa"/>
            <w:vAlign w:val="bottom"/>
            <w:tcBorders>
              <w:top w:val="single" w:sz="8" w:color="F0FFFF"/>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780" w:type="dxa"/>
            <w:vAlign w:val="bottom"/>
            <w:tcBorders>
              <w:top w:val="single" w:sz="8" w:color="F0FFFF"/>
            </w:tcBorders>
          </w:tcPr>
          <w:p>
            <w:pPr>
              <w:spacing w:after="0"/>
              <w:rPr>
                <w:sz w:val="11"/>
                <w:szCs w:val="11"/>
                <w:color w:val="auto"/>
              </w:rPr>
            </w:pPr>
          </w:p>
        </w:tc>
        <w:tc>
          <w:tcPr>
            <w:tcW w:w="24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6,341,690</w:t>
            </w:r>
          </w:p>
        </w:tc>
        <w:tc>
          <w:tcPr>
            <w:tcW w:w="2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680" w:type="dxa"/>
            <w:vAlign w:val="bottom"/>
            <w:tcBorders>
              <w:top w:val="single" w:sz="8" w:color="F0FFFF"/>
            </w:tcBorders>
          </w:tcPr>
          <w:p>
            <w:pPr>
              <w:spacing w:after="0"/>
              <w:rPr>
                <w:sz w:val="11"/>
                <w:szCs w:val="11"/>
                <w:color w:val="auto"/>
              </w:rPr>
            </w:pPr>
          </w:p>
        </w:tc>
        <w:tc>
          <w:tcPr>
            <w:tcW w:w="220" w:type="dxa"/>
            <w:vAlign w:val="bottom"/>
            <w:tcBorders>
              <w:top w:val="single" w:sz="8" w:color="F0FFFF"/>
            </w:tcBorders>
          </w:tcPr>
          <w:p>
            <w:pPr>
              <w:spacing w:after="0"/>
              <w:rPr>
                <w:sz w:val="11"/>
                <w:szCs w:val="11"/>
                <w:color w:val="auto"/>
              </w:rPr>
            </w:pPr>
          </w:p>
        </w:tc>
        <w:tc>
          <w:tcPr>
            <w:tcW w:w="780" w:type="dxa"/>
            <w:vAlign w:val="bottom"/>
            <w:tcBorders>
              <w:top w:val="single" w:sz="8" w:color="F0FFFF"/>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4"/>
                <w:szCs w:val="14"/>
                <w:color w:val="auto"/>
              </w:rPr>
              <w:t>Shareholders’ equity</w:t>
            </w:r>
          </w:p>
        </w:tc>
        <w:tc>
          <w:tcPr>
            <w:tcW w:w="120" w:type="dxa"/>
            <w:vAlign w:val="bottom"/>
            <w:shd w:val="clear" w:color="auto" w:fill="F0FFFF"/>
          </w:tcPr>
          <w:p>
            <w:pPr>
              <w:spacing w:after="0"/>
              <w:rPr>
                <w:sz w:val="14"/>
                <w:szCs w:val="14"/>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869,402</w:t>
            </w:r>
          </w:p>
        </w:tc>
        <w:tc>
          <w:tcPr>
            <w:tcW w:w="2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720,201</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732,309</w:t>
            </w:r>
          </w:p>
        </w:tc>
        <w:tc>
          <w:tcPr>
            <w:tcW w:w="1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F0FFFF"/>
            </w:tcBorders>
            <w:vMerge w:val="restart"/>
          </w:tcPr>
          <w:p>
            <w:pPr>
              <w:ind w:left="480"/>
              <w:spacing w:after="0" w:line="119" w:lineRule="exact"/>
              <w:rPr>
                <w:sz w:val="20"/>
                <w:szCs w:val="20"/>
                <w:color w:val="auto"/>
              </w:rPr>
            </w:pPr>
            <w:r>
              <w:rPr>
                <w:rFonts w:ascii="Arial" w:cs="Arial" w:eastAsia="Arial" w:hAnsi="Arial"/>
                <w:sz w:val="13"/>
                <w:szCs w:val="13"/>
                <w:b w:val="1"/>
                <w:bCs w:val="1"/>
                <w:color w:val="auto"/>
              </w:rPr>
              <w:t>Total liabilities and</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8,462,109</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gridSpan w:val="2"/>
            <w:vMerge w:val="restart"/>
          </w:tcPr>
          <w:p>
            <w:pPr>
              <w:jc w:val="right"/>
              <w:ind w:right="9"/>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7,435,646</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7,073,999</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80" w:type="dxa"/>
            <w:vAlign w:val="bottom"/>
          </w:tcPr>
          <w:p>
            <w:pPr>
              <w:ind w:left="600"/>
              <w:spacing w:after="0" w:line="125" w:lineRule="exact"/>
              <w:rPr>
                <w:sz w:val="20"/>
                <w:szCs w:val="20"/>
                <w:color w:val="auto"/>
              </w:rPr>
            </w:pPr>
            <w:r>
              <w:rPr>
                <w:rFonts w:ascii="Arial" w:cs="Arial" w:eastAsia="Arial" w:hAnsi="Arial"/>
                <w:sz w:val="14"/>
                <w:szCs w:val="14"/>
                <w:b w:val="1"/>
                <w:bCs w:val="1"/>
                <w:color w:val="auto"/>
              </w:rPr>
              <w:t>shareholders’ equity</w:t>
            </w:r>
          </w:p>
        </w:tc>
        <w:tc>
          <w:tcPr>
            <w:tcW w:w="1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8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78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7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280" w:type="dxa"/>
            <w:vAlign w:val="bottom"/>
            <w:shd w:val="clear" w:color="auto" w:fill="F0FFFF"/>
          </w:tcPr>
          <w:p>
            <w:pPr>
              <w:ind w:left="160"/>
              <w:spacing w:after="0"/>
              <w:rPr>
                <w:sz w:val="20"/>
                <w:szCs w:val="20"/>
                <w:color w:val="auto"/>
              </w:rPr>
            </w:pPr>
            <w:r>
              <w:rPr>
                <w:rFonts w:ascii="Arial" w:cs="Arial" w:eastAsia="Arial" w:hAnsi="Arial"/>
                <w:sz w:val="14"/>
                <w:szCs w:val="14"/>
                <w:color w:val="auto"/>
              </w:rPr>
              <w:t>Net interest revenue</w:t>
            </w:r>
          </w:p>
        </w:tc>
        <w:tc>
          <w:tcPr>
            <w:tcW w:w="12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F0FFFF"/>
          </w:tcPr>
          <w:p>
            <w:pPr>
              <w:jc w:val="right"/>
              <w:ind w:right="260"/>
              <w:spacing w:after="0"/>
              <w:rPr>
                <w:sz w:val="20"/>
                <w:szCs w:val="20"/>
                <w:color w:val="auto"/>
              </w:rPr>
            </w:pPr>
            <w:r>
              <w:rPr>
                <w:rFonts w:ascii="Arial" w:cs="Arial" w:eastAsia="Arial" w:hAnsi="Arial"/>
                <w:sz w:val="14"/>
                <w:szCs w:val="14"/>
                <w:color w:val="auto"/>
              </w:rPr>
              <w:t>258,700</w:t>
            </w:r>
          </w:p>
        </w:tc>
        <w:tc>
          <w:tcPr>
            <w:tcW w:w="8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224,418</w:t>
            </w:r>
          </w:p>
        </w:tc>
        <w:tc>
          <w:tcPr>
            <w:tcW w:w="7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219,641</w:t>
            </w:r>
          </w:p>
        </w:tc>
        <w:tc>
          <w:tcPr>
            <w:tcW w:w="7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F0FFFF"/>
              <w:bottom w:val="single" w:sz="8" w:color="F0FFFF"/>
            </w:tcBorders>
            <w:vMerge w:val="restart"/>
          </w:tcPr>
          <w:p>
            <w:pPr>
              <w:ind w:left="160"/>
              <w:spacing w:after="0"/>
              <w:rPr>
                <w:sz w:val="20"/>
                <w:szCs w:val="20"/>
                <w:color w:val="auto"/>
              </w:rPr>
            </w:pPr>
            <w:r>
              <w:rPr>
                <w:rFonts w:ascii="Arial" w:cs="Arial" w:eastAsia="Arial" w:hAnsi="Arial"/>
                <w:sz w:val="14"/>
                <w:szCs w:val="14"/>
                <w:color w:val="auto"/>
              </w:rPr>
              <w:t>Net interest-rate spread</w:t>
            </w:r>
          </w:p>
        </w:tc>
        <w:tc>
          <w:tcPr>
            <w:tcW w:w="12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F0FFFF"/>
              <w:bottom w:val="single" w:sz="8" w:color="F0FFFF"/>
            </w:tcBorders>
            <w:gridSpan w:val="2"/>
            <w:vMerge w:val="restart"/>
          </w:tcPr>
          <w:p>
            <w:pPr>
              <w:jc w:val="right"/>
              <w:spacing w:after="0" w:line="190" w:lineRule="exact"/>
              <w:rPr>
                <w:sz w:val="20"/>
                <w:szCs w:val="20"/>
                <w:color w:val="auto"/>
              </w:rPr>
            </w:pPr>
            <w:r>
              <w:rPr>
                <w:rFonts w:ascii="Arial" w:cs="Arial" w:eastAsia="Arial" w:hAnsi="Arial"/>
                <w:sz w:val="12"/>
                <w:szCs w:val="12"/>
                <w:color w:val="auto"/>
              </w:rPr>
              <w:t>3.19</w:t>
            </w:r>
            <w:r>
              <w:rPr>
                <w:rFonts w:ascii="Arial" w:cs="Arial" w:eastAsia="Arial" w:hAnsi="Arial"/>
                <w:sz w:val="21"/>
                <w:szCs w:val="21"/>
                <w:color w:val="auto"/>
                <w:vertAlign w:val="superscript"/>
              </w:rPr>
              <w:t>%</w:t>
            </w: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bottom w:val="single" w:sz="8" w:color="F0FFFF"/>
            </w:tcBorders>
            <w:gridSpan w:val="2"/>
            <w:vMerge w:val="restart"/>
          </w:tcPr>
          <w:p>
            <w:pPr>
              <w:jc w:val="right"/>
              <w:ind w:right="48"/>
              <w:spacing w:after="0" w:line="190" w:lineRule="exact"/>
              <w:rPr>
                <w:sz w:val="20"/>
                <w:szCs w:val="20"/>
                <w:color w:val="auto"/>
              </w:rPr>
            </w:pPr>
            <w:r>
              <w:rPr>
                <w:rFonts w:ascii="Arial" w:cs="Arial" w:eastAsia="Arial" w:hAnsi="Arial"/>
                <w:sz w:val="12"/>
                <w:szCs w:val="12"/>
                <w:color w:val="auto"/>
              </w:rPr>
              <w:t>3.13</w:t>
            </w:r>
            <w:r>
              <w:rPr>
                <w:rFonts w:ascii="Arial" w:cs="Arial" w:eastAsia="Arial" w:hAnsi="Arial"/>
                <w:sz w:val="21"/>
                <w:szCs w:val="21"/>
                <w:color w:val="auto"/>
                <w:vertAlign w:val="superscript"/>
              </w:rPr>
              <w:t>%</w:t>
            </w:r>
          </w:p>
        </w:tc>
        <w:tc>
          <w:tcPr>
            <w:tcW w:w="1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bottom w:val="single" w:sz="8" w:color="F0FFFF"/>
            </w:tcBorders>
            <w:gridSpan w:val="2"/>
            <w:vMerge w:val="restart"/>
          </w:tcPr>
          <w:p>
            <w:pPr>
              <w:jc w:val="right"/>
              <w:spacing w:after="0" w:line="190" w:lineRule="exact"/>
              <w:rPr>
                <w:sz w:val="20"/>
                <w:szCs w:val="20"/>
                <w:color w:val="auto"/>
              </w:rPr>
            </w:pPr>
            <w:r>
              <w:rPr>
                <w:rFonts w:ascii="Arial" w:cs="Arial" w:eastAsia="Arial" w:hAnsi="Arial"/>
                <w:sz w:val="12"/>
                <w:szCs w:val="12"/>
                <w:color w:val="auto"/>
              </w:rPr>
              <w:t>3.16</w:t>
            </w:r>
            <w:r>
              <w:rPr>
                <w:rFonts w:ascii="Arial" w:cs="Arial" w:eastAsia="Arial" w:hAnsi="Arial"/>
                <w:sz w:val="21"/>
                <w:szCs w:val="21"/>
                <w:color w:val="auto"/>
                <w:vertAlign w:val="superscript"/>
              </w:rPr>
              <w:t>%</w:t>
            </w:r>
          </w:p>
        </w:tc>
        <w:tc>
          <w:tcPr>
            <w:tcW w:w="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70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68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280" w:type="dxa"/>
            <w:vAlign w:val="bottom"/>
            <w:shd w:val="clear" w:color="auto" w:fill="F0FFFF"/>
          </w:tcPr>
          <w:p>
            <w:pPr>
              <w:ind w:left="160"/>
              <w:spacing w:after="0" w:line="129" w:lineRule="exact"/>
              <w:rPr>
                <w:sz w:val="20"/>
                <w:szCs w:val="20"/>
                <w:color w:val="auto"/>
              </w:rPr>
            </w:pPr>
            <w:r>
              <w:rPr>
                <w:rFonts w:ascii="Arial" w:cs="Arial" w:eastAsia="Arial" w:hAnsi="Arial"/>
                <w:sz w:val="10"/>
                <w:szCs w:val="10"/>
                <w:color w:val="auto"/>
              </w:rPr>
              <w:t xml:space="preserve">Net interest margin </w:t>
            </w:r>
            <w:r>
              <w:rPr>
                <w:rFonts w:ascii="Arial" w:cs="Arial" w:eastAsia="Arial" w:hAnsi="Arial"/>
                <w:sz w:val="14"/>
                <w:szCs w:val="14"/>
                <w:color w:val="auto"/>
                <w:vertAlign w:val="superscript"/>
              </w:rPr>
              <w:t>(4)</w:t>
            </w: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80" w:type="dxa"/>
            <w:vAlign w:val="bottom"/>
            <w:shd w:val="clear" w:color="auto" w:fill="F0FFFF"/>
          </w:tcPr>
          <w:p>
            <w:pPr>
              <w:jc w:val="right"/>
              <w:spacing w:after="0" w:line="129" w:lineRule="exact"/>
              <w:rPr>
                <w:sz w:val="20"/>
                <w:szCs w:val="20"/>
                <w:color w:val="auto"/>
              </w:rPr>
            </w:pPr>
            <w:r>
              <w:rPr>
                <w:rFonts w:ascii="Arial" w:cs="Arial" w:eastAsia="Arial" w:hAnsi="Arial"/>
                <w:sz w:val="14"/>
                <w:szCs w:val="14"/>
                <w:color w:val="auto"/>
                <w:w w:val="79"/>
              </w:rPr>
              <w:t>%</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vMerge w:val="restart"/>
            <w:shd w:val="clear" w:color="auto" w:fill="F0FFFF"/>
          </w:tcPr>
          <w:p>
            <w:pPr>
              <w:jc w:val="right"/>
              <w:spacing w:after="0"/>
              <w:rPr>
                <w:sz w:val="20"/>
                <w:szCs w:val="20"/>
                <w:color w:val="auto"/>
              </w:rPr>
            </w:pPr>
            <w:r>
              <w:rPr>
                <w:rFonts w:ascii="Arial" w:cs="Arial" w:eastAsia="Arial" w:hAnsi="Arial"/>
                <w:sz w:val="14"/>
                <w:szCs w:val="14"/>
                <w:color w:val="auto"/>
              </w:rPr>
              <w:t>3.26</w:t>
            </w:r>
          </w:p>
        </w:tc>
        <w:tc>
          <w:tcPr>
            <w:tcW w:w="240" w:type="dxa"/>
            <w:vAlign w:val="bottom"/>
            <w:shd w:val="clear" w:color="auto" w:fill="F0FFFF"/>
          </w:tcPr>
          <w:p>
            <w:pPr>
              <w:jc w:val="right"/>
              <w:ind w:right="48"/>
              <w:spacing w:after="0" w:line="129" w:lineRule="exact"/>
              <w:rPr>
                <w:sz w:val="20"/>
                <w:szCs w:val="20"/>
                <w:color w:val="auto"/>
              </w:rPr>
            </w:pPr>
            <w:r>
              <w:rPr>
                <w:rFonts w:ascii="Arial" w:cs="Arial" w:eastAsia="Arial" w:hAnsi="Arial"/>
                <w:sz w:val="14"/>
                <w:szCs w:val="14"/>
                <w:color w:val="auto"/>
                <w:w w:val="79"/>
              </w:rPr>
              <w:t>%</w:t>
            </w: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jc w:val="right"/>
              <w:spacing w:after="0" w:line="12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280" w:type="dxa"/>
            <w:vAlign w:val="bottom"/>
            <w:shd w:val="clear" w:color="auto" w:fill="F0FFFF"/>
          </w:tcPr>
          <w:p>
            <w:pPr>
              <w:spacing w:after="0"/>
              <w:rPr>
                <w:sz w:val="6"/>
                <w:szCs w:val="6"/>
                <w:color w:val="auto"/>
              </w:rPr>
            </w:pPr>
          </w:p>
        </w:tc>
        <w:tc>
          <w:tcPr>
            <w:tcW w:w="120" w:type="dxa"/>
            <w:vAlign w:val="bottom"/>
            <w:shd w:val="clear" w:color="auto" w:fill="F0FFFF"/>
          </w:tcPr>
          <w:p>
            <w:pPr>
              <w:spacing w:after="0"/>
              <w:rPr>
                <w:sz w:val="6"/>
                <w:szCs w:val="6"/>
                <w:color w:val="auto"/>
              </w:rPr>
            </w:pPr>
          </w:p>
        </w:tc>
        <w:tc>
          <w:tcPr>
            <w:tcW w:w="700" w:type="dxa"/>
            <w:vAlign w:val="bottom"/>
            <w:shd w:val="clear" w:color="auto" w:fill="F0FFFF"/>
          </w:tcPr>
          <w:p>
            <w:pPr>
              <w:spacing w:after="0"/>
              <w:rPr>
                <w:sz w:val="6"/>
                <w:szCs w:val="6"/>
                <w:color w:val="auto"/>
              </w:rPr>
            </w:pPr>
          </w:p>
        </w:tc>
        <w:tc>
          <w:tcPr>
            <w:tcW w:w="240" w:type="dxa"/>
            <w:vAlign w:val="bottom"/>
            <w:shd w:val="clear" w:color="auto" w:fill="F0FFFF"/>
          </w:tcPr>
          <w:p>
            <w:pPr>
              <w:spacing w:after="0"/>
              <w:rPr>
                <w:sz w:val="6"/>
                <w:szCs w:val="6"/>
                <w:color w:val="auto"/>
              </w:rPr>
            </w:pPr>
          </w:p>
        </w:tc>
        <w:tc>
          <w:tcPr>
            <w:tcW w:w="120" w:type="dxa"/>
            <w:vAlign w:val="bottom"/>
            <w:shd w:val="clear" w:color="auto" w:fill="F0FFFF"/>
          </w:tcPr>
          <w:p>
            <w:pPr>
              <w:spacing w:after="0"/>
              <w:rPr>
                <w:sz w:val="6"/>
                <w:szCs w:val="6"/>
                <w:color w:val="auto"/>
              </w:rPr>
            </w:pPr>
          </w:p>
        </w:tc>
        <w:tc>
          <w:tcPr>
            <w:tcW w:w="680" w:type="dxa"/>
            <w:vAlign w:val="bottom"/>
            <w:shd w:val="clear" w:color="auto" w:fill="F0FFFF"/>
          </w:tcPr>
          <w:p>
            <w:pPr>
              <w:spacing w:after="0"/>
              <w:rPr>
                <w:sz w:val="6"/>
                <w:szCs w:val="6"/>
                <w:color w:val="auto"/>
              </w:rPr>
            </w:pPr>
          </w:p>
        </w:tc>
        <w:tc>
          <w:tcPr>
            <w:tcW w:w="260" w:type="dxa"/>
            <w:vAlign w:val="bottom"/>
            <w:shd w:val="clear" w:color="auto" w:fill="F0FFFF"/>
          </w:tcPr>
          <w:p>
            <w:pPr>
              <w:spacing w:after="0"/>
              <w:rPr>
                <w:sz w:val="6"/>
                <w:szCs w:val="6"/>
                <w:color w:val="auto"/>
              </w:rPr>
            </w:pPr>
          </w:p>
        </w:tc>
        <w:tc>
          <w:tcPr>
            <w:tcW w:w="980" w:type="dxa"/>
            <w:vAlign w:val="bottom"/>
            <w:gridSpan w:val="2"/>
            <w:shd w:val="clear" w:color="auto" w:fill="F0FFFF"/>
          </w:tcPr>
          <w:p>
            <w:pPr>
              <w:jc w:val="right"/>
              <w:ind w:right="108"/>
              <w:spacing w:after="0" w:line="54" w:lineRule="exact"/>
              <w:rPr>
                <w:sz w:val="20"/>
                <w:szCs w:val="20"/>
                <w:color w:val="auto"/>
              </w:rPr>
            </w:pPr>
            <w:r>
              <w:rPr>
                <w:rFonts w:ascii="Arial" w:cs="Arial" w:eastAsia="Arial" w:hAnsi="Arial"/>
                <w:sz w:val="6"/>
                <w:szCs w:val="6"/>
                <w:color w:val="auto"/>
              </w:rPr>
              <w:t>3.30</w:t>
            </w:r>
          </w:p>
        </w:tc>
        <w:tc>
          <w:tcPr>
            <w:tcW w:w="80" w:type="dxa"/>
            <w:vAlign w:val="bottom"/>
            <w:shd w:val="clear" w:color="auto" w:fill="F0FFFF"/>
          </w:tcPr>
          <w:p>
            <w:pPr>
              <w:spacing w:after="0"/>
              <w:rPr>
                <w:sz w:val="6"/>
                <w:szCs w:val="6"/>
                <w:color w:val="auto"/>
              </w:rPr>
            </w:pPr>
          </w:p>
        </w:tc>
        <w:tc>
          <w:tcPr>
            <w:tcW w:w="120" w:type="dxa"/>
            <w:vAlign w:val="bottom"/>
            <w:shd w:val="clear" w:color="auto" w:fill="F0FFFF"/>
          </w:tcPr>
          <w:p>
            <w:pPr>
              <w:spacing w:after="0"/>
              <w:rPr>
                <w:sz w:val="6"/>
                <w:szCs w:val="6"/>
                <w:color w:val="auto"/>
              </w:rPr>
            </w:pPr>
          </w:p>
        </w:tc>
        <w:tc>
          <w:tcPr>
            <w:tcW w:w="680" w:type="dxa"/>
            <w:vAlign w:val="bottom"/>
            <w:shd w:val="clear" w:color="auto" w:fill="F0FFFF"/>
          </w:tcPr>
          <w:p>
            <w:pPr>
              <w:spacing w:after="0"/>
              <w:rPr>
                <w:sz w:val="6"/>
                <w:szCs w:val="6"/>
                <w:color w:val="auto"/>
              </w:rPr>
            </w:pPr>
          </w:p>
        </w:tc>
        <w:tc>
          <w:tcPr>
            <w:tcW w:w="140" w:type="dxa"/>
            <w:vAlign w:val="bottom"/>
            <w:shd w:val="clear" w:color="auto" w:fill="F0FFFF"/>
          </w:tcPr>
          <w:p>
            <w:pPr>
              <w:spacing w:after="0"/>
              <w:rPr>
                <w:sz w:val="6"/>
                <w:szCs w:val="6"/>
                <w:color w:val="auto"/>
              </w:rPr>
            </w:pPr>
          </w:p>
        </w:tc>
        <w:tc>
          <w:tcPr>
            <w:tcW w:w="80" w:type="dxa"/>
            <w:vAlign w:val="bottom"/>
            <w:shd w:val="clear" w:color="auto" w:fill="F0FFFF"/>
          </w:tcPr>
          <w:p>
            <w:pPr>
              <w:spacing w:after="0"/>
              <w:rPr>
                <w:sz w:val="6"/>
                <w:szCs w:val="6"/>
                <w:color w:val="auto"/>
              </w:rPr>
            </w:pPr>
          </w:p>
        </w:tc>
        <w:tc>
          <w:tcPr>
            <w:tcW w:w="120" w:type="dxa"/>
            <w:vAlign w:val="bottom"/>
            <w:shd w:val="clear" w:color="auto" w:fill="F0FFFF"/>
          </w:tcPr>
          <w:p>
            <w:pPr>
              <w:spacing w:after="0"/>
              <w:rPr>
                <w:sz w:val="6"/>
                <w:szCs w:val="6"/>
                <w:color w:val="auto"/>
              </w:rPr>
            </w:pPr>
          </w:p>
        </w:tc>
        <w:tc>
          <w:tcPr>
            <w:tcW w:w="660" w:type="dxa"/>
            <w:vAlign w:val="bottom"/>
            <w:shd w:val="clear" w:color="auto" w:fill="F0FFFF"/>
          </w:tcPr>
          <w:p>
            <w:pPr>
              <w:spacing w:after="0"/>
              <w:rPr>
                <w:sz w:val="6"/>
                <w:szCs w:val="6"/>
                <w:color w:val="auto"/>
              </w:rPr>
            </w:pPr>
          </w:p>
        </w:tc>
        <w:tc>
          <w:tcPr>
            <w:tcW w:w="220" w:type="dxa"/>
            <w:vAlign w:val="bottom"/>
            <w:shd w:val="clear" w:color="auto" w:fill="F0FFFF"/>
          </w:tcPr>
          <w:p>
            <w:pPr>
              <w:spacing w:after="0"/>
              <w:rPr>
                <w:sz w:val="6"/>
                <w:szCs w:val="6"/>
                <w:color w:val="auto"/>
              </w:rPr>
            </w:pPr>
          </w:p>
        </w:tc>
        <w:tc>
          <w:tcPr>
            <w:tcW w:w="780" w:type="dxa"/>
            <w:vAlign w:val="bottom"/>
            <w:vMerge w:val="continue"/>
            <w:shd w:val="clear" w:color="auto" w:fill="F0FFFF"/>
          </w:tcPr>
          <w:p>
            <w:pPr>
              <w:spacing w:after="0"/>
              <w:rPr>
                <w:sz w:val="6"/>
                <w:szCs w:val="6"/>
                <w:color w:val="auto"/>
              </w:rPr>
            </w:pPr>
          </w:p>
        </w:tc>
        <w:tc>
          <w:tcPr>
            <w:tcW w:w="240" w:type="dxa"/>
            <w:vAlign w:val="bottom"/>
            <w:shd w:val="clear" w:color="auto" w:fill="F0FFFF"/>
          </w:tcPr>
          <w:p>
            <w:pPr>
              <w:spacing w:after="0"/>
              <w:rPr>
                <w:sz w:val="6"/>
                <w:szCs w:val="6"/>
                <w:color w:val="auto"/>
              </w:rPr>
            </w:pPr>
          </w:p>
        </w:tc>
        <w:tc>
          <w:tcPr>
            <w:tcW w:w="100" w:type="dxa"/>
            <w:vAlign w:val="bottom"/>
            <w:shd w:val="clear" w:color="auto" w:fill="F0FFFF"/>
          </w:tcPr>
          <w:p>
            <w:pPr>
              <w:spacing w:after="0"/>
              <w:rPr>
                <w:sz w:val="6"/>
                <w:szCs w:val="6"/>
                <w:color w:val="auto"/>
              </w:rPr>
            </w:pPr>
          </w:p>
        </w:tc>
        <w:tc>
          <w:tcPr>
            <w:tcW w:w="680" w:type="dxa"/>
            <w:vAlign w:val="bottom"/>
            <w:shd w:val="clear" w:color="auto" w:fill="F0FFFF"/>
          </w:tcPr>
          <w:p>
            <w:pPr>
              <w:spacing w:after="0"/>
              <w:rPr>
                <w:sz w:val="6"/>
                <w:szCs w:val="6"/>
                <w:color w:val="auto"/>
              </w:rPr>
            </w:pPr>
          </w:p>
        </w:tc>
        <w:tc>
          <w:tcPr>
            <w:tcW w:w="220" w:type="dxa"/>
            <w:vAlign w:val="bottom"/>
            <w:shd w:val="clear" w:color="auto" w:fill="F0FFFF"/>
          </w:tcPr>
          <w:p>
            <w:pPr>
              <w:spacing w:after="0"/>
              <w:rPr>
                <w:sz w:val="6"/>
                <w:szCs w:val="6"/>
                <w:color w:val="auto"/>
              </w:rPr>
            </w:pPr>
          </w:p>
        </w:tc>
        <w:tc>
          <w:tcPr>
            <w:tcW w:w="100" w:type="dxa"/>
            <w:vAlign w:val="bottom"/>
            <w:shd w:val="clear" w:color="auto" w:fill="F0FFFF"/>
          </w:tcPr>
          <w:p>
            <w:pPr>
              <w:spacing w:after="0"/>
              <w:rPr>
                <w:sz w:val="6"/>
                <w:szCs w:val="6"/>
                <w:color w:val="auto"/>
              </w:rPr>
            </w:pPr>
          </w:p>
        </w:tc>
        <w:tc>
          <w:tcPr>
            <w:tcW w:w="680" w:type="dxa"/>
            <w:vAlign w:val="bottom"/>
            <w:shd w:val="clear" w:color="auto" w:fill="F0FFFF"/>
          </w:tcPr>
          <w:p>
            <w:pPr>
              <w:spacing w:after="0"/>
              <w:rPr>
                <w:sz w:val="6"/>
                <w:szCs w:val="6"/>
                <w:color w:val="auto"/>
              </w:rPr>
            </w:pPr>
          </w:p>
        </w:tc>
        <w:tc>
          <w:tcPr>
            <w:tcW w:w="220" w:type="dxa"/>
            <w:vAlign w:val="bottom"/>
            <w:shd w:val="clear" w:color="auto" w:fill="F0FFFF"/>
          </w:tcPr>
          <w:p>
            <w:pPr>
              <w:spacing w:after="0"/>
              <w:rPr>
                <w:sz w:val="6"/>
                <w:szCs w:val="6"/>
                <w:color w:val="auto"/>
              </w:rPr>
            </w:pPr>
          </w:p>
        </w:tc>
        <w:tc>
          <w:tcPr>
            <w:tcW w:w="900" w:type="dxa"/>
            <w:vAlign w:val="bottom"/>
            <w:gridSpan w:val="2"/>
            <w:shd w:val="clear" w:color="auto" w:fill="F0FFFF"/>
          </w:tcPr>
          <w:p>
            <w:pPr>
              <w:jc w:val="right"/>
              <w:ind w:right="48"/>
              <w:spacing w:after="0" w:line="54" w:lineRule="exact"/>
              <w:rPr>
                <w:sz w:val="20"/>
                <w:szCs w:val="20"/>
                <w:color w:val="auto"/>
              </w:rPr>
            </w:pPr>
            <w:r>
              <w:rPr>
                <w:rFonts w:ascii="Arial" w:cs="Arial" w:eastAsia="Arial" w:hAnsi="Arial"/>
                <w:sz w:val="6"/>
                <w:szCs w:val="6"/>
                <w:color w:val="auto"/>
              </w:rPr>
              <w:t>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20" w:hanging="332"/>
        <w:spacing w:after="0" w:line="194"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rate and the federal tax adjusted state tax rate.</w:t>
      </w:r>
    </w:p>
    <w:p>
      <w:pPr>
        <w:ind w:left="340" w:hanging="332"/>
        <w:spacing w:after="0" w:line="180"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Included in the average balance of loans outstanding are loans where the accrual of interest has been discontinued.</w:t>
      </w:r>
    </w:p>
    <w:p>
      <w:pPr>
        <w:spacing w:after="0" w:line="2" w:lineRule="exact"/>
        <w:rPr>
          <w:rFonts w:ascii="Arial" w:cs="Arial" w:eastAsia="Arial" w:hAnsi="Arial"/>
          <w:sz w:val="25"/>
          <w:szCs w:val="25"/>
          <w:color w:val="auto"/>
          <w:vertAlign w:val="superscript"/>
        </w:rPr>
      </w:pPr>
    </w:p>
    <w:p>
      <w:pPr>
        <w:ind w:left="340" w:right="360" w:hanging="332"/>
        <w:spacing w:after="0" w:line="187" w:lineRule="auto"/>
        <w:tabs>
          <w:tab w:leader="none" w:pos="340" w:val="left"/>
        </w:tabs>
        <w:numPr>
          <w:ilvl w:val="0"/>
          <w:numId w:val="17"/>
        </w:numPr>
        <w:rPr>
          <w:rFonts w:ascii="Arial" w:cs="Arial" w:eastAsia="Arial" w:hAnsi="Arial"/>
          <w:sz w:val="30"/>
          <w:szCs w:val="30"/>
          <w:color w:val="auto"/>
          <w:vertAlign w:val="superscript"/>
        </w:rPr>
      </w:pPr>
      <w:r>
        <w:rPr>
          <w:rFonts w:ascii="Arial" w:cs="Arial" w:eastAsia="Arial" w:hAnsi="Arial"/>
          <w:sz w:val="18"/>
          <w:szCs w:val="18"/>
          <w:color w:val="auto"/>
        </w:rPr>
        <w:t>Securities available for sale are shown at amortized cost. Pretax unrealized gains of $11.4 million, $3.36 million and $4.36 million in 2015, 2014 and 2013, respectively, are included in other assets for purposes of this presentation.</w:t>
      </w:r>
    </w:p>
    <w:p>
      <w:pPr>
        <w:ind w:left="340" w:hanging="332"/>
        <w:spacing w:after="0" w:line="180"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The following table shows the relative effect on net interest revenue of changes in the average outstanding balances (volume) of interest-earning assets and interest-bearing liabilities and the rates earned and paid by United on such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Change in Interest Revenue and Interest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fully taxable equivalent)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2015 Compared to 2014</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7"/>
          </w:tcPr>
          <w:p>
            <w:pPr>
              <w:jc w:val="center"/>
              <w:ind w:left="512"/>
              <w:spacing w:after="0"/>
              <w:rPr>
                <w:sz w:val="20"/>
                <w:szCs w:val="20"/>
                <w:color w:val="auto"/>
              </w:rPr>
            </w:pPr>
            <w:r>
              <w:rPr>
                <w:rFonts w:ascii="Arial" w:cs="Arial" w:eastAsia="Arial" w:hAnsi="Arial"/>
                <w:sz w:val="14"/>
                <w:szCs w:val="14"/>
                <w:b w:val="1"/>
                <w:bCs w:val="1"/>
                <w:color w:val="auto"/>
                <w:w w:val="93"/>
              </w:rPr>
              <w:t>2014 Compared to 2013</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1"/>
              </w:rPr>
              <w:t>Increase (decrease)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Increase (decrease)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due to changes in</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9"/>
              </w:rPr>
              <w:t>due to changes in</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Pr>
          <w:p>
            <w:pPr>
              <w:spacing w:after="0"/>
              <w:rPr>
                <w:sz w:val="14"/>
                <w:szCs w:val="14"/>
                <w:color w:val="auto"/>
              </w:rPr>
            </w:pPr>
          </w:p>
        </w:tc>
        <w:tc>
          <w:tcPr>
            <w:tcW w:w="800" w:type="dxa"/>
            <w:vAlign w:val="bottom"/>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Interest-earning assets:</w:t>
            </w:r>
          </w:p>
        </w:tc>
        <w:tc>
          <w:tcPr>
            <w:tcW w:w="1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Loans</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36,124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(9,450)</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26,674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9,030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(13,269)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8"/>
                <w:szCs w:val="18"/>
                <w:color w:val="auto"/>
              </w:rPr>
              <w:t>Taxable securities</w:t>
            </w: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8"/>
              <w:spacing w:after="0"/>
              <w:rPr>
                <w:sz w:val="20"/>
                <w:szCs w:val="20"/>
                <w:color w:val="auto"/>
              </w:rPr>
            </w:pPr>
            <w:r>
              <w:rPr>
                <w:rFonts w:ascii="Arial" w:cs="Arial" w:eastAsia="Arial" w:hAnsi="Arial"/>
                <w:sz w:val="18"/>
                <w:szCs w:val="18"/>
                <w:color w:val="auto"/>
              </w:rPr>
              <w:t>1,884</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1,504</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3,388</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1,650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5,774</w:t>
            </w:r>
          </w:p>
        </w:tc>
        <w:tc>
          <w:tcPr>
            <w:tcW w:w="22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7,424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Tax-exempt securities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8"/>
                <w:szCs w:val="18"/>
                <w:color w:val="auto"/>
                <w:w w:val="92"/>
              </w:rPr>
              <w:t>Federal funds sold and other interest-earning assets</w:t>
            </w:r>
          </w:p>
        </w:tc>
        <w:tc>
          <w:tcPr>
            <w:tcW w:w="14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48"/>
              <w:spacing w:after="0"/>
              <w:rPr>
                <w:sz w:val="20"/>
                <w:szCs w:val="20"/>
                <w:color w:val="auto"/>
              </w:rPr>
            </w:pPr>
            <w:r>
              <w:rPr>
                <w:rFonts w:ascii="Arial" w:cs="Arial" w:eastAsia="Arial" w:hAnsi="Arial"/>
                <w:sz w:val="18"/>
                <w:szCs w:val="18"/>
                <w:color w:val="auto"/>
              </w:rPr>
              <w:t>308</w:t>
            </w:r>
          </w:p>
        </w:tc>
        <w:tc>
          <w:tcPr>
            <w:tcW w:w="1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(475)</w:t>
            </w:r>
          </w:p>
        </w:tc>
        <w:tc>
          <w:tcPr>
            <w:tcW w:w="2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751</w:t>
            </w:r>
          </w:p>
        </w:tc>
        <w:tc>
          <w:tcPr>
            <w:tcW w:w="220" w:type="dxa"/>
            <w:vAlign w:val="bottom"/>
            <w:shd w:val="clear" w:color="auto" w:fill="F0FFFF"/>
          </w:tcPr>
          <w:p>
            <w:pPr>
              <w:spacing w:after="0"/>
              <w:rPr>
                <w:sz w:val="21"/>
                <w:szCs w:val="21"/>
                <w:color w:val="auto"/>
              </w:rPr>
            </w:pPr>
          </w:p>
        </w:tc>
        <w:tc>
          <w:tcPr>
            <w:tcW w:w="9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F0FFFF"/>
              <w:bottom w:val="single" w:sz="8" w:color="F0FFFF"/>
            </w:tcBorders>
          </w:tcPr>
          <w:p>
            <w:pPr>
              <w:ind w:left="160"/>
              <w:spacing w:after="0" w:line="203" w:lineRule="exact"/>
              <w:rPr>
                <w:sz w:val="20"/>
                <w:szCs w:val="20"/>
                <w:color w:val="auto"/>
              </w:rPr>
            </w:pPr>
            <w:r>
              <w:rPr>
                <w:rFonts w:ascii="Arial" w:cs="Arial" w:eastAsia="Arial" w:hAnsi="Arial"/>
                <w:sz w:val="18"/>
                <w:szCs w:val="18"/>
                <w:b w:val="1"/>
                <w:bCs w:val="1"/>
                <w:color w:val="auto"/>
              </w:rPr>
              <w:t>Total interest-earning assets</w:t>
            </w:r>
          </w:p>
        </w:tc>
        <w:tc>
          <w:tcPr>
            <w:tcW w:w="14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38,645</w:t>
            </w: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(8,805</w:t>
            </w:r>
          </w:p>
        </w:tc>
        <w:tc>
          <w:tcPr>
            <w:tcW w:w="220" w:type="dxa"/>
            <w:vAlign w:val="bottom"/>
            <w:tcBorders>
              <w:top w:val="single" w:sz="8" w:color="F0FFFF"/>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bottom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29,840</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9,412</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(6,766</w:t>
            </w:r>
          </w:p>
        </w:tc>
        <w:tc>
          <w:tcPr>
            <w:tcW w:w="220" w:type="dxa"/>
            <w:vAlign w:val="bottom"/>
            <w:tcBorders>
              <w:top w:val="single" w:sz="8" w:color="F0FFFF"/>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2,646</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8"/>
                <w:szCs w:val="18"/>
                <w:color w:val="auto"/>
              </w:rPr>
              <w:t>Interest-bearing deposits:</w:t>
            </w: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NOW</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Money Market</w:t>
            </w: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8"/>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(200)</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719</w:t>
            </w:r>
          </w:p>
        </w:tc>
        <w:tc>
          <w:tcPr>
            <w:tcW w:w="22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850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Savings deposits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Time deposits</w:t>
            </w: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(1,731)</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(2,186)</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(1,616)</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(2,340)</w:t>
            </w:r>
          </w:p>
        </w:tc>
        <w:tc>
          <w:tcPr>
            <w:tcW w:w="220" w:type="dxa"/>
            <w:vAlign w:val="bottom"/>
            <w:shd w:val="clear" w:color="auto" w:fill="F0FFFF"/>
          </w:tcPr>
          <w:p>
            <w:pPr>
              <w:spacing w:after="0"/>
              <w:rPr>
                <w:sz w:val="18"/>
                <w:szCs w:val="18"/>
                <w:color w:val="auto"/>
              </w:rPr>
            </w:pPr>
          </w:p>
        </w:tc>
        <w:tc>
          <w:tcPr>
            <w:tcW w:w="90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ind w:left="160"/>
              <w:spacing w:after="0"/>
              <w:rPr>
                <w:sz w:val="20"/>
                <w:szCs w:val="20"/>
                <w:color w:val="auto"/>
              </w:rPr>
            </w:pPr>
            <w:r>
              <w:rPr>
                <w:rFonts w:ascii="Arial" w:cs="Arial" w:eastAsia="Arial" w:hAnsi="Arial"/>
                <w:sz w:val="18"/>
                <w:szCs w:val="18"/>
                <w:color w:val="auto"/>
              </w:rPr>
              <w:t>Brokered deposits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(1,182)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interest-bearing deposits</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(3,452</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(3,100</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(1,190</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top w:val="single" w:sz="8" w:color="F0FFFF"/>
              <w:bottom w:val="single" w:sz="8" w:color="F0FFFF"/>
            </w:tcBorders>
            <w:gridSpan w:val="2"/>
            <w:shd w:val="clear" w:color="auto" w:fill="F0FF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60" w:type="dxa"/>
            <w:vAlign w:val="bottom"/>
          </w:tcPr>
          <w:p>
            <w:pPr>
              <w:spacing w:after="0" w:line="176" w:lineRule="exact"/>
              <w:rPr>
                <w:sz w:val="20"/>
                <w:szCs w:val="20"/>
                <w:color w:val="auto"/>
              </w:rPr>
            </w:pPr>
            <w:r>
              <w:rPr>
                <w:rFonts w:ascii="Arial" w:cs="Arial" w:eastAsia="Arial" w:hAnsi="Arial"/>
                <w:sz w:val="18"/>
                <w:szCs w:val="18"/>
                <w:color w:val="auto"/>
                <w:w w:val="92"/>
              </w:rPr>
              <w:t>Federal funds purchased, repurchase agreements &amp;</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other short-term borrowings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(1,235)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(1,796)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8"/>
                <w:szCs w:val="18"/>
                <w:color w:val="auto"/>
              </w:rPr>
              <w:t>Federal Home Loan Bank advances</w:t>
            </w: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48"/>
              <w:spacing w:after="0"/>
              <w:rPr>
                <w:sz w:val="20"/>
                <w:szCs w:val="20"/>
                <w:color w:val="auto"/>
              </w:rPr>
            </w:pPr>
            <w:r>
              <w:rPr>
                <w:rFonts w:ascii="Arial" w:cs="Arial" w:eastAsia="Arial" w:hAnsi="Arial"/>
                <w:sz w:val="18"/>
                <w:szCs w:val="18"/>
                <w:color w:val="auto"/>
              </w:rPr>
              <w:t>463</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368</w:t>
            </w: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831</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844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(1,162)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6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borrowed funds</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(2,029</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(1,342</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F0FFFF"/>
          </w:tcPr>
          <w:p>
            <w:pPr>
              <w:spacing w:after="0"/>
              <w:rPr>
                <w:sz w:val="20"/>
                <w:szCs w:val="20"/>
                <w:color w:val="auto"/>
              </w:rPr>
            </w:pP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510</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F0FFFF"/>
            </w:tcBorders>
          </w:tcPr>
          <w:p>
            <w:pPr>
              <w:ind w:left="320"/>
              <w:spacing w:after="0" w:line="203" w:lineRule="exact"/>
              <w:rPr>
                <w:sz w:val="20"/>
                <w:szCs w:val="20"/>
                <w:color w:val="auto"/>
              </w:rPr>
            </w:pPr>
            <w:r>
              <w:rPr>
                <w:rFonts w:ascii="Arial" w:cs="Arial" w:eastAsia="Arial" w:hAnsi="Arial"/>
                <w:sz w:val="18"/>
                <w:szCs w:val="18"/>
                <w:b w:val="1"/>
                <w:bCs w:val="1"/>
                <w:color w:val="auto"/>
              </w:rPr>
              <w:t>Total interest-bearing liabilities</w:t>
            </w:r>
          </w:p>
        </w:tc>
        <w:tc>
          <w:tcPr>
            <w:tcW w:w="14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1,039</w:t>
            </w:r>
          </w:p>
        </w:tc>
        <w:tc>
          <w:tcPr>
            <w:tcW w:w="120" w:type="dxa"/>
            <w:vAlign w:val="bottom"/>
            <w:tcBorders>
              <w:bottom w:val="single" w:sz="8" w:color="F0FFFF"/>
            </w:tcBorders>
          </w:tcPr>
          <w:p>
            <w:pPr>
              <w:spacing w:after="0"/>
              <w:rPr>
                <w:sz w:val="18"/>
                <w:szCs w:val="18"/>
                <w:color w:val="auto"/>
              </w:rPr>
            </w:pPr>
          </w:p>
        </w:tc>
        <w:tc>
          <w:tcPr>
            <w:tcW w:w="12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(5,481</w:t>
            </w:r>
          </w:p>
        </w:tc>
        <w:tc>
          <w:tcPr>
            <w:tcW w:w="220" w:type="dxa"/>
            <w:vAlign w:val="bottom"/>
            <w:tcBorders>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F0FF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(4,442</w:t>
            </w:r>
          </w:p>
        </w:tc>
        <w:tc>
          <w:tcPr>
            <w:tcW w:w="140" w:type="dxa"/>
            <w:vAlign w:val="bottom"/>
            <w:tcBorders>
              <w:bottom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(685</w:t>
            </w:r>
          </w:p>
        </w:tc>
        <w:tc>
          <w:tcPr>
            <w:tcW w:w="100" w:type="dxa"/>
            <w:vAlign w:val="bottom"/>
            <w:tcBorders>
              <w:bottom w:val="single" w:sz="8" w:color="F0FFFF"/>
            </w:tcBorders>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F0FF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(1,446</w:t>
            </w:r>
          </w:p>
        </w:tc>
        <w:tc>
          <w:tcPr>
            <w:tcW w:w="220" w:type="dxa"/>
            <w:vAlign w:val="bottom"/>
            <w:tcBorders>
              <w:bottom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(2,131</w:t>
            </w:r>
          </w:p>
        </w:tc>
        <w:tc>
          <w:tcPr>
            <w:tcW w:w="100" w:type="dxa"/>
            <w:vAlign w:val="bottom"/>
            <w:tcBorders>
              <w:bottom w:val="single" w:sz="8" w:color="F0FF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60" w:type="dxa"/>
            <w:vAlign w:val="bottom"/>
          </w:tcPr>
          <w:p>
            <w:pPr>
              <w:ind w:left="480"/>
              <w:spacing w:after="0"/>
              <w:rPr>
                <w:sz w:val="20"/>
                <w:szCs w:val="20"/>
                <w:color w:val="auto"/>
              </w:rPr>
            </w:pPr>
            <w:r>
              <w:rPr>
                <w:rFonts w:ascii="Arial" w:cs="Arial" w:eastAsia="Arial" w:hAnsi="Arial"/>
                <w:sz w:val="18"/>
                <w:szCs w:val="18"/>
                <w:b w:val="1"/>
                <w:bCs w:val="1"/>
                <w:color w:val="auto"/>
                <w:w w:val="92"/>
              </w:rPr>
              <w:t>Increase (decrease) in net interest revenue</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
              <w:spacing w:after="0"/>
              <w:rPr>
                <w:sz w:val="20"/>
                <w:szCs w:val="20"/>
                <w:color w:val="auto"/>
              </w:rPr>
            </w:pPr>
            <w:r>
              <w:rPr>
                <w:rFonts w:ascii="Arial" w:cs="Arial" w:eastAsia="Arial" w:hAnsi="Arial"/>
                <w:sz w:val="18"/>
                <w:szCs w:val="18"/>
                <w:color w:val="auto"/>
              </w:rPr>
              <w:t>37,606</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(3,324)</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34,282</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10,097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(5,320)</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4,777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variance attributable jointly to volume and rate changes is allocated to the volume and rate variance in proportion to the relationship of the absolute dollar amount of the change in each.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provision for credit losses is based on management’s evaluation of probable incurred losses in the loan portfolio and unfunded loan commitments as measured by analysis of the allowance for credit losses at the end of each reporting period. The provision for credit losses was $3.70 million in 2015, compared with $8.50 million in 2014, and $65.5 million in 2013. The amount of provision recorded in each year was the amount required such that the total allowance for credit losses reflected the appropriate balance, in the estimation of management, and was sufficient to cover incurred losses in the loan portfolio. In 2015, the provision for loan losses decreased partly due to lower levels of charge offs along with increased recoveries. In 2014, the provision for loan losses was down substantially from 2013 reflecting the significant improvement in credit measures following the second quarter 2013 sale of classified assets. The ratio of net loan charge-offs to average outstanding loans for 2015 was .12% compared with .31% for 2014 and 2.22% for 2013.</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fourth quarter of 2013, United established an allowance for unfunded loan commitments which is included in other liabilities in the consolidated balance sheet. The allowance for unfunded loan commitments represents probable incurred losses on unfunded loan commitments that are expected to result in outstanding loan balances. The allowance for unfunded loan commitments was established through the provision for credit losses. At December 31, 2015, the allowance for unfunded commitments was $2.54 million compared with $1.93 million at December 31, 2014 and $2.17 million at December 31, 2013.</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Over the past three years, United has experienced a significant improvement in credit quality and corresponding credit measures. During the second quarter of 2013, United sold classified assets totaling approximately $172 million, including a bulk sale of $131 million. The classified asset sales and a general improving trend reduced United’s nonperforming assets to $31.0 million as of December 31, 2013. Credit quality continued to improve through 2014 with nonperforming assets decreasing further to $19.6 million at December 31, 2014. Nonperforming assets increased slightly at December 31, 2015, primarily due the assumption of foreclosed property from the Palmetto acquisition. Additional discussion on credit quality and the allowance for loan losses is included in the “Asset Quality and Risk Elements” and “Critical Accounting Polices” sections of this report, as well as Note 1 to the consolidated financial statements.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Fee revenue was $72.5 million in 2015, compared with $55.6 million in 2014 and $56.6 million in 2013. The following table presents the components of fee revenue.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4 - Fee Revenue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r>
      <w:tr>
        <w:trPr>
          <w:trHeight w:val="178"/>
        </w:trPr>
        <w:tc>
          <w:tcPr>
            <w:tcW w:w="3900" w:type="dxa"/>
            <w:vAlign w:val="bottom"/>
            <w:tcBorders>
              <w:bottom w:val="single" w:sz="8" w:color="F0FFFF"/>
            </w:tcBorders>
          </w:tcPr>
          <w:p>
            <w:pPr>
              <w:spacing w:after="0"/>
              <w:rPr>
                <w:sz w:val="15"/>
                <w:szCs w:val="15"/>
                <w:color w:val="auto"/>
              </w:rPr>
            </w:pPr>
          </w:p>
        </w:tc>
        <w:tc>
          <w:tcPr>
            <w:tcW w:w="320" w:type="dxa"/>
            <w:vAlign w:val="bottom"/>
            <w:tcBorders>
              <w:bottom w:val="single" w:sz="8" w:color="F0FF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F0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F0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F0FFFF"/>
            </w:tcBorders>
          </w:tcPr>
          <w:p>
            <w:pPr>
              <w:spacing w:after="0"/>
              <w:rPr>
                <w:sz w:val="15"/>
                <w:szCs w:val="15"/>
                <w:color w:val="auto"/>
              </w:rPr>
            </w:pPr>
          </w:p>
        </w:tc>
        <w:tc>
          <w:tcPr>
            <w:tcW w:w="180" w:type="dxa"/>
            <w:vAlign w:val="bottom"/>
            <w:tcBorders>
              <w:bottom w:val="single" w:sz="8" w:color="F0FFFF"/>
            </w:tcBorders>
          </w:tcPr>
          <w:p>
            <w:pPr>
              <w:spacing w:after="0"/>
              <w:rPr>
                <w:sz w:val="15"/>
                <w:szCs w:val="15"/>
                <w:color w:val="auto"/>
              </w:rPr>
            </w:pPr>
          </w:p>
        </w:tc>
        <w:tc>
          <w:tcPr>
            <w:tcW w:w="13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2015-2014</w:t>
            </w:r>
          </w:p>
        </w:tc>
        <w:tc>
          <w:tcPr>
            <w:tcW w:w="160" w:type="dxa"/>
            <w:vAlign w:val="bottom"/>
            <w:tcBorders>
              <w:bottom w:val="single" w:sz="8" w:color="F0FFFF"/>
            </w:tcBorders>
          </w:tcPr>
          <w:p>
            <w:pPr>
              <w:spacing w:after="0"/>
              <w:rPr>
                <w:sz w:val="15"/>
                <w:szCs w:val="15"/>
                <w:color w:val="auto"/>
              </w:rPr>
            </w:pPr>
          </w:p>
        </w:tc>
      </w:tr>
      <w:tr>
        <w:trPr>
          <w:trHeight w:val="21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Overdraft fees</w:t>
            </w: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7"/>
              </w:rPr>
              <w:t>12,503</w:t>
            </w: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11,871</w:t>
            </w:r>
          </w:p>
        </w:tc>
        <w:tc>
          <w:tcPr>
            <w:tcW w:w="18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12,425</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ATM and debit card interchange fees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17,667</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15,295</w:t>
            </w:r>
          </w:p>
        </w:tc>
        <w:tc>
          <w:tcPr>
            <w:tcW w:w="3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14,509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r>
      <w:tr>
        <w:trPr>
          <w:trHeight w:val="250"/>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Other service charges and fees</w:t>
            </w:r>
          </w:p>
        </w:tc>
        <w:tc>
          <w:tcPr>
            <w:tcW w:w="32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6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6,655</w:t>
            </w:r>
          </w:p>
        </w:tc>
        <w:tc>
          <w:tcPr>
            <w:tcW w:w="320" w:type="dxa"/>
            <w:vAlign w:val="bottom"/>
            <w:shd w:val="clear" w:color="auto" w:fill="F0FFFF"/>
          </w:tcPr>
          <w:p>
            <w:pPr>
              <w:spacing w:after="0"/>
              <w:rPr>
                <w:sz w:val="21"/>
                <w:szCs w:val="21"/>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5,907</w:t>
            </w:r>
          </w:p>
        </w:tc>
        <w:tc>
          <w:tcPr>
            <w:tcW w:w="1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5,063</w:t>
            </w:r>
          </w:p>
        </w:tc>
        <w:tc>
          <w:tcPr>
            <w:tcW w:w="20" w:type="dxa"/>
            <w:vAlign w:val="bottom"/>
            <w:shd w:val="clear" w:color="auto" w:fill="F0FFFF"/>
          </w:tcPr>
          <w:p>
            <w:pPr>
              <w:spacing w:after="0"/>
              <w:rPr>
                <w:sz w:val="21"/>
                <w:szCs w:val="21"/>
                <w:color w:val="auto"/>
              </w:rPr>
            </w:pPr>
          </w:p>
        </w:tc>
        <w:tc>
          <w:tcPr>
            <w:tcW w:w="15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F0FFFF"/>
          </w:tcPr>
          <w:p>
            <w:pPr>
              <w:spacing w:after="0"/>
              <w:rPr>
                <w:sz w:val="21"/>
                <w:szCs w:val="21"/>
                <w:color w:val="auto"/>
              </w:rPr>
            </w:pPr>
          </w:p>
        </w:tc>
      </w:tr>
      <w:tr>
        <w:trPr>
          <w:trHeight w:val="203"/>
        </w:trPr>
        <w:tc>
          <w:tcPr>
            <w:tcW w:w="3900" w:type="dxa"/>
            <w:vAlign w:val="bottom"/>
            <w:tcBorders>
              <w:top w:val="single" w:sz="8" w:color="F0FFFF"/>
            </w:tcBorders>
          </w:tcPr>
          <w:p>
            <w:pPr>
              <w:ind w:left="160"/>
              <w:spacing w:after="0" w:line="203" w:lineRule="exact"/>
              <w:rPr>
                <w:sz w:val="20"/>
                <w:szCs w:val="20"/>
                <w:color w:val="auto"/>
              </w:rPr>
            </w:pPr>
            <w:r>
              <w:rPr>
                <w:rFonts w:ascii="Arial" w:cs="Arial" w:eastAsia="Arial" w:hAnsi="Arial"/>
                <w:sz w:val="18"/>
                <w:szCs w:val="18"/>
                <w:color w:val="auto"/>
              </w:rPr>
              <w:t>Service charges and fees</w:t>
            </w:r>
          </w:p>
        </w:tc>
        <w:tc>
          <w:tcPr>
            <w:tcW w:w="320" w:type="dxa"/>
            <w:vAlign w:val="bottom"/>
            <w:tcBorders>
              <w:top w:val="single" w:sz="8" w:color="F0FFFF"/>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36,825</w:t>
            </w:r>
          </w:p>
        </w:tc>
        <w:tc>
          <w:tcPr>
            <w:tcW w:w="18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33,073</w:t>
            </w:r>
          </w:p>
        </w:tc>
        <w:tc>
          <w:tcPr>
            <w:tcW w:w="180" w:type="dxa"/>
            <w:vAlign w:val="bottom"/>
            <w:tcBorders>
              <w:top w:val="single" w:sz="8" w:color="F0FF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31,997</w:t>
            </w:r>
          </w:p>
        </w:tc>
        <w:tc>
          <w:tcPr>
            <w:tcW w:w="20" w:type="dxa"/>
            <w:vAlign w:val="bottom"/>
            <w:tcBorders>
              <w:top w:val="single" w:sz="8" w:color="F0FFFF"/>
            </w:tcBorders>
          </w:tcPr>
          <w:p>
            <w:pPr>
              <w:spacing w:after="0"/>
              <w:rPr>
                <w:sz w:val="17"/>
                <w:szCs w:val="17"/>
                <w:color w:val="auto"/>
              </w:rPr>
            </w:pPr>
          </w:p>
        </w:tc>
        <w:tc>
          <w:tcPr>
            <w:tcW w:w="1500" w:type="dxa"/>
            <w:vAlign w:val="bottom"/>
            <w:tcBorders>
              <w:top w:val="single" w:sz="8" w:color="F0FFFF"/>
            </w:tcBorders>
            <w:gridSpan w:val="2"/>
          </w:tcPr>
          <w:p>
            <w:pPr>
              <w:jc w:val="right"/>
              <w:spacing w:after="0" w:line="203" w:lineRule="exact"/>
              <w:rPr>
                <w:sz w:val="20"/>
                <w:szCs w:val="20"/>
                <w:color w:val="auto"/>
              </w:rPr>
            </w:pPr>
            <w:r>
              <w:rPr>
                <w:rFonts w:ascii="Arial" w:cs="Arial" w:eastAsia="Arial" w:hAnsi="Arial"/>
                <w:sz w:val="18"/>
                <w:szCs w:val="18"/>
                <w:color w:val="auto"/>
              </w:rPr>
              <w:t>11</w:t>
            </w:r>
          </w:p>
        </w:tc>
        <w:tc>
          <w:tcPr>
            <w:tcW w:w="160" w:type="dxa"/>
            <w:vAlign w:val="bottom"/>
            <w:tcBorders>
              <w:top w:val="single" w:sz="8" w:color="F0FFFF"/>
            </w:tcBorders>
          </w:tcPr>
          <w:p>
            <w:pPr>
              <w:spacing w:after="0"/>
              <w:rPr>
                <w:sz w:val="17"/>
                <w:szCs w:val="17"/>
                <w:color w:val="auto"/>
              </w:rPr>
            </w:pPr>
          </w:p>
        </w:tc>
      </w:tr>
      <w:tr>
        <w:trPr>
          <w:trHeight w:val="21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Mortgage loan and related fees</w:t>
            </w: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87"/>
              </w:rPr>
              <w:t>13,592</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7,520</w:t>
            </w:r>
          </w:p>
        </w:tc>
        <w:tc>
          <w:tcPr>
            <w:tcW w:w="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9,925</w:t>
            </w:r>
          </w:p>
        </w:tc>
        <w:tc>
          <w:tcPr>
            <w:tcW w:w="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F0FF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Brokerage fees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5,041</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4,465</w:t>
            </w:r>
          </w:p>
        </w:tc>
        <w:tc>
          <w:tcPr>
            <w:tcW w:w="20" w:type="dxa"/>
            <w:vAlign w:val="bottom"/>
          </w:tcPr>
          <w:p>
            <w:pPr>
              <w:spacing w:after="0"/>
              <w:rPr>
                <w:sz w:val="18"/>
                <w:szCs w:val="18"/>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w w:val="97"/>
              </w:rPr>
              <w:t>Gains from sales of government guaranteed loans</w:t>
            </w: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6,276</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2,615</w:t>
            </w:r>
          </w:p>
        </w:tc>
        <w:tc>
          <w:tcPr>
            <w:tcW w:w="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66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140</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Customer derivatives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1,713</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729</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1,599</w:t>
            </w:r>
          </w:p>
        </w:tc>
        <w:tc>
          <w:tcPr>
            <w:tcW w:w="20" w:type="dxa"/>
            <w:vAlign w:val="bottom"/>
          </w:tcPr>
          <w:p>
            <w:pPr>
              <w:spacing w:after="0"/>
              <w:rPr>
                <w:sz w:val="18"/>
                <w:szCs w:val="18"/>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color w:val="auto"/>
              </w:rPr>
              <w:t>135</w:t>
            </w:r>
          </w:p>
        </w:tc>
      </w:tr>
      <w:tr>
        <w:trPr>
          <w:trHeight w:val="216"/>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Securities gains, net</w:t>
            </w: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6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2,255</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4,871</w:t>
            </w:r>
          </w:p>
        </w:tc>
        <w:tc>
          <w:tcPr>
            <w:tcW w:w="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Losses on prepayment of borrowings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(1,294)</w:t>
            </w: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(4,446)</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3900" w:type="dxa"/>
            <w:vAlign w:val="bottom"/>
            <w:shd w:val="clear" w:color="auto" w:fill="F0FFFF"/>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6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8,121</w:t>
            </w:r>
          </w:p>
        </w:tc>
        <w:tc>
          <w:tcPr>
            <w:tcW w:w="320" w:type="dxa"/>
            <w:vAlign w:val="bottom"/>
            <w:shd w:val="clear" w:color="auto" w:fill="F0FFFF"/>
          </w:tcPr>
          <w:p>
            <w:pPr>
              <w:spacing w:after="0"/>
              <w:rPr>
                <w:sz w:val="21"/>
                <w:szCs w:val="21"/>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6,385</w:t>
            </w:r>
          </w:p>
        </w:tc>
        <w:tc>
          <w:tcPr>
            <w:tcW w:w="18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8,426</w:t>
            </w:r>
          </w:p>
        </w:tc>
        <w:tc>
          <w:tcPr>
            <w:tcW w:w="20" w:type="dxa"/>
            <w:vAlign w:val="bottom"/>
            <w:shd w:val="clear" w:color="auto" w:fill="F0FFFF"/>
          </w:tcPr>
          <w:p>
            <w:pPr>
              <w:spacing w:after="0"/>
              <w:rPr>
                <w:sz w:val="21"/>
                <w:szCs w:val="21"/>
                <w:color w:val="auto"/>
              </w:rPr>
            </w:pPr>
          </w:p>
        </w:tc>
        <w:tc>
          <w:tcPr>
            <w:tcW w:w="15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F0FFFF"/>
          </w:tcPr>
          <w:p>
            <w:pPr>
              <w:spacing w:after="0"/>
              <w:rPr>
                <w:sz w:val="21"/>
                <w:szCs w:val="21"/>
                <w:color w:val="auto"/>
              </w:rPr>
            </w:pPr>
          </w:p>
        </w:tc>
      </w:tr>
      <w:tr>
        <w:trPr>
          <w:trHeight w:val="217"/>
        </w:trPr>
        <w:tc>
          <w:tcPr>
            <w:tcW w:w="390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fee revenue</w:t>
            </w:r>
          </w:p>
        </w:tc>
        <w:tc>
          <w:tcPr>
            <w:tcW w:w="320" w:type="dxa"/>
            <w:vAlign w:val="bottom"/>
            <w:tcBorders>
              <w:top w:val="single" w:sz="8" w:color="F0FF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72,529</w:t>
            </w:r>
          </w:p>
        </w:tc>
        <w:tc>
          <w:tcPr>
            <w:tcW w:w="180" w:type="dxa"/>
            <w:vAlign w:val="bottom"/>
            <w:tcBorders>
              <w:top w:val="single" w:sz="8" w:color="F0FF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55,554</w:t>
            </w:r>
          </w:p>
        </w:tc>
        <w:tc>
          <w:tcPr>
            <w:tcW w:w="18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56,598</w:t>
            </w:r>
          </w:p>
        </w:tc>
        <w:tc>
          <w:tcPr>
            <w:tcW w:w="20" w:type="dxa"/>
            <w:vAlign w:val="bottom"/>
            <w:tcBorders>
              <w:top w:val="single" w:sz="8" w:color="F0FFFF"/>
              <w:bottom w:val="single" w:sz="8" w:color="auto"/>
            </w:tcBorders>
          </w:tcPr>
          <w:p>
            <w:pPr>
              <w:spacing w:after="0"/>
              <w:rPr>
                <w:sz w:val="18"/>
                <w:szCs w:val="18"/>
                <w:color w:val="auto"/>
              </w:rPr>
            </w:pPr>
          </w:p>
        </w:tc>
        <w:tc>
          <w:tcPr>
            <w:tcW w:w="150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top w:val="single" w:sz="8" w:color="F0FFFF"/>
            </w:tcBorders>
          </w:tcPr>
          <w:p>
            <w:pPr>
              <w:spacing w:after="0"/>
              <w:rPr>
                <w:sz w:val="18"/>
                <w:szCs w:val="18"/>
                <w:color w:val="auto"/>
              </w:rPr>
            </w:pPr>
          </w:p>
        </w:tc>
      </w:tr>
      <w:tr>
        <w:trPr>
          <w:trHeight w:val="21"/>
        </w:trPr>
        <w:tc>
          <w:tcPr>
            <w:tcW w:w="3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Service charges and fees of $36.8 million were up $3.75 million, or 11%, from 2014. The increase was primarily due to higher ATM and debit card interchange fees which have grown due to higher transaction volume, including the effect of the acquisitions. Overdraft fees and other service charges also benefited from the acquisitions in 2015. The decrease in overdraft fees in 2014 from 2013 reflected lower customer utilization of United’s courtesy overdraft services. The increase in ATM and debit card interchange fees and other service charges from 2013 to 2014 was due to higher transaction volume as deposits have increased and new service fees introduced on January 1, 2014, respectively.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Mortgage loan and related fees of $13.6 million were up $6.07 million, or 81%, from 2014. In 2015, United closed 2,538 mortgage loans totaling $494 million compared with 1,639 loans totaling $276 million in 2014. The increase reflects United’s focus on growing the mortgage business by recruiting new mortgage lenders in key metropolitan markets and an increase in refinancing activity. In 2015, new home purchase mortgages of $272 million accounted for 55% of production volume compared with $174 million, or 63%, of production volume in 2014 and $144 million, or 48%, of production volume in 2013.</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Brokerage fees of $5.04 million increased $234,000, or 5%, from 2014. Brokerage fees have increased over the last two years as a result of United’s focus in growing its advisory services business.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second quarter of 2014, United completed its acquisition of Business Carolina, Inc., a specialty lending business headquartered in Columbia, South Carolina that specializes in SBA and USDA lending. Since that time, United brought in new leadership, including lenders and support staff, in its specialized lending area to increase its share of government guaranteed lending programs. United’s SBA and USDA lending strategy includes the selective sale of the guaranteed portion of certain loans at attractive premiums. In 2015 and 2014, United recognized gains of $6.28 million and $2.62 million, respectively, from the sale of the guaranteed portion of SBA and USDA loans totaling $70.7 million for 2015 compared to $28.3 million for 2014.</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Fees from customer swap transactions earned under United’s back-to-back customer swap program of $1.71 million were up $984,000 in 2015 from 2014 due to stronger demand for this product following slower growth in 2014 compared to 2013. United provides interest rate swaps to commercial customers who desire fixed rate loans. United makes a floating rate loan to those customers and enters into an interest rate swap contract with the customer to swap the floating rate to a fixed rate. United then enters into an offsetting swap with a swap dealer with terms that mirror the customer swap. The fixed and variable legs of the customer and dealer swaps offset leaving United with the equivalent of a variable rate loan.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recognized net securities gains of $2.26 million, $4.87 million and $186,000 during 2015, 2014 and 2013, respectively. In 2015, United incurred $1.29 million in debt prepayment charges due to the redemption of $49.3 million in trust preferred securities with an average rate of approximately 9% and prepayment of $6 million in structured repurchase agreements with an average rate of 4%. United also recognized losses from the prepayment of structured repurchase agreements totaling $4.45 million in 2014. The losses were part of the same balance sheet management activities and had the effect of offsetting the securities gains in each respective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ind w:right="20"/>
        <w:spacing w:after="0" w:line="277" w:lineRule="auto"/>
        <w:rPr>
          <w:sz w:val="20"/>
          <w:szCs w:val="20"/>
          <w:color w:val="auto"/>
        </w:rPr>
      </w:pPr>
      <w:r>
        <w:rPr>
          <w:rFonts w:ascii="Arial" w:cs="Arial" w:eastAsia="Arial" w:hAnsi="Arial"/>
          <w:sz w:val="18"/>
          <w:szCs w:val="18"/>
          <w:color w:val="auto"/>
        </w:rPr>
        <w:t>Other fee revenue of $8.12 million for 2015 was up $1.74 million from 2014, primarily due to volume driven increases in income from bank owned life insurance and merchant services combined with gains on sales of former branch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5 - Operating Expenses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Change</w:t>
            </w:r>
          </w:p>
        </w:tc>
      </w:tr>
      <w:tr>
        <w:trPr>
          <w:trHeight w:val="178"/>
        </w:trPr>
        <w:tc>
          <w:tcPr>
            <w:tcW w:w="4220" w:type="dxa"/>
            <w:vAlign w:val="bottom"/>
            <w:tcBorders>
              <w:bottom w:val="single" w:sz="8" w:color="F0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F0FF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F0FF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F0FFFF"/>
            </w:tcBorders>
          </w:tcPr>
          <w:p>
            <w:pPr>
              <w:spacing w:after="0"/>
              <w:rPr>
                <w:sz w:val="15"/>
                <w:szCs w:val="15"/>
                <w:color w:val="auto"/>
              </w:rPr>
            </w:pPr>
          </w:p>
        </w:tc>
        <w:tc>
          <w:tcPr>
            <w:tcW w:w="13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2015-2014</w:t>
            </w:r>
          </w:p>
        </w:tc>
        <w:tc>
          <w:tcPr>
            <w:tcW w:w="160" w:type="dxa"/>
            <w:vAlign w:val="bottom"/>
            <w:tcBorders>
              <w:bottom w:val="single" w:sz="8" w:color="F0FFFF"/>
            </w:tcBorders>
          </w:tcPr>
          <w:p>
            <w:pPr>
              <w:spacing w:after="0"/>
              <w:rPr>
                <w:sz w:val="15"/>
                <w:szCs w:val="15"/>
                <w:color w:val="auto"/>
              </w:rPr>
            </w:pPr>
          </w:p>
        </w:tc>
      </w:tr>
      <w:tr>
        <w:trPr>
          <w:trHeight w:val="216"/>
        </w:trPr>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Salaries and employee benefits</w:t>
            </w:r>
          </w:p>
        </w:tc>
        <w:tc>
          <w:tcPr>
            <w:tcW w:w="3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116,688</w:t>
            </w: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100,941</w:t>
            </w:r>
          </w:p>
        </w:tc>
        <w:tc>
          <w:tcPr>
            <w:tcW w:w="180" w:type="dxa"/>
            <w:vAlign w:val="bottom"/>
            <w:shd w:val="clear" w:color="auto" w:fill="F0FFFF"/>
          </w:tcPr>
          <w:p>
            <w:pPr>
              <w:spacing w:after="0"/>
              <w:rPr>
                <w:sz w:val="18"/>
                <w:szCs w:val="18"/>
                <w:color w:val="auto"/>
              </w:rPr>
            </w:pPr>
          </w:p>
        </w:tc>
        <w:tc>
          <w:tcPr>
            <w:tcW w:w="30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96,233</w:t>
            </w:r>
          </w:p>
        </w:tc>
        <w:tc>
          <w:tcPr>
            <w:tcW w:w="20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15,273</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12,523</w:t>
            </w:r>
          </w:p>
        </w:tc>
        <w:tc>
          <w:tcPr>
            <w:tcW w:w="3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13,233</w:t>
            </w: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r>
      <w:tr>
        <w:trPr>
          <w:trHeight w:val="216"/>
        </w:trPr>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Occupancy</w:t>
            </w:r>
          </w:p>
        </w:tc>
        <w:tc>
          <w:tcPr>
            <w:tcW w:w="3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15,372</w:t>
            </w:r>
          </w:p>
        </w:tc>
        <w:tc>
          <w:tcPr>
            <w:tcW w:w="3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13,513</w:t>
            </w:r>
          </w:p>
        </w:tc>
        <w:tc>
          <w:tcPr>
            <w:tcW w:w="30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13,930</w:t>
            </w:r>
          </w:p>
        </w:tc>
        <w:tc>
          <w:tcPr>
            <w:tcW w:w="13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F0FF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3,667</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3,718</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16"/>
        </w:trPr>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Postage, printing and supplies</w:t>
            </w:r>
          </w:p>
        </w:tc>
        <w:tc>
          <w:tcPr>
            <w:tcW w:w="3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4,273</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3,542</w:t>
            </w:r>
          </w:p>
        </w:tc>
        <w:tc>
          <w:tcPr>
            <w:tcW w:w="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3,283</w:t>
            </w:r>
          </w:p>
        </w:tc>
        <w:tc>
          <w:tcPr>
            <w:tcW w:w="200" w:type="dxa"/>
            <w:vAlign w:val="bottom"/>
            <w:shd w:val="clear" w:color="auto" w:fill="F0FFFF"/>
          </w:tcPr>
          <w:p>
            <w:pPr>
              <w:spacing w:after="0"/>
              <w:rPr>
                <w:sz w:val="18"/>
                <w:szCs w:val="18"/>
                <w:color w:val="auto"/>
              </w:rPr>
            </w:pPr>
          </w:p>
        </w:tc>
        <w:tc>
          <w:tcPr>
            <w:tcW w:w="13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F0FF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10,175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9,617</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r>
      <w:tr>
        <w:trPr>
          <w:trHeight w:val="216"/>
        </w:trPr>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Foreclosed property - foreclosure and carrying costs</w:t>
            </w:r>
          </w:p>
        </w:tc>
        <w:tc>
          <w:tcPr>
            <w:tcW w:w="3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670</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1,338</w:t>
            </w:r>
          </w:p>
        </w:tc>
        <w:tc>
          <w:tcPr>
            <w:tcW w:w="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3,163</w:t>
            </w:r>
          </w:p>
        </w:tc>
        <w:tc>
          <w:tcPr>
            <w:tcW w:w="20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w:t>
            </w:r>
          </w:p>
        </w:tc>
      </w:tr>
      <w:tr>
        <w:trPr>
          <w:trHeight w:val="202"/>
        </w:trPr>
        <w:tc>
          <w:tcPr>
            <w:tcW w:w="4220" w:type="dxa"/>
            <w:vAlign w:val="bottom"/>
          </w:tcPr>
          <w:p>
            <w:pPr>
              <w:spacing w:after="0" w:line="201" w:lineRule="exact"/>
              <w:rPr>
                <w:sz w:val="20"/>
                <w:szCs w:val="20"/>
                <w:color w:val="auto"/>
              </w:rPr>
            </w:pPr>
            <w:r>
              <w:rPr>
                <w:rFonts w:ascii="Arial" w:cs="Arial" w:eastAsia="Arial" w:hAnsi="Arial"/>
                <w:sz w:val="18"/>
                <w:szCs w:val="18"/>
                <w:color w:val="auto"/>
              </w:rPr>
              <w:t>Foreclosed property - writedowns and (gains) losses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4220" w:type="dxa"/>
            <w:vAlign w:val="bottom"/>
          </w:tcPr>
          <w:p>
            <w:pPr>
              <w:ind w:left="160"/>
              <w:spacing w:after="0"/>
              <w:rPr>
                <w:sz w:val="20"/>
                <w:szCs w:val="20"/>
                <w:color w:val="auto"/>
              </w:rPr>
            </w:pPr>
            <w:r>
              <w:rPr>
                <w:rFonts w:ascii="Arial" w:cs="Arial" w:eastAsia="Arial" w:hAnsi="Arial"/>
                <w:sz w:val="18"/>
                <w:szCs w:val="18"/>
                <w:color w:val="auto"/>
              </w:rPr>
              <w:t>from sales</w:t>
            </w:r>
          </w:p>
        </w:tc>
        <w:tc>
          <w:tcPr>
            <w:tcW w:w="3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(638)</w:t>
            </w:r>
          </w:p>
        </w:tc>
        <w:tc>
          <w:tcPr>
            <w:tcW w:w="3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4,706</w:t>
            </w:r>
          </w:p>
        </w:tc>
        <w:tc>
          <w:tcPr>
            <w:tcW w:w="20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FDIC assessments and other regulatory charges</w:t>
            </w:r>
          </w:p>
        </w:tc>
        <w:tc>
          <w:tcPr>
            <w:tcW w:w="3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5,106</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4,792</w:t>
            </w:r>
          </w:p>
        </w:tc>
        <w:tc>
          <w:tcPr>
            <w:tcW w:w="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9,219</w:t>
            </w:r>
          </w:p>
        </w:tc>
        <w:tc>
          <w:tcPr>
            <w:tcW w:w="20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2,444</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2,031</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r>
      <w:tr>
        <w:trPr>
          <w:trHeight w:val="216"/>
        </w:trPr>
        <w:tc>
          <w:tcPr>
            <w:tcW w:w="4220" w:type="dxa"/>
            <w:vAlign w:val="bottom"/>
            <w:shd w:val="clear" w:color="auto" w:fill="F0FFFF"/>
          </w:tcPr>
          <w:p>
            <w:pPr>
              <w:spacing w:after="0"/>
              <w:rPr>
                <w:sz w:val="20"/>
                <w:szCs w:val="20"/>
                <w:color w:val="auto"/>
              </w:rPr>
            </w:pPr>
            <w:r>
              <w:rPr>
                <w:rFonts w:ascii="Arial" w:cs="Arial" w:eastAsia="Arial" w:hAnsi="Arial"/>
                <w:sz w:val="18"/>
                <w:szCs w:val="18"/>
                <w:color w:val="auto"/>
              </w:rPr>
              <w:t>Merger-related and other charges</w:t>
            </w:r>
          </w:p>
        </w:tc>
        <w:tc>
          <w:tcPr>
            <w:tcW w:w="3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17,995</w:t>
            </w: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20,213</w:t>
            </w:r>
          </w:p>
        </w:tc>
        <w:tc>
          <w:tcPr>
            <w:tcW w:w="3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14,204</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15,171</w:t>
            </w:r>
          </w:p>
        </w:tc>
        <w:tc>
          <w:tcPr>
            <w:tcW w:w="1320" w:type="dxa"/>
            <w:vAlign w:val="bottom"/>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0"/>
                <w:szCs w:val="20"/>
                <w:color w:val="auto"/>
              </w:rPr>
            </w:pPr>
          </w:p>
        </w:tc>
      </w:tr>
      <w:tr>
        <w:trPr>
          <w:trHeight w:val="255"/>
        </w:trPr>
        <w:tc>
          <w:tcPr>
            <w:tcW w:w="422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211,238</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162,865</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300" w:type="dxa"/>
            <w:vAlign w:val="bottom"/>
            <w:tcBorders>
              <w:top w:val="single" w:sz="8" w:color="auto"/>
              <w:bottom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174,304</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32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422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3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expenses were $211 million in 2015 as compared to $163 million in 2014 and $174 million in 2013. The increase mostly reflects the inclusion of the operating expenses of the two acquired banks from their respective acquisition dates, higher salaries and employee benefits expense resulting from investing in specialized lending areas and other strategic hiring, impairment on bank premises and merger-related charges.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employee benefits expense for 2015 was $117 million, an increase of $15.7 million, or 16%, from 2014. The increase was due to a number of factors including investments in additional staff and new teams to expand specialized lending and new talent in other key areas, additional staff resulting from the Palmetto and MoneyTree acquisitions and higher incentives due to increased loan production and obtaining higher earnings performance targets. Full time equivalent headcount totaled 1,883 at December 31, 2015 compared to 1,506 at December 31, 2014, an increase of 377 full time equivalent positions, with 316 coming from the Palmetto and MoneyTree acquisitions.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Communications and equipment expense of $15.3 million for 2015 was up $2.75 million, or 22%, from 2014 due to higher software maintenance costs and acquisition-related increases. The decrease in 2014 from 2013 reflects lower software maintenance costs and lower equipment rental charges reflecting United’s shift from leasing copier and printing equipment to purchasing those items.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Occupancy expense of $15.4 million for 2015 was up $1.86 million, or 14%, compared to 2014, primarily due to an increase in locations due to acquisition and expansion into additional metropolitan areas. The decrease from 2013 to 2014 was primarily related to a $400,000 charge in 2013 to write off leasehold improvements on a branch lease that was consolidated into another branch.</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Postage, printing and supplies expense for 2015 was $4.27 million, an increase of 21% from 2014, partly due to acquisitions. The increase from 2013 to 2014 was primarily due to higher printing and forms charges related to increased business activity.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Professional fees were $10.2 million for 2015, up $2.27 million, or 29%, from 2014. The increase was primarily due to higher legal and consulting fees relating to various corporate projects, including projects to enhance our productivity as well as model validations and improvements to our regulatory compliance function. Professional fees decreased $1.71 million in 2014 from 2013, mostly due to higer legal costs in 2013 associated with the classified asset sales in the second quarter of 2013.</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FDIC assessments and other regulatory charges expense for 2015 was $5.11 million, an increase of $314,000, or 7%, from 2014 due to a larger balance sheet.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increased due to acquisition related core deposit intangibles.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Merger-related and other charges of $18.0 million included $12.0 million of merger-related charges, primarily severance, conversion costs and legal and professional fees related to the Palmetto and MoneyTree acquisitions, and $5.97 million of impairment on real estate purchased in prior years for future branch expansion.</w:t>
      </w:r>
    </w:p>
    <w:p>
      <w:pPr>
        <w:spacing w:after="0" w:line="181"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Other expenses totaled $20.2 million for 2015, an increase of $6.01 million from 2014, mostly due to higher lending support costs due to increased lending activity, higher ATM and internet banking costs due to higher volume and higher servicing costs on United’s indirect auto lending portfolio due to growth in that portfolio. The decrease from 2013 to 2014 was primarily the result of the release of $1.20 million of the litigation reserve established in 2012.</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883"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was $43.4 million in 2015, compared to income tax expense of $39.5 million in 2014 and income tax benefit of $238 million in 2013. Income tax expense for 2015 and 2014 represents an effective tax rate of 37.8% and 36.8%, respectively. The 2013 tax benefit was primarily due to the second quarter reversal of $272 million of the deferred tax asset valuation allowance. The effective tax rate (as a percentage of pre-tax earnings) was not meaningful for 2013 due to the reversal of the valuation allowance on United’s deferred tax asset. The tax rate for 2016 is expected to be approximately 37.9% reflecting the mix of taxable and tax-exempt income.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and their respective tax basis including operating losses and tax credit carryforwards. Net deferred tax assets (deferred tax assets net of deferred tax liabilities and valuation allowance) are reported in the consolidated balance sheet as a component of total assets.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The determination of whether a valuation allowance for deferred tax assets is appropriate is subject to considerable judgment and requires an evaluation of all positive and negative evidence with more weight given to evidence that can be objectively verified. Each quarter, management considers both positive and negative evidence and analyzes changes in near-term market conditions as well as other factors which may impact future operating results.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all evidence considered, as of December 31, 2015 and 2014, management concluded that it was more likely than not that the net deferred tax asset would be realized. With continuous improvements in credit quality, quarterly earnings for the past several years have closely followed management’s forecast for these periods, excluding the impact of the discretionary sales of classified assets in the second quarter of 2013. The improvement in management’s ability to produce reliable forecasts, continuous and significant improvements in credit quality, and a sustained period of profitability were given appropriate weighting in our analysis, and such evidence was considered sufficient to overcome the weight of the negative evidence related to the significant operating losses in prior years.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expects to generate higher levels of future taxable income and believes this will allow for full utilization of United’s net operating loss carryforwards within three to seven years, which is well within the statutory carryforward periods. In determining whether management’s projections of future taxable income are reliable, management considered objective evidence supporting the forecast assumptions as well as recent experience demonstrating management’s ability to reasonably project future results of operations.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Fourth Quarter 2015 Discussion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Taxable equivalent net interest revenue for the fourth quarter of 2015 increased $15.7 million, or 27%, to $74.0 million from the same period a year ago, primarily due to acquisition-related growth in the loan portfolio, a higher yield on the securities portfolio and an eleven basis point decrease in the average rate on interest-bearing liabilities. The yield on the securities portfolio increased partly due to the restructuring of a corporate bond in fourth quarter 2015, while the rate on interest-bearing liabilities decreased partly due to Palmetto’s low cost deposit base and United’s prepayment of higher-rate debt during 2015. The net interest margin increased three basis points from the fourth quarter of 2014 to 3.34% for the fourth quarter of 2015.</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fourth quarter of 2015 provision for credit losses was $300,000, compared to $1.80 million for the fourth quarter of 2014. The decrease was primarily due to overall improvement in portfolio credit quality, including strong recoveries of previously charged off loans. Fourth quarter 2015 net charge offs were $1.30 million compared with $2.51 million in fourth quarter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fee revenue for the fourth quarters of 2015 and 2014.</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6 - Quarterly Fee Revenue</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34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57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740" w:type="dxa"/>
            <w:vAlign w:val="bottom"/>
            <w:tcBorders>
              <w:bottom w:val="single" w:sz="8" w:color="F0FF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F0FF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F0FFFF"/>
            </w:tcBorders>
          </w:tcPr>
          <w:p>
            <w:pPr>
              <w:spacing w:after="0"/>
              <w:rPr>
                <w:sz w:val="14"/>
                <w:szCs w:val="14"/>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F0FFFF"/>
            </w:tcBorders>
          </w:tcPr>
          <w:p>
            <w:pPr>
              <w:spacing w:after="0"/>
              <w:rPr>
                <w:sz w:val="14"/>
                <w:szCs w:val="14"/>
                <w:color w:val="auto"/>
              </w:rPr>
            </w:pPr>
          </w:p>
        </w:tc>
      </w:tr>
      <w:tr>
        <w:trPr>
          <w:trHeight w:val="216"/>
        </w:trPr>
        <w:tc>
          <w:tcPr>
            <w:tcW w:w="5740" w:type="dxa"/>
            <w:vAlign w:val="bottom"/>
            <w:shd w:val="clear" w:color="auto" w:fill="F0FFFF"/>
          </w:tcPr>
          <w:p>
            <w:pPr>
              <w:spacing w:after="0"/>
              <w:rPr>
                <w:sz w:val="20"/>
                <w:szCs w:val="20"/>
                <w:color w:val="auto"/>
              </w:rPr>
            </w:pPr>
            <w:r>
              <w:rPr>
                <w:rFonts w:ascii="Arial" w:cs="Arial" w:eastAsia="Arial" w:hAnsi="Arial"/>
                <w:sz w:val="18"/>
                <w:szCs w:val="18"/>
                <w:color w:val="auto"/>
              </w:rPr>
              <w:t>Overdraft fees</w:t>
            </w:r>
          </w:p>
        </w:tc>
        <w:tc>
          <w:tcPr>
            <w:tcW w:w="820" w:type="dxa"/>
            <w:vAlign w:val="bottom"/>
            <w:shd w:val="clear" w:color="auto" w:fill="F0FFFF"/>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3,872</w:t>
            </w: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2,936</w:t>
            </w:r>
          </w:p>
        </w:tc>
        <w:tc>
          <w:tcPr>
            <w:tcW w:w="20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5,445</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3,977</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r>
      <w:tr>
        <w:trPr>
          <w:trHeight w:val="250"/>
        </w:trPr>
        <w:tc>
          <w:tcPr>
            <w:tcW w:w="57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 service charges and fees</w:t>
            </w:r>
          </w:p>
        </w:tc>
        <w:tc>
          <w:tcPr>
            <w:tcW w:w="820" w:type="dxa"/>
            <w:vAlign w:val="bottom"/>
            <w:tcBorders>
              <w:bottom w:val="single" w:sz="8" w:color="auto"/>
            </w:tcBorders>
            <w:shd w:val="clear" w:color="auto" w:fill="F0FFFF"/>
          </w:tcPr>
          <w:p>
            <w:pPr>
              <w:spacing w:after="0"/>
              <w:rPr>
                <w:sz w:val="21"/>
                <w:szCs w:val="21"/>
                <w:color w:val="auto"/>
              </w:rPr>
            </w:pPr>
          </w:p>
        </w:tc>
        <w:tc>
          <w:tcPr>
            <w:tcW w:w="5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2,183</w:t>
            </w:r>
          </w:p>
        </w:tc>
        <w:tc>
          <w:tcPr>
            <w:tcW w:w="18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auto"/>
            </w:tcBorders>
            <w:shd w:val="clear" w:color="auto" w:fill="F0FFFF"/>
          </w:tcPr>
          <w:p>
            <w:pPr>
              <w:spacing w:after="0"/>
              <w:rPr>
                <w:sz w:val="21"/>
                <w:szCs w:val="21"/>
                <w:color w:val="auto"/>
              </w:rPr>
            </w:pPr>
          </w:p>
        </w:tc>
        <w:tc>
          <w:tcPr>
            <w:tcW w:w="5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1,533</w:t>
            </w:r>
          </w:p>
        </w:tc>
        <w:tc>
          <w:tcPr>
            <w:tcW w:w="20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F0FFFF"/>
            </w:tcBorders>
            <w:shd w:val="clear" w:color="auto" w:fill="F0FFFF"/>
          </w:tcPr>
          <w:p>
            <w:pPr>
              <w:spacing w:after="0"/>
              <w:rPr>
                <w:sz w:val="21"/>
                <w:szCs w:val="21"/>
                <w:color w:val="auto"/>
              </w:rPr>
            </w:pPr>
          </w:p>
        </w:tc>
      </w:tr>
      <w:tr>
        <w:trPr>
          <w:trHeight w:val="203"/>
        </w:trPr>
        <w:tc>
          <w:tcPr>
            <w:tcW w:w="5740" w:type="dxa"/>
            <w:vAlign w:val="bottom"/>
          </w:tcPr>
          <w:p>
            <w:pPr>
              <w:ind w:left="160"/>
              <w:spacing w:after="0" w:line="203" w:lineRule="exact"/>
              <w:rPr>
                <w:sz w:val="20"/>
                <w:szCs w:val="20"/>
                <w:color w:val="auto"/>
              </w:rPr>
            </w:pPr>
            <w:r>
              <w:rPr>
                <w:rFonts w:ascii="Arial" w:cs="Arial" w:eastAsia="Arial" w:hAnsi="Arial"/>
                <w:sz w:val="18"/>
                <w:szCs w:val="18"/>
                <w:color w:val="auto"/>
              </w:rPr>
              <w:t>Service charges and fees</w:t>
            </w:r>
          </w:p>
        </w:tc>
        <w:tc>
          <w:tcPr>
            <w:tcW w:w="82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90"/>
              </w:rPr>
              <w:t>11,500</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8,446</w:t>
            </w:r>
          </w:p>
        </w:tc>
        <w:tc>
          <w:tcPr>
            <w:tcW w:w="2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36</w:t>
            </w:r>
          </w:p>
        </w:tc>
        <w:tc>
          <w:tcPr>
            <w:tcW w:w="160" w:type="dxa"/>
            <w:vAlign w:val="bottom"/>
          </w:tcPr>
          <w:p>
            <w:pPr>
              <w:spacing w:after="0"/>
              <w:rPr>
                <w:sz w:val="17"/>
                <w:szCs w:val="17"/>
                <w:color w:val="auto"/>
              </w:rPr>
            </w:pPr>
          </w:p>
        </w:tc>
      </w:tr>
      <w:tr>
        <w:trPr>
          <w:trHeight w:val="216"/>
        </w:trPr>
        <w:tc>
          <w:tcPr>
            <w:tcW w:w="5740" w:type="dxa"/>
            <w:vAlign w:val="bottom"/>
            <w:shd w:val="clear" w:color="auto" w:fill="F0FFFF"/>
          </w:tcPr>
          <w:p>
            <w:pPr>
              <w:spacing w:after="0"/>
              <w:rPr>
                <w:sz w:val="20"/>
                <w:szCs w:val="20"/>
                <w:color w:val="auto"/>
              </w:rPr>
            </w:pPr>
            <w:r>
              <w:rPr>
                <w:rFonts w:ascii="Arial" w:cs="Arial" w:eastAsia="Arial" w:hAnsi="Arial"/>
                <w:sz w:val="18"/>
                <w:szCs w:val="18"/>
                <w:color w:val="auto"/>
              </w:rPr>
              <w:t>Mortgage loan and related fees</w:t>
            </w:r>
          </w:p>
        </w:tc>
        <w:tc>
          <w:tcPr>
            <w:tcW w:w="82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3,290</w:t>
            </w: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2,111</w:t>
            </w:r>
          </w:p>
        </w:tc>
        <w:tc>
          <w:tcPr>
            <w:tcW w:w="13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F0FF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Brokerage fees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1,058</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1,176</w:t>
            </w:r>
          </w:p>
        </w:tc>
        <w:tc>
          <w:tcPr>
            <w:tcW w:w="2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5740" w:type="dxa"/>
            <w:vAlign w:val="bottom"/>
            <w:shd w:val="clear" w:color="auto" w:fill="F0FFFF"/>
          </w:tcPr>
          <w:p>
            <w:pPr>
              <w:spacing w:after="0"/>
              <w:rPr>
                <w:sz w:val="20"/>
                <w:szCs w:val="20"/>
                <w:color w:val="auto"/>
              </w:rPr>
            </w:pPr>
            <w:r>
              <w:rPr>
                <w:rFonts w:ascii="Arial" w:cs="Arial" w:eastAsia="Arial" w:hAnsi="Arial"/>
                <w:sz w:val="18"/>
                <w:szCs w:val="18"/>
                <w:color w:val="auto"/>
              </w:rPr>
              <w:t>Gains on sales of government guaranteed loans</w:t>
            </w:r>
          </w:p>
        </w:tc>
        <w:tc>
          <w:tcPr>
            <w:tcW w:w="82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1,995</w:t>
            </w: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926</w:t>
            </w:r>
          </w:p>
        </w:tc>
        <w:tc>
          <w:tcPr>
            <w:tcW w:w="14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Customer derivatives</w:t>
            </w:r>
          </w:p>
        </w:tc>
        <w:tc>
          <w:tcPr>
            <w:tcW w:w="8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399</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412</w:t>
            </w:r>
          </w:p>
        </w:tc>
      </w:tr>
      <w:tr>
        <w:trPr>
          <w:trHeight w:val="216"/>
        </w:trPr>
        <w:tc>
          <w:tcPr>
            <w:tcW w:w="5740" w:type="dxa"/>
            <w:vAlign w:val="bottom"/>
            <w:shd w:val="clear" w:color="auto" w:fill="F0FFFF"/>
          </w:tcPr>
          <w:p>
            <w:pPr>
              <w:spacing w:after="0"/>
              <w:rPr>
                <w:sz w:val="20"/>
                <w:szCs w:val="20"/>
                <w:color w:val="auto"/>
              </w:rPr>
            </w:pPr>
            <w:r>
              <w:rPr>
                <w:rFonts w:ascii="Arial" w:cs="Arial" w:eastAsia="Arial" w:hAnsi="Arial"/>
                <w:sz w:val="18"/>
                <w:szCs w:val="18"/>
                <w:color w:val="auto"/>
              </w:rPr>
              <w:t>Securities gains, net</w:t>
            </w:r>
          </w:p>
        </w:tc>
        <w:tc>
          <w:tcPr>
            <w:tcW w:w="82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378</w:t>
            </w:r>
          </w:p>
        </w:tc>
        <w:tc>
          <w:tcPr>
            <w:tcW w:w="82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208</w:t>
            </w:r>
          </w:p>
        </w:tc>
        <w:tc>
          <w:tcPr>
            <w:tcW w:w="13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r>
      <w:tr>
        <w:trPr>
          <w:trHeight w:val="237"/>
        </w:trPr>
        <w:tc>
          <w:tcPr>
            <w:tcW w:w="57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180" w:type="dxa"/>
            <w:vAlign w:val="bottom"/>
            <w:tcBorders>
              <w:bottom w:val="single" w:sz="8" w:color="F0FFFF"/>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w:t>
            </w:r>
          </w:p>
        </w:tc>
        <w:tc>
          <w:tcPr>
            <w:tcW w:w="200" w:type="dxa"/>
            <w:vAlign w:val="bottom"/>
            <w:tcBorders>
              <w:bottom w:val="single" w:sz="8" w:color="F0FFFF"/>
            </w:tcBorders>
          </w:tcPr>
          <w:p>
            <w:pPr>
              <w:spacing w:after="0"/>
              <w:rPr>
                <w:sz w:val="20"/>
                <w:szCs w:val="20"/>
                <w:color w:val="auto"/>
              </w:rPr>
            </w:pPr>
          </w:p>
        </w:tc>
        <w:tc>
          <w:tcPr>
            <w:tcW w:w="1320" w:type="dxa"/>
            <w:vAlign w:val="bottom"/>
            <w:tcBorders>
              <w:bottom w:val="single" w:sz="8" w:color="F0FFFF"/>
            </w:tcBorders>
          </w:tcPr>
          <w:p>
            <w:pPr>
              <w:jc w:val="right"/>
              <w:spacing w:after="0"/>
              <w:rPr>
                <w:sz w:val="20"/>
                <w:szCs w:val="20"/>
                <w:color w:val="auto"/>
              </w:rPr>
            </w:pPr>
            <w:r>
              <w:rPr>
                <w:rFonts w:ascii="Arial" w:cs="Arial" w:eastAsia="Arial" w:hAnsi="Arial"/>
                <w:sz w:val="18"/>
                <w:szCs w:val="18"/>
                <w:color w:val="auto"/>
              </w:rPr>
              <w:t>42</w:t>
            </w:r>
          </w:p>
        </w:tc>
        <w:tc>
          <w:tcPr>
            <w:tcW w:w="160" w:type="dxa"/>
            <w:vAlign w:val="bottom"/>
            <w:tcBorders>
              <w:bottom w:val="single" w:sz="8" w:color="F0FFFF"/>
            </w:tcBorders>
          </w:tcPr>
          <w:p>
            <w:pPr>
              <w:spacing w:after="0"/>
              <w:rPr>
                <w:sz w:val="20"/>
                <w:szCs w:val="20"/>
                <w:color w:val="auto"/>
              </w:rPr>
            </w:pPr>
          </w:p>
        </w:tc>
      </w:tr>
      <w:tr>
        <w:trPr>
          <w:trHeight w:val="255"/>
        </w:trPr>
        <w:tc>
          <w:tcPr>
            <w:tcW w:w="57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fee revenue</w:t>
            </w:r>
          </w:p>
        </w:tc>
        <w:tc>
          <w:tcPr>
            <w:tcW w:w="820" w:type="dxa"/>
            <w:vAlign w:val="bottom"/>
            <w:tcBorders>
              <w:bottom w:val="single" w:sz="8" w:color="auto"/>
            </w:tcBorders>
            <w:shd w:val="clear" w:color="auto" w:fill="F0FFFF"/>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0"/>
              </w:rPr>
              <w:t>21,284</w:t>
            </w:r>
          </w:p>
        </w:tc>
        <w:tc>
          <w:tcPr>
            <w:tcW w:w="18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auto"/>
            </w:tcBorders>
            <w:shd w:val="clear" w:color="auto" w:fill="F0FFFF"/>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7"/>
              </w:rPr>
              <w:t>14,823</w:t>
            </w:r>
          </w:p>
        </w:tc>
        <w:tc>
          <w:tcPr>
            <w:tcW w:w="200" w:type="dxa"/>
            <w:vAlign w:val="bottom"/>
            <w:tcBorders>
              <w:bottom w:val="single" w:sz="8" w:color="F0FFFF"/>
            </w:tcBorders>
            <w:shd w:val="clear" w:color="auto" w:fill="F0FFFF"/>
          </w:tcPr>
          <w:p>
            <w:pPr>
              <w:spacing w:after="0"/>
              <w:rPr>
                <w:sz w:val="21"/>
                <w:szCs w:val="21"/>
                <w:color w:val="auto"/>
              </w:rPr>
            </w:pPr>
          </w:p>
        </w:tc>
        <w:tc>
          <w:tcPr>
            <w:tcW w:w="13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bottom w:val="single" w:sz="8" w:color="F0FFFF"/>
            </w:tcBorders>
            <w:shd w:val="clear" w:color="auto" w:fill="F0FFFF"/>
          </w:tcPr>
          <w:p>
            <w:pPr>
              <w:spacing w:after="0"/>
              <w:rPr>
                <w:sz w:val="21"/>
                <w:szCs w:val="21"/>
                <w:color w:val="auto"/>
              </w:rPr>
            </w:pPr>
          </w:p>
        </w:tc>
      </w:tr>
      <w:tr>
        <w:trPr>
          <w:trHeight w:val="20"/>
        </w:trPr>
        <w:tc>
          <w:tcPr>
            <w:tcW w:w="574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5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3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Fee revenue for the fourth quarter of 2015 of $21.3 million increased $6.46 million, or 44%, from $14.8 million for the fourth quarter of 2014. Service charges and fees on deposit accounts of $11.5 million increased $3.05 million, or 36%, from $8.45 million for the fourth quarter of 2014, primarily due to the Palmetto and MoneyTree acquisitions. Mortgage fees of $3.29 million increased $1.18 million, or 56%, from $2.11 million in the fourth quarter of 2014 due to higher loan origination volume. United closed $138 million in mortgage loans in the fourth quarter of 2015, of which 55% were for new home purchases, compared to $77.4 million in the fourth quarter of 2014, of which 63% were for new home purchases. Sales of $25.1 million in government guaranteed loans in fourth quarter 2015 resulted in net gains of $2 million, compared to $15.8 million sold in fourth quarter 2014, resulting in net gains of $926,000. Customer derivative fees increased in the fourth quarter of 2015 compared with a year ago due to an increase in customer demand for the product. Other fee revenue of $2.66 million increased $786,000, or 42%, from the fourth quarter of 2014, partially due to volume driven increases in income from bank owned life insurance and safe deposit box fees, and other banking service fees, some of which are related to the Palmetto and MoneyTree acqusitions.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The following table presents operating expenses for the fourth quarters of 2015 and 2014.</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7 - Quarterly Operating Expenses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340" w:type="dxa"/>
            <w:vAlign w:val="bottom"/>
            <w:gridSpan w:val="4"/>
          </w:tcPr>
          <w:p>
            <w:pPr>
              <w:jc w:val="center"/>
              <w:ind w:left="44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8"/>
        </w:trPr>
        <w:tc>
          <w:tcPr>
            <w:tcW w:w="57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5740" w:type="dxa"/>
            <w:vAlign w:val="bottom"/>
            <w:tcBorders>
              <w:bottom w:val="single" w:sz="8" w:color="F0FF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F0FF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F0FFFF"/>
            </w:tcBorders>
          </w:tcPr>
          <w:p>
            <w:pPr>
              <w:spacing w:after="0"/>
              <w:rPr>
                <w:sz w:val="14"/>
                <w:szCs w:val="14"/>
                <w:color w:val="auto"/>
              </w:rPr>
            </w:pPr>
          </w:p>
        </w:tc>
        <w:tc>
          <w:tcPr>
            <w:tcW w:w="180" w:type="dxa"/>
            <w:vAlign w:val="bottom"/>
            <w:tcBorders>
              <w:bottom w:val="single" w:sz="8" w:color="F0FFFF"/>
            </w:tcBorders>
          </w:tcPr>
          <w:p>
            <w:pPr>
              <w:spacing w:after="0"/>
              <w:rPr>
                <w:sz w:val="14"/>
                <w:szCs w:val="14"/>
                <w:color w:val="auto"/>
              </w:rPr>
            </w:pPr>
          </w:p>
        </w:tc>
        <w:tc>
          <w:tcPr>
            <w:tcW w:w="13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F0FFFF"/>
            </w:tcBorders>
          </w:tcPr>
          <w:p>
            <w:pPr>
              <w:spacing w:after="0"/>
              <w:rPr>
                <w:sz w:val="14"/>
                <w:szCs w:val="14"/>
                <w:color w:val="auto"/>
              </w:rPr>
            </w:pPr>
          </w:p>
        </w:tc>
      </w:tr>
      <w:tr>
        <w:trPr>
          <w:trHeight w:val="216"/>
        </w:trPr>
        <w:tc>
          <w:tcPr>
            <w:tcW w:w="5740" w:type="dxa"/>
            <w:vAlign w:val="bottom"/>
            <w:shd w:val="clear" w:color="auto" w:fill="F0FFFF"/>
          </w:tcPr>
          <w:p>
            <w:pPr>
              <w:spacing w:after="0"/>
              <w:rPr>
                <w:sz w:val="20"/>
                <w:szCs w:val="20"/>
                <w:color w:val="auto"/>
              </w:rPr>
            </w:pPr>
            <w:r>
              <w:rPr>
                <w:rFonts w:ascii="Arial" w:cs="Arial" w:eastAsia="Arial" w:hAnsi="Arial"/>
                <w:sz w:val="18"/>
                <w:szCs w:val="18"/>
                <w:color w:val="auto"/>
              </w:rPr>
              <w:t>Salaries and employee benefits</w:t>
            </w:r>
          </w:p>
        </w:tc>
        <w:tc>
          <w:tcPr>
            <w:tcW w:w="82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0"/>
              </w:rPr>
              <w:t>32,939</w:t>
            </w: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5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7"/>
              </w:rPr>
              <w:t>26,592</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480" w:type="dxa"/>
            <w:vAlign w:val="bottom"/>
            <w:gridSpan w:val="2"/>
            <w:shd w:val="clear" w:color="auto" w:fill="F0FFFF"/>
          </w:tcPr>
          <w:p>
            <w:pPr>
              <w:ind w:left="1140"/>
              <w:spacing w:after="0"/>
              <w:rPr>
                <w:sz w:val="20"/>
                <w:szCs w:val="20"/>
                <w:color w:val="auto"/>
              </w:rPr>
            </w:pPr>
            <w:r>
              <w:rPr>
                <w:rFonts w:ascii="Arial" w:cs="Arial" w:eastAsia="Arial" w:hAnsi="Arial"/>
                <w:sz w:val="18"/>
                <w:szCs w:val="18"/>
                <w:color w:val="auto"/>
                <w:w w:val="88"/>
              </w:rPr>
              <w:t>24%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4,735</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w w:val="79"/>
              </w:rPr>
              <w:t>50</w:t>
            </w:r>
          </w:p>
        </w:tc>
        <w:tc>
          <w:tcPr>
            <w:tcW w:w="160" w:type="dxa"/>
            <w:vAlign w:val="bottom"/>
          </w:tcPr>
          <w:p>
            <w:pPr>
              <w:spacing w:after="0"/>
              <w:rPr>
                <w:sz w:val="18"/>
                <w:szCs w:val="18"/>
                <w:color w:val="auto"/>
              </w:rPr>
            </w:pPr>
          </w:p>
        </w:tc>
      </w:tr>
      <w:tr>
        <w:trPr>
          <w:trHeight w:val="216"/>
        </w:trPr>
        <w:tc>
          <w:tcPr>
            <w:tcW w:w="5740" w:type="dxa"/>
            <w:vAlign w:val="bottom"/>
            <w:shd w:val="clear" w:color="auto" w:fill="F0FFFF"/>
          </w:tcPr>
          <w:p>
            <w:pPr>
              <w:spacing w:after="0"/>
              <w:rPr>
                <w:sz w:val="20"/>
                <w:szCs w:val="20"/>
                <w:color w:val="auto"/>
              </w:rPr>
            </w:pPr>
            <w:r>
              <w:rPr>
                <w:rFonts w:ascii="Arial" w:cs="Arial" w:eastAsia="Arial" w:hAnsi="Arial"/>
                <w:sz w:val="18"/>
                <w:szCs w:val="18"/>
                <w:color w:val="auto"/>
              </w:rPr>
              <w:t>Occupancy</w:t>
            </w:r>
          </w:p>
        </w:tc>
        <w:tc>
          <w:tcPr>
            <w:tcW w:w="82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4,666</w:t>
            </w: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5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3,448</w:t>
            </w:r>
          </w:p>
        </w:tc>
        <w:tc>
          <w:tcPr>
            <w:tcW w:w="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ind w:left="1320"/>
              <w:spacing w:after="0"/>
              <w:rPr>
                <w:sz w:val="20"/>
                <w:szCs w:val="20"/>
                <w:color w:val="auto"/>
              </w:rPr>
            </w:pPr>
            <w:r>
              <w:rPr>
                <w:rFonts w:ascii="Arial" w:cs="Arial" w:eastAsia="Arial" w:hAnsi="Arial"/>
                <w:sz w:val="18"/>
                <w:szCs w:val="18"/>
                <w:color w:val="auto"/>
                <w:w w:val="79"/>
              </w:rPr>
              <w:t>35</w:t>
            </w:r>
          </w:p>
        </w:tc>
        <w:tc>
          <w:tcPr>
            <w:tcW w:w="160" w:type="dxa"/>
            <w:vAlign w:val="bottom"/>
            <w:shd w:val="clear" w:color="auto" w:fill="F0FF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8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978</w:t>
            </w:r>
          </w:p>
        </w:tc>
        <w:tc>
          <w:tcPr>
            <w:tcW w:w="8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802</w:t>
            </w: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w w:val="79"/>
              </w:rPr>
              <w:t>22</w:t>
            </w:r>
          </w:p>
        </w:tc>
        <w:tc>
          <w:tcPr>
            <w:tcW w:w="160" w:type="dxa"/>
            <w:vAlign w:val="bottom"/>
          </w:tcPr>
          <w:p>
            <w:pPr>
              <w:spacing w:after="0"/>
              <w:rPr>
                <w:sz w:val="18"/>
                <w:szCs w:val="18"/>
                <w:color w:val="auto"/>
              </w:rPr>
            </w:pPr>
          </w:p>
        </w:tc>
      </w:tr>
      <w:tr>
        <w:trPr>
          <w:trHeight w:val="216"/>
        </w:trPr>
        <w:tc>
          <w:tcPr>
            <w:tcW w:w="5740" w:type="dxa"/>
            <w:vAlign w:val="bottom"/>
            <w:shd w:val="clear" w:color="auto" w:fill="F0FFFF"/>
          </w:tcPr>
          <w:p>
            <w:pPr>
              <w:spacing w:after="0"/>
              <w:rPr>
                <w:sz w:val="20"/>
                <w:szCs w:val="20"/>
                <w:color w:val="auto"/>
              </w:rPr>
            </w:pPr>
            <w:r>
              <w:rPr>
                <w:rFonts w:ascii="Arial" w:cs="Arial" w:eastAsia="Arial" w:hAnsi="Arial"/>
                <w:sz w:val="18"/>
                <w:szCs w:val="18"/>
                <w:color w:val="auto"/>
              </w:rPr>
              <w:t>Postage, printing and supplies</w:t>
            </w:r>
          </w:p>
        </w:tc>
        <w:tc>
          <w:tcPr>
            <w:tcW w:w="82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1,293</w:t>
            </w: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5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1,086</w:t>
            </w:r>
          </w:p>
        </w:tc>
        <w:tc>
          <w:tcPr>
            <w:tcW w:w="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ind w:left="1320"/>
              <w:spacing w:after="0"/>
              <w:rPr>
                <w:sz w:val="20"/>
                <w:szCs w:val="20"/>
                <w:color w:val="auto"/>
              </w:rPr>
            </w:pPr>
            <w:r>
              <w:rPr>
                <w:rFonts w:ascii="Arial" w:cs="Arial" w:eastAsia="Arial" w:hAnsi="Arial"/>
                <w:sz w:val="18"/>
                <w:szCs w:val="18"/>
                <w:color w:val="auto"/>
                <w:w w:val="79"/>
              </w:rPr>
              <w:t>19</w:t>
            </w:r>
          </w:p>
        </w:tc>
        <w:tc>
          <w:tcPr>
            <w:tcW w:w="160" w:type="dxa"/>
            <w:vAlign w:val="bottom"/>
            <w:shd w:val="clear" w:color="auto" w:fill="F0FF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Professional fees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3,331</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2,034</w:t>
            </w:r>
          </w:p>
        </w:tc>
        <w:tc>
          <w:tcPr>
            <w:tcW w:w="20" w:type="dxa"/>
            <w:vAlign w:val="bottom"/>
          </w:tcPr>
          <w:p>
            <w:pPr>
              <w:spacing w:after="0"/>
              <w:rPr>
                <w:sz w:val="18"/>
                <w:szCs w:val="18"/>
                <w:color w:val="auto"/>
              </w:rPr>
            </w:pP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w w:val="79"/>
              </w:rPr>
              <w:t>64</w:t>
            </w:r>
          </w:p>
        </w:tc>
        <w:tc>
          <w:tcPr>
            <w:tcW w:w="160" w:type="dxa"/>
            <w:vAlign w:val="bottom"/>
          </w:tcPr>
          <w:p>
            <w:pPr>
              <w:spacing w:after="0"/>
              <w:rPr>
                <w:sz w:val="18"/>
                <w:szCs w:val="18"/>
                <w:color w:val="auto"/>
              </w:rPr>
            </w:pPr>
          </w:p>
        </w:tc>
      </w:tr>
      <w:tr>
        <w:trPr>
          <w:trHeight w:val="216"/>
        </w:trPr>
        <w:tc>
          <w:tcPr>
            <w:tcW w:w="5740" w:type="dxa"/>
            <w:vAlign w:val="bottom"/>
            <w:shd w:val="clear" w:color="auto" w:fill="F0FFFF"/>
          </w:tcPr>
          <w:p>
            <w:pPr>
              <w:spacing w:after="0"/>
              <w:rPr>
                <w:sz w:val="20"/>
                <w:szCs w:val="20"/>
                <w:color w:val="auto"/>
              </w:rPr>
            </w:pPr>
            <w:r>
              <w:rPr>
                <w:rFonts w:ascii="Arial" w:cs="Arial" w:eastAsia="Arial" w:hAnsi="Arial"/>
                <w:sz w:val="18"/>
                <w:szCs w:val="18"/>
                <w:color w:val="auto"/>
              </w:rPr>
              <w:t>FDIC assessments and other regulatory charges</w:t>
            </w:r>
          </w:p>
        </w:tc>
        <w:tc>
          <w:tcPr>
            <w:tcW w:w="820" w:type="dxa"/>
            <w:vAlign w:val="bottom"/>
            <w:shd w:val="clear" w:color="auto" w:fill="F0FFFF"/>
          </w:tcPr>
          <w:p>
            <w:pPr>
              <w:spacing w:after="0"/>
              <w:rPr>
                <w:sz w:val="18"/>
                <w:szCs w:val="18"/>
                <w:color w:val="auto"/>
              </w:rPr>
            </w:pPr>
          </w:p>
        </w:tc>
        <w:tc>
          <w:tcPr>
            <w:tcW w:w="5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1,463</w:t>
            </w: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5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883</w:t>
            </w:r>
          </w:p>
        </w:tc>
        <w:tc>
          <w:tcPr>
            <w:tcW w:w="1500" w:type="dxa"/>
            <w:vAlign w:val="bottom"/>
            <w:gridSpan w:val="2"/>
            <w:shd w:val="clear" w:color="auto" w:fill="F0FFFF"/>
          </w:tcPr>
          <w:p>
            <w:pPr>
              <w:ind w:left="1320"/>
              <w:spacing w:after="0"/>
              <w:rPr>
                <w:sz w:val="20"/>
                <w:szCs w:val="20"/>
                <w:color w:val="auto"/>
              </w:rPr>
            </w:pPr>
            <w:r>
              <w:rPr>
                <w:rFonts w:ascii="Arial" w:cs="Arial" w:eastAsia="Arial" w:hAnsi="Arial"/>
                <w:sz w:val="18"/>
                <w:szCs w:val="18"/>
                <w:color w:val="auto"/>
                <w:w w:val="79"/>
              </w:rPr>
              <w:t>66</w:t>
            </w:r>
          </w:p>
        </w:tc>
        <w:tc>
          <w:tcPr>
            <w:tcW w:w="160" w:type="dxa"/>
            <w:vAlign w:val="bottom"/>
            <w:shd w:val="clear" w:color="auto" w:fill="F0FF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Merger-related and other charges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9,078</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57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auto"/>
            </w:tcBorders>
            <w:shd w:val="clear" w:color="auto" w:fill="F0FFFF"/>
          </w:tcPr>
          <w:p>
            <w:pPr>
              <w:spacing w:after="0"/>
              <w:rPr>
                <w:sz w:val="21"/>
                <w:szCs w:val="21"/>
                <w:color w:val="auto"/>
              </w:rPr>
            </w:pPr>
          </w:p>
        </w:tc>
        <w:tc>
          <w:tcPr>
            <w:tcW w:w="5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7,005</w:t>
            </w:r>
          </w:p>
        </w:tc>
        <w:tc>
          <w:tcPr>
            <w:tcW w:w="180" w:type="dxa"/>
            <w:vAlign w:val="bottom"/>
            <w:tcBorders>
              <w:bottom w:val="single" w:sz="8" w:color="F0FFFF"/>
            </w:tcBorders>
            <w:shd w:val="clear" w:color="auto" w:fill="F0FFFF"/>
          </w:tcPr>
          <w:p>
            <w:pPr>
              <w:spacing w:after="0"/>
              <w:rPr>
                <w:sz w:val="21"/>
                <w:szCs w:val="21"/>
                <w:color w:val="auto"/>
              </w:rPr>
            </w:pPr>
          </w:p>
        </w:tc>
        <w:tc>
          <w:tcPr>
            <w:tcW w:w="820" w:type="dxa"/>
            <w:vAlign w:val="bottom"/>
            <w:tcBorders>
              <w:bottom w:val="single" w:sz="8" w:color="auto"/>
            </w:tcBorders>
            <w:shd w:val="clear" w:color="auto" w:fill="F0FFFF"/>
          </w:tcPr>
          <w:p>
            <w:pPr>
              <w:spacing w:after="0"/>
              <w:rPr>
                <w:sz w:val="21"/>
                <w:szCs w:val="21"/>
                <w:color w:val="auto"/>
              </w:rPr>
            </w:pPr>
          </w:p>
        </w:tc>
        <w:tc>
          <w:tcPr>
            <w:tcW w:w="5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3,921</w:t>
            </w:r>
          </w:p>
        </w:tc>
        <w:tc>
          <w:tcPr>
            <w:tcW w:w="20" w:type="dxa"/>
            <w:vAlign w:val="bottom"/>
            <w:tcBorders>
              <w:bottom w:val="single" w:sz="8" w:color="F0FFFF"/>
            </w:tcBorders>
            <w:shd w:val="clear" w:color="auto" w:fill="F0FFFF"/>
          </w:tcPr>
          <w:p>
            <w:pPr>
              <w:spacing w:after="0"/>
              <w:rPr>
                <w:sz w:val="21"/>
                <w:szCs w:val="21"/>
                <w:color w:val="auto"/>
              </w:rPr>
            </w:pPr>
          </w:p>
        </w:tc>
        <w:tc>
          <w:tcPr>
            <w:tcW w:w="1500" w:type="dxa"/>
            <w:vAlign w:val="bottom"/>
            <w:tcBorders>
              <w:bottom w:val="single" w:sz="8" w:color="F0FFFF"/>
            </w:tcBorders>
            <w:gridSpan w:val="2"/>
            <w:shd w:val="clear" w:color="auto" w:fill="F0FFFF"/>
          </w:tcPr>
          <w:p>
            <w:pPr>
              <w:ind w:left="1320"/>
              <w:spacing w:after="0"/>
              <w:rPr>
                <w:sz w:val="20"/>
                <w:szCs w:val="20"/>
                <w:color w:val="auto"/>
              </w:rPr>
            </w:pPr>
            <w:r>
              <w:rPr>
                <w:rFonts w:ascii="Arial" w:cs="Arial" w:eastAsia="Arial" w:hAnsi="Arial"/>
                <w:sz w:val="18"/>
                <w:szCs w:val="18"/>
                <w:color w:val="auto"/>
                <w:w w:val="79"/>
              </w:rPr>
              <w:t>79</w:t>
            </w:r>
          </w:p>
        </w:tc>
        <w:tc>
          <w:tcPr>
            <w:tcW w:w="160" w:type="dxa"/>
            <w:vAlign w:val="bottom"/>
            <w:tcBorders>
              <w:bottom w:val="single" w:sz="8" w:color="F0FFFF"/>
            </w:tcBorders>
            <w:shd w:val="clear" w:color="auto" w:fill="F0FFFF"/>
          </w:tcPr>
          <w:p>
            <w:pPr>
              <w:spacing w:after="0"/>
              <w:rPr>
                <w:sz w:val="21"/>
                <w:szCs w:val="21"/>
                <w:color w:val="auto"/>
              </w:rPr>
            </w:pPr>
          </w:p>
        </w:tc>
      </w:tr>
      <w:tr>
        <w:trPr>
          <w:trHeight w:val="217"/>
        </w:trPr>
        <w:tc>
          <w:tcPr>
            <w:tcW w:w="574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auto"/>
            </w:tcBorders>
          </w:tcPr>
          <w:p>
            <w:pPr>
              <w:jc w:val="right"/>
              <w:ind w:right="642"/>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65,488</w:t>
            </w:r>
          </w:p>
        </w:tc>
        <w:tc>
          <w:tcPr>
            <w:tcW w:w="180" w:type="dxa"/>
            <w:vAlign w:val="bottom"/>
          </w:tcPr>
          <w:p>
            <w:pPr>
              <w:spacing w:after="0"/>
              <w:rPr>
                <w:sz w:val="18"/>
                <w:szCs w:val="18"/>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41,919</w:t>
            </w:r>
          </w:p>
        </w:tc>
        <w:tc>
          <w:tcPr>
            <w:tcW w:w="20" w:type="dxa"/>
            <w:vAlign w:val="bottom"/>
            <w:tcBorders>
              <w:bottom w:val="single" w:sz="8" w:color="auto"/>
            </w:tcBorders>
          </w:tcPr>
          <w:p>
            <w:pPr>
              <w:spacing w:after="0"/>
              <w:rPr>
                <w:sz w:val="18"/>
                <w:szCs w:val="18"/>
                <w:color w:val="auto"/>
              </w:rPr>
            </w:pPr>
          </w:p>
        </w:tc>
        <w:tc>
          <w:tcPr>
            <w:tcW w:w="1500" w:type="dxa"/>
            <w:vAlign w:val="bottom"/>
            <w:gridSpan w:val="2"/>
          </w:tcPr>
          <w:p>
            <w:pPr>
              <w:ind w:left="1320"/>
              <w:spacing w:after="0"/>
              <w:rPr>
                <w:sz w:val="20"/>
                <w:szCs w:val="20"/>
                <w:color w:val="auto"/>
              </w:rPr>
            </w:pPr>
            <w:r>
              <w:rPr>
                <w:rFonts w:ascii="Arial" w:cs="Arial" w:eastAsia="Arial" w:hAnsi="Arial"/>
                <w:sz w:val="18"/>
                <w:szCs w:val="18"/>
                <w:color w:val="auto"/>
                <w:w w:val="79"/>
              </w:rPr>
              <w:t>56</w:t>
            </w:r>
          </w:p>
        </w:tc>
        <w:tc>
          <w:tcPr>
            <w:tcW w:w="160" w:type="dxa"/>
            <w:vAlign w:val="bottom"/>
          </w:tcPr>
          <w:p>
            <w:pPr>
              <w:spacing w:after="0"/>
              <w:rPr>
                <w:sz w:val="18"/>
                <w:szCs w:val="18"/>
                <w:color w:val="auto"/>
              </w:rPr>
            </w:pPr>
          </w:p>
        </w:tc>
      </w:tr>
      <w:tr>
        <w:trPr>
          <w:trHeight w:val="21"/>
        </w:trPr>
        <w:tc>
          <w:tcPr>
            <w:tcW w:w="5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Operating expenses of $65.5 million increased 56% from $41.9 million for the fourth quarter of 2014, largely due to the inclusion of the operating expenses of the two acquired banks, as well as merger-related charges and impairment charges on real estate purchased in prior years for future branch expansion. Salaries and employee benefit costs of $32.9 million were up $6.35 million from the fourth quarter of 2014, due primarily to additional staff resulting from the Palmetto and MoneyTree acquisitions and investment in additional staff and new teams to expand specialized lending and new talent in other key areas, as well as higher commissions and incentives due to business growth. Communications and equipment expenses of $4.74 million were up $1.58 million, or 50%, from $3.15 million for the fourth quarter of 2014, partly due to higher software maintenance contract costs. Occupancy expense of $4.67 million was up $1.22 million for the fourth quarter of 2015 compared to 2014, primarily due to additional locations attributable to the acquisitions. Professional fees increased 64% to $3.33 million in fourth quarter 2015 compared to fourth quarter 2014 due primarily to higher legal and consulting fees relating to various corporate projects to enhance productivity, model validations, and improve our regulatory compliance function. FDIC assessments and other regulatory charges increased to $1.46 million from $883,000 for the fourth quarter of 2014 due to balance sheet growth during the year. Merger-related and other charges of $9.08 million included $3.11 million of merger charges primarily related to the Palmetto acquisition and $5.97 million of impairment charges on bank-owned real estate acquired in prior years for expansion. Other expenses of $7.01 million were up 79% from the fourth quarter of 2014, partly due to an increase in amortization expense related to acquired intangibles, an increase in ATM and internet banking costs due to higher volume, and higher servicing costs on United’s indirect auto loan portfolio due to growth in that portfolio. Other expenses in the fourth quarter of 2014 included the reversal of $1.20 million of a previously established litigation reserve.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assets at December 31, 2015 were $9.63 billion, an increase of $2.06 billion, or 27%, from December 31, 2014. On a daily average basis, total assets increased $1.03 billion, or 14%, from 2014 to 2015. Average interest earning assets for 2015 and 2014 were $7.83 billion and $6.88 billion,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Substantially all of United’s loans are to customers located in the immediate market areas of its community banks in Georgia, North Carolina, South Carolina and Tennessee, including customers who have a seasonal residence in United’s market areas, except for specific specialized lending strategies such as SBA and franchise lending. More than 77% of the loans are secured by real estate. In 2014, commercial loan growth began to return to pre-crisis levels reflecting United’s specialized lending initiatives. Consumer installment loans also increased due to purchases of indirect auto loans. Loans also increased due to the acquisitions of Palmetto and MoneyTree in 2015. Total loans averaged $5.30 billion in 2015, compared with $4.45 billion in 2014, an increase of 19%. At December 31, 2015, total loans were $6 billion, an increase of $1.32 billion, or 28%, from December 31, 2014.</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The following table presents the composition of United’s loan portfolio for the last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Loans Outstanding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40" w:type="dxa"/>
            <w:vAlign w:val="bottom"/>
            <w:tcBorders>
              <w:bottom w:val="single" w:sz="8" w:color="F0FFFF"/>
            </w:tcBorders>
          </w:tcPr>
          <w:p>
            <w:pPr>
              <w:spacing w:after="0"/>
              <w:rPr>
                <w:sz w:val="15"/>
                <w:szCs w:val="15"/>
                <w:color w:val="auto"/>
              </w:rPr>
            </w:pPr>
          </w:p>
        </w:tc>
        <w:tc>
          <w:tcPr>
            <w:tcW w:w="114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F0FFFF"/>
            </w:tcBorders>
          </w:tcPr>
          <w:p>
            <w:pPr>
              <w:spacing w:after="0"/>
              <w:rPr>
                <w:sz w:val="15"/>
                <w:szCs w:val="15"/>
                <w:color w:val="auto"/>
              </w:rPr>
            </w:pPr>
          </w:p>
        </w:tc>
        <w:tc>
          <w:tcPr>
            <w:tcW w:w="12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F0FFFF"/>
            </w:tcBorders>
          </w:tcPr>
          <w:p>
            <w:pPr>
              <w:spacing w:after="0"/>
              <w:rPr>
                <w:sz w:val="15"/>
                <w:szCs w:val="15"/>
                <w:color w:val="auto"/>
              </w:rPr>
            </w:pPr>
          </w:p>
        </w:tc>
        <w:tc>
          <w:tcPr>
            <w:tcW w:w="12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F0FFFF"/>
            </w:tcBorders>
          </w:tcPr>
          <w:p>
            <w:pPr>
              <w:spacing w:after="0"/>
              <w:rPr>
                <w:sz w:val="15"/>
                <w:szCs w:val="15"/>
                <w:color w:val="auto"/>
              </w:rPr>
            </w:pPr>
          </w:p>
        </w:tc>
        <w:tc>
          <w:tcPr>
            <w:tcW w:w="120" w:type="dxa"/>
            <w:vAlign w:val="bottom"/>
            <w:tcBorders>
              <w:bottom w:val="single" w:sz="8" w:color="F0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F0FFFF"/>
            </w:tcBorders>
          </w:tcPr>
          <w:p>
            <w:pPr>
              <w:spacing w:after="0"/>
              <w:rPr>
                <w:sz w:val="15"/>
                <w:szCs w:val="15"/>
                <w:color w:val="auto"/>
              </w:rPr>
            </w:pPr>
          </w:p>
        </w:tc>
        <w:tc>
          <w:tcPr>
            <w:tcW w:w="10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F0FFFF"/>
            </w:tcBorders>
          </w:tcPr>
          <w:p>
            <w:pPr>
              <w:spacing w:after="0"/>
              <w:rPr>
                <w:sz w:val="15"/>
                <w:szCs w:val="15"/>
                <w:color w:val="auto"/>
              </w:rPr>
            </w:pPr>
          </w:p>
        </w:tc>
      </w:tr>
      <w:tr>
        <w:trPr>
          <w:trHeight w:val="216"/>
        </w:trPr>
        <w:tc>
          <w:tcPr>
            <w:tcW w:w="41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Loans by Category</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1,493,966</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1,163,480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1,133,543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1,131,544</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1,111,502</w:t>
            </w:r>
          </w:p>
        </w:tc>
      </w:tr>
      <w:tr>
        <w:trPr>
          <w:trHeight w:val="216"/>
        </w:trPr>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823,729</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598,537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623,167</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681,821</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709,912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785,417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710,256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471,961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458,246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428,249</w:t>
            </w:r>
          </w:p>
        </w:tc>
      </w:tr>
      <w:tr>
        <w:trPr>
          <w:trHeight w:val="250"/>
        </w:trPr>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11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342,078</w:t>
            </w: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196,030</w:t>
            </w: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148,903</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154,769</w:t>
            </w: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164,155</w:t>
            </w:r>
          </w:p>
        </w:tc>
      </w:tr>
      <w:tr>
        <w:trPr>
          <w:trHeight w:val="203"/>
        </w:trPr>
        <w:tc>
          <w:tcPr>
            <w:tcW w:w="4140" w:type="dxa"/>
            <w:vAlign w:val="bottom"/>
            <w:tcBorders>
              <w:top w:val="single" w:sz="8" w:color="F0FFFF"/>
            </w:tcBorders>
          </w:tcPr>
          <w:p>
            <w:pPr>
              <w:ind w:left="180"/>
              <w:spacing w:after="0" w:line="203" w:lineRule="exact"/>
              <w:rPr>
                <w:sz w:val="20"/>
                <w:szCs w:val="20"/>
                <w:color w:val="auto"/>
              </w:rPr>
            </w:pPr>
            <w:r>
              <w:rPr>
                <w:rFonts w:ascii="Arial" w:cs="Arial" w:eastAsia="Arial" w:hAnsi="Arial"/>
                <w:sz w:val="18"/>
                <w:szCs w:val="18"/>
                <w:color w:val="auto"/>
              </w:rPr>
              <w:t>Total commercial</w:t>
            </w:r>
          </w:p>
        </w:tc>
        <w:tc>
          <w:tcPr>
            <w:tcW w:w="114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3,445,190</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2,668,303</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2,377,574</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2,426,380</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2,413,818</w:t>
            </w:r>
          </w:p>
        </w:tc>
        <w:tc>
          <w:tcPr>
            <w:tcW w:w="100" w:type="dxa"/>
            <w:vAlign w:val="bottom"/>
            <w:tcBorders>
              <w:top w:val="single" w:sz="8" w:color="F0FFFF"/>
            </w:tcBorders>
          </w:tcPr>
          <w:p>
            <w:pPr>
              <w:spacing w:after="0"/>
              <w:rPr>
                <w:sz w:val="17"/>
                <w:szCs w:val="17"/>
                <w:color w:val="auto"/>
              </w:rPr>
            </w:pPr>
          </w:p>
        </w:tc>
      </w:tr>
      <w:tr>
        <w:trPr>
          <w:trHeight w:val="216"/>
        </w:trPr>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1,029,663</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865,789</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875,077</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829,566</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834,759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597,806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465,872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440,887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384,637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300,143</w:t>
            </w:r>
          </w:p>
        </w:tc>
      </w:tr>
      <w:tr>
        <w:trPr>
          <w:trHeight w:val="216"/>
        </w:trPr>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351,700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298,627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328,579</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381,677</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448,391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Consumer installment</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115,111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104,899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111,045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114,309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112,503</w:t>
            </w:r>
          </w:p>
        </w:tc>
      </w:tr>
      <w:tr>
        <w:trPr>
          <w:trHeight w:val="250"/>
        </w:trPr>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1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455,971</w:t>
            </w: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268,629</w:t>
            </w:r>
          </w:p>
        </w:tc>
        <w:tc>
          <w:tcPr>
            <w:tcW w:w="1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196,104</w:t>
            </w:r>
          </w:p>
        </w:tc>
        <w:tc>
          <w:tcPr>
            <w:tcW w:w="1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38,439</w:t>
            </w:r>
          </w:p>
        </w:tc>
        <w:tc>
          <w:tcPr>
            <w:tcW w:w="1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140" w:type="dxa"/>
            <w:vAlign w:val="bottom"/>
            <w:tcBorders>
              <w:top w:val="single" w:sz="8" w:color="F0FFFF"/>
            </w:tcBorders>
          </w:tcPr>
          <w:p>
            <w:pPr>
              <w:ind w:left="180"/>
              <w:spacing w:after="0"/>
              <w:rPr>
                <w:sz w:val="20"/>
                <w:szCs w:val="20"/>
                <w:color w:val="auto"/>
              </w:rPr>
            </w:pPr>
            <w:r>
              <w:rPr>
                <w:rFonts w:ascii="Arial" w:cs="Arial" w:eastAsia="Arial" w:hAnsi="Arial"/>
                <w:sz w:val="18"/>
                <w:szCs w:val="18"/>
                <w:color w:val="auto"/>
              </w:rPr>
              <w:t>Total loans</w:t>
            </w:r>
          </w:p>
        </w:tc>
        <w:tc>
          <w:tcPr>
            <w:tcW w:w="114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5,995,441</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4,672,119</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4,329,266</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4,175,008</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4,109,614</w:t>
            </w:r>
          </w:p>
        </w:tc>
        <w:tc>
          <w:tcPr>
            <w:tcW w:w="100" w:type="dxa"/>
            <w:vAlign w:val="bottom"/>
            <w:tcBorders>
              <w:top w:val="single" w:sz="8" w:color="F0FFFF"/>
            </w:tcBorders>
          </w:tcPr>
          <w:p>
            <w:pPr>
              <w:spacing w:after="0"/>
              <w:rPr>
                <w:sz w:val="18"/>
                <w:szCs w:val="18"/>
                <w:color w:val="auto"/>
              </w:rPr>
            </w:pPr>
          </w:p>
        </w:tc>
      </w:tr>
      <w:tr>
        <w:trPr>
          <w:trHeight w:val="21"/>
        </w:trPr>
        <w:tc>
          <w:tcPr>
            <w:tcW w:w="4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9"/>
        </w:trPr>
        <w:tc>
          <w:tcPr>
            <w:tcW w:w="4140" w:type="dxa"/>
            <w:vAlign w:val="bottom"/>
            <w:tcBorders>
              <w:bottom w:val="single" w:sz="8" w:color="F0FFFF"/>
            </w:tcBorders>
          </w:tcPr>
          <w:p>
            <w:pPr>
              <w:spacing w:after="0"/>
              <w:rPr>
                <w:sz w:val="24"/>
                <w:szCs w:val="24"/>
                <w:color w:val="auto"/>
              </w:rPr>
            </w:pPr>
          </w:p>
        </w:tc>
        <w:tc>
          <w:tcPr>
            <w:tcW w:w="1140" w:type="dxa"/>
            <w:vAlign w:val="bottom"/>
            <w:tcBorders>
              <w:bottom w:val="single" w:sz="8" w:color="F0FF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F0FFFF"/>
            </w:tcBorders>
          </w:tcPr>
          <w:p>
            <w:pPr>
              <w:spacing w:after="0"/>
              <w:rPr>
                <w:sz w:val="24"/>
                <w:szCs w:val="24"/>
                <w:color w:val="auto"/>
              </w:rPr>
            </w:pPr>
          </w:p>
        </w:tc>
        <w:tc>
          <w:tcPr>
            <w:tcW w:w="120" w:type="dxa"/>
            <w:vAlign w:val="bottom"/>
            <w:tcBorders>
              <w:bottom w:val="single" w:sz="8" w:color="F0FF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F0FFFF"/>
            </w:tcBorders>
          </w:tcPr>
          <w:p>
            <w:pPr>
              <w:spacing w:after="0"/>
              <w:rPr>
                <w:sz w:val="24"/>
                <w:szCs w:val="24"/>
                <w:color w:val="auto"/>
              </w:rPr>
            </w:pPr>
          </w:p>
        </w:tc>
      </w:tr>
      <w:tr>
        <w:trPr>
          <w:trHeight w:val="216"/>
        </w:trPr>
        <w:tc>
          <w:tcPr>
            <w:tcW w:w="41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Loans by Market</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North Georgia</w:t>
            </w:r>
          </w:p>
        </w:tc>
        <w:tc>
          <w:tcPr>
            <w:tcW w:w="13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1,125,123</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1,163,479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1,240,234</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1,363,723</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1,425,811</w:t>
            </w:r>
          </w:p>
        </w:tc>
      </w:tr>
      <w:tr>
        <w:trPr>
          <w:trHeight w:val="216"/>
        </w:trPr>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Atlanta MSA</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1,259,377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1,243,535</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1,235,378</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9"/>
              </w:rPr>
              <w:t>1,203,937</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1,143,647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North Carolina</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548,591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552,527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571,971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579,085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597,446</w:t>
            </w:r>
          </w:p>
        </w:tc>
      </w:tr>
      <w:tr>
        <w:trPr>
          <w:trHeight w:val="216"/>
        </w:trPr>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Coastal Georgia</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536,598</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455,709</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423,045</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400,022</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346,189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Gainesville MSA</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254,016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257,449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254,655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261,406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264,567</w:t>
            </w:r>
          </w:p>
        </w:tc>
      </w:tr>
      <w:tr>
        <w:trPr>
          <w:trHeight w:val="216"/>
        </w:trPr>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East Tennessee</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504,277</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280,312</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279,587</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282,863</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255,949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South Carolina</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819,560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29,786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shd w:val="clear" w:color="auto" w:fill="F0FFFF"/>
          </w:tcPr>
          <w:p>
            <w:pPr>
              <w:spacing w:after="0"/>
              <w:rPr>
                <w:sz w:val="20"/>
                <w:szCs w:val="20"/>
                <w:color w:val="auto"/>
              </w:rPr>
            </w:pPr>
            <w:r>
              <w:rPr>
                <w:rFonts w:ascii="Arial" w:cs="Arial" w:eastAsia="Arial" w:hAnsi="Arial"/>
                <w:sz w:val="18"/>
                <w:szCs w:val="18"/>
                <w:color w:val="auto"/>
              </w:rPr>
              <w:t>Specialized Lending</w:t>
            </w:r>
          </w:p>
        </w:tc>
        <w:tc>
          <w:tcPr>
            <w:tcW w:w="11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491,928</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420,693</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124,505</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45,533</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76,005</w:t>
            </w:r>
          </w:p>
        </w:tc>
      </w:tr>
      <w:tr>
        <w:trPr>
          <w:trHeight w:val="237"/>
        </w:trPr>
        <w:tc>
          <w:tcPr>
            <w:tcW w:w="4140" w:type="dxa"/>
            <w:vAlign w:val="bottom"/>
          </w:tcPr>
          <w:p>
            <w:pPr>
              <w:spacing w:after="0"/>
              <w:rPr>
                <w:sz w:val="20"/>
                <w:szCs w:val="20"/>
                <w:color w:val="auto"/>
              </w:rPr>
            </w:pPr>
            <w:r>
              <w:rPr>
                <w:rFonts w:ascii="Arial" w:cs="Arial" w:eastAsia="Arial" w:hAnsi="Arial"/>
                <w:sz w:val="18"/>
                <w:szCs w:val="18"/>
                <w:color w:val="auto"/>
              </w:rPr>
              <w:t>Indirect auto</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455,971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268,629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196,104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38,439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5"/>
        </w:trPr>
        <w:tc>
          <w:tcPr>
            <w:tcW w:w="4140" w:type="dxa"/>
            <w:vAlign w:val="bottom"/>
            <w:tcBorders>
              <w:top w:val="single" w:sz="8" w:color="F0FFFF"/>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Total loans</w:t>
            </w:r>
          </w:p>
        </w:tc>
        <w:tc>
          <w:tcPr>
            <w:tcW w:w="114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5,995,441</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4,672,119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4,329,266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4,175,008</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4,109,614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414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2015, United’s 25 largest credit relationships consisted of loans and loan commitments ranging from $27.5 million to $14.9 million, with an aggregate total credit exposure of $461 million. Total credit exposure includes $132 million in unfunded commitments and $328 million in balances outstanding, excluding participations sold. United had only eight lending relationships whose total credit exposure exceeded $20 million of which only two relationships were in excess of $25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maturity distribution of commercial and construction loans, including the interest rate sensitivity for loans maturing after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Loan Portfolio Maturity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spacing w:after="0"/>
              <w:rPr>
                <w:sz w:val="20"/>
                <w:szCs w:val="20"/>
                <w:color w:val="auto"/>
              </w:rPr>
            </w:pPr>
            <w:r>
              <w:rPr>
                <w:rFonts w:ascii="Arial" w:cs="Arial" w:eastAsia="Arial" w:hAnsi="Arial"/>
                <w:sz w:val="14"/>
                <w:szCs w:val="14"/>
                <w:b w:val="1"/>
                <w:bCs w:val="1"/>
                <w:color w:val="auto"/>
              </w:rPr>
              <w:t>Rate Structure for Loans</w:t>
            </w:r>
          </w:p>
        </w:tc>
      </w:tr>
      <w:tr>
        <w:trPr>
          <w:trHeight w:val="178"/>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4"/>
                <w:szCs w:val="14"/>
                <w:b w:val="1"/>
                <w:bCs w:val="1"/>
                <w:color w:val="auto"/>
              </w:rPr>
              <w:t>Maturity</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spacing w:after="0"/>
              <w:rPr>
                <w:sz w:val="20"/>
                <w:szCs w:val="20"/>
                <w:color w:val="auto"/>
              </w:rPr>
            </w:pPr>
            <w:r>
              <w:rPr>
                <w:rFonts w:ascii="Arial" w:cs="Arial" w:eastAsia="Arial" w:hAnsi="Arial"/>
                <w:sz w:val="14"/>
                <w:szCs w:val="14"/>
                <w:b w:val="1"/>
                <w:bCs w:val="1"/>
                <w:color w:val="auto"/>
              </w:rPr>
              <w:t>Maturing Over One Year</w:t>
            </w:r>
          </w:p>
        </w:tc>
      </w:tr>
      <w:tr>
        <w:trPr>
          <w:trHeight w:val="139"/>
        </w:trPr>
        <w:tc>
          <w:tcPr>
            <w:tcW w:w="5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4"/>
              </w:rPr>
              <w:t>One Year</w:t>
            </w:r>
          </w:p>
        </w:tc>
        <w:tc>
          <w:tcPr>
            <w:tcW w:w="1040" w:type="dxa"/>
            <w:vAlign w:val="bottom"/>
            <w:tcBorders>
              <w:top w:val="single" w:sz="8" w:color="auto"/>
            </w:tcBorders>
            <w:gridSpan w:val="3"/>
          </w:tcPr>
          <w:p>
            <w:pPr>
              <w:spacing w:after="0" w:line="139" w:lineRule="exact"/>
              <w:rPr>
                <w:sz w:val="20"/>
                <w:szCs w:val="20"/>
                <w:color w:val="auto"/>
              </w:rPr>
            </w:pPr>
            <w:r>
              <w:rPr>
                <w:rFonts w:ascii="Arial" w:cs="Arial" w:eastAsia="Arial" w:hAnsi="Arial"/>
                <w:sz w:val="14"/>
                <w:szCs w:val="14"/>
                <w:b w:val="1"/>
                <w:bCs w:val="1"/>
                <w:color w:val="auto"/>
              </w:rPr>
              <w:t>One through</w:t>
            </w:r>
          </w:p>
        </w:tc>
        <w:tc>
          <w:tcPr>
            <w:tcW w:w="1000" w:type="dxa"/>
            <w:vAlign w:val="bottom"/>
            <w:tcBorders>
              <w:top w:val="single" w:sz="8" w:color="auto"/>
            </w:tcBorders>
            <w:gridSpan w:val="3"/>
          </w:tcPr>
          <w:p>
            <w:pPr>
              <w:jc w:val="center"/>
              <w:ind w:right="220"/>
              <w:spacing w:after="0" w:line="139" w:lineRule="exact"/>
              <w:rPr>
                <w:sz w:val="20"/>
                <w:szCs w:val="20"/>
                <w:color w:val="auto"/>
              </w:rPr>
            </w:pPr>
            <w:r>
              <w:rPr>
                <w:rFonts w:ascii="Arial" w:cs="Arial" w:eastAsia="Arial" w:hAnsi="Arial"/>
                <w:sz w:val="14"/>
                <w:szCs w:val="14"/>
                <w:b w:val="1"/>
                <w:bCs w:val="1"/>
                <w:color w:val="auto"/>
                <w:w w:val="97"/>
              </w:rPr>
              <w:t>Over Five</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100"/>
              <w:spacing w:after="0" w:line="139" w:lineRule="exact"/>
              <w:rPr>
                <w:sz w:val="20"/>
                <w:szCs w:val="20"/>
                <w:color w:val="auto"/>
              </w:rPr>
            </w:pPr>
            <w:r>
              <w:rPr>
                <w:rFonts w:ascii="Arial" w:cs="Arial" w:eastAsia="Arial" w:hAnsi="Arial"/>
                <w:sz w:val="14"/>
                <w:szCs w:val="14"/>
                <w:b w:val="1"/>
                <w:bCs w:val="1"/>
                <w:color w:val="auto"/>
              </w:rPr>
              <w:t>Fixed</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37"/>
              <w:spacing w:after="0" w:line="139" w:lineRule="exact"/>
              <w:rPr>
                <w:sz w:val="20"/>
                <w:szCs w:val="20"/>
                <w:color w:val="auto"/>
              </w:rPr>
            </w:pPr>
            <w:r>
              <w:rPr>
                <w:rFonts w:ascii="Arial" w:cs="Arial" w:eastAsia="Arial" w:hAnsi="Arial"/>
                <w:sz w:val="14"/>
                <w:szCs w:val="14"/>
                <w:b w:val="1"/>
                <w:bCs w:val="1"/>
                <w:color w:val="auto"/>
                <w:w w:val="95"/>
              </w:rPr>
              <w:t>Floating</w:t>
            </w:r>
          </w:p>
        </w:tc>
        <w:tc>
          <w:tcPr>
            <w:tcW w:w="100" w:type="dxa"/>
            <w:vAlign w:val="bottom"/>
          </w:tcPr>
          <w:p>
            <w:pPr>
              <w:spacing w:after="0"/>
              <w:rPr>
                <w:sz w:val="12"/>
                <w:szCs w:val="12"/>
                <w:color w:val="auto"/>
              </w:rPr>
            </w:pPr>
          </w:p>
        </w:tc>
      </w:tr>
      <w:tr>
        <w:trPr>
          <w:trHeight w:val="178"/>
        </w:trPr>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or Less</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Five Years</w:t>
            </w:r>
          </w:p>
        </w:tc>
        <w:tc>
          <w:tcPr>
            <w:tcW w:w="180" w:type="dxa"/>
            <w:vAlign w:val="bottom"/>
          </w:tcPr>
          <w:p>
            <w:pPr>
              <w:spacing w:after="0"/>
              <w:rPr>
                <w:sz w:val="15"/>
                <w:szCs w:val="15"/>
                <w:color w:val="auto"/>
              </w:rPr>
            </w:pPr>
          </w:p>
        </w:tc>
        <w:tc>
          <w:tcPr>
            <w:tcW w:w="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Rate</w:t>
            </w:r>
          </w:p>
        </w:tc>
        <w:tc>
          <w:tcPr>
            <w:tcW w:w="12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Rate</w:t>
            </w:r>
          </w:p>
        </w:tc>
      </w:tr>
      <w:tr>
        <w:trPr>
          <w:trHeight w:val="216"/>
        </w:trPr>
        <w:tc>
          <w:tcPr>
            <w:tcW w:w="53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Commercial (commercial and industrial)</w:t>
            </w: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232,987</w:t>
            </w:r>
          </w:p>
        </w:tc>
        <w:tc>
          <w:tcPr>
            <w:tcW w:w="2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F0FFFF"/>
          </w:tcPr>
          <w:p>
            <w:pPr>
              <w:ind w:left="60"/>
              <w:spacing w:after="0"/>
              <w:rPr>
                <w:sz w:val="20"/>
                <w:szCs w:val="20"/>
                <w:color w:val="auto"/>
              </w:rPr>
            </w:pPr>
            <w:r>
              <w:rPr>
                <w:rFonts w:ascii="Arial" w:cs="Arial" w:eastAsia="Arial" w:hAnsi="Arial"/>
                <w:sz w:val="18"/>
                <w:szCs w:val="18"/>
                <w:color w:val="auto"/>
                <w:w w:val="86"/>
              </w:rPr>
              <w:t>405,021</w:t>
            </w:r>
          </w:p>
        </w:tc>
        <w:tc>
          <w:tcPr>
            <w:tcW w:w="2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9"/>
              </w:rPr>
              <w:t>147,409</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785,417</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F0FFFF"/>
          </w:tcPr>
          <w:p>
            <w:pPr>
              <w:ind w:left="80"/>
              <w:spacing w:after="0"/>
              <w:rPr>
                <w:sz w:val="20"/>
                <w:szCs w:val="20"/>
                <w:color w:val="auto"/>
              </w:rPr>
            </w:pPr>
            <w:r>
              <w:rPr>
                <w:rFonts w:ascii="Arial" w:cs="Arial" w:eastAsia="Arial" w:hAnsi="Arial"/>
                <w:sz w:val="18"/>
                <w:szCs w:val="18"/>
                <w:color w:val="auto"/>
                <w:w w:val="89"/>
              </w:rPr>
              <w:t>273,651</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278,779</w:t>
            </w:r>
          </w:p>
        </w:tc>
        <w:tc>
          <w:tcPr>
            <w:tcW w:w="100" w:type="dxa"/>
            <w:vAlign w:val="bottom"/>
            <w:tcBorders>
              <w:top w:val="single" w:sz="8" w:color="F0FFFF"/>
            </w:tcBorders>
            <w:shd w:val="clear" w:color="auto" w:fill="F0FFFF"/>
          </w:tcPr>
          <w:p>
            <w:pPr>
              <w:spacing w:after="0"/>
              <w:rPr>
                <w:sz w:val="18"/>
                <w:szCs w:val="18"/>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Construction (commercial and residential)</w:t>
            </w: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273,856</w:t>
            </w:r>
          </w:p>
        </w:tc>
        <w:tc>
          <w:tcPr>
            <w:tcW w:w="1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color w:val="auto"/>
              </w:rPr>
              <w:t>273,598</w:t>
            </w: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146,324</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693,778</w:t>
            </w:r>
          </w:p>
        </w:tc>
        <w:tc>
          <w:tcPr>
            <w:tcW w:w="120" w:type="dxa"/>
            <w:vAlign w:val="bottom"/>
          </w:tcPr>
          <w:p>
            <w:pPr>
              <w:spacing w:after="0"/>
              <w:rPr>
                <w:sz w:val="20"/>
                <w:szCs w:val="20"/>
                <w:color w:val="auto"/>
              </w:rPr>
            </w:pPr>
          </w:p>
        </w:tc>
        <w:tc>
          <w:tcPr>
            <w:tcW w:w="880" w:type="dxa"/>
            <w:vAlign w:val="bottom"/>
            <w:gridSpan w:val="2"/>
          </w:tcPr>
          <w:p>
            <w:pPr>
              <w:ind w:left="80"/>
              <w:spacing w:after="0"/>
              <w:rPr>
                <w:sz w:val="20"/>
                <w:szCs w:val="20"/>
                <w:color w:val="auto"/>
              </w:rPr>
            </w:pPr>
            <w:r>
              <w:rPr>
                <w:rFonts w:ascii="Arial" w:cs="Arial" w:eastAsia="Arial" w:hAnsi="Arial"/>
                <w:sz w:val="18"/>
                <w:szCs w:val="18"/>
                <w:color w:val="auto"/>
              </w:rPr>
              <w:t>155,898</w:t>
            </w: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264,024</w:t>
            </w:r>
          </w:p>
        </w:tc>
      </w:tr>
      <w:tr>
        <w:trPr>
          <w:trHeight w:val="255"/>
        </w:trPr>
        <w:tc>
          <w:tcPr>
            <w:tcW w:w="5380" w:type="dxa"/>
            <w:vAlign w:val="bottom"/>
            <w:tcBorders>
              <w:top w:val="single" w:sz="8" w:color="F0FFFF"/>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506,843</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F0FFFF"/>
          </w:tcPr>
          <w:p>
            <w:pPr>
              <w:ind w:left="60"/>
              <w:spacing w:after="0"/>
              <w:rPr>
                <w:sz w:val="20"/>
                <w:szCs w:val="20"/>
                <w:color w:val="auto"/>
              </w:rPr>
            </w:pPr>
            <w:r>
              <w:rPr>
                <w:rFonts w:ascii="Arial" w:cs="Arial" w:eastAsia="Arial" w:hAnsi="Arial"/>
                <w:sz w:val="18"/>
                <w:szCs w:val="18"/>
                <w:color w:val="auto"/>
                <w:w w:val="86"/>
              </w:rPr>
              <w:t>678,619</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ind w:right="26"/>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9"/>
              </w:rPr>
              <w:t>293,733</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9"/>
              </w:rPr>
              <w:t>1,479,195</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F0FFFF"/>
          </w:tcPr>
          <w:p>
            <w:pPr>
              <w:ind w:left="80"/>
              <w:spacing w:after="0"/>
              <w:rPr>
                <w:sz w:val="20"/>
                <w:szCs w:val="20"/>
                <w:color w:val="auto"/>
              </w:rPr>
            </w:pPr>
            <w:r>
              <w:rPr>
                <w:rFonts w:ascii="Arial" w:cs="Arial" w:eastAsia="Arial" w:hAnsi="Arial"/>
                <w:sz w:val="18"/>
                <w:szCs w:val="18"/>
                <w:color w:val="auto"/>
                <w:w w:val="89"/>
              </w:rPr>
              <w:t>429,549</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542,803</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53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7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r>
        <w:trPr>
          <w:trHeight w:val="622"/>
        </w:trPr>
        <w:tc>
          <w:tcPr>
            <w:tcW w:w="53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jc w:val="right"/>
              <w:ind w:right="296"/>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of the community banks and specialized lending areas. Additional information on United’s credit administration function is included in Item 1 under the heading “Loan Review and Nonperforming Assets.”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classifies performing loans as “substandard” when there is a well-defined weakness or weaknesses that jeopardizes the repayment by the borrower and there is a distinct possibility that United could sustain some loss if the deficiency is not corrected.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December 31, 2015 and 2014, the funded portion of home equity lines totaled $598 million and $466 million, respectively. Approximately 3% of the home equity loans at December 31, 2015 were amortizing. Of the $598 million in balances outstanding at December 31, 2015, $359 million, or 60%, were first liens. At December 31, 2015, 57% of the total available home equity lines were drawn upon.</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classified loans for the last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10 - Performing Classified Loans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4"/>
                <w:szCs w:val="14"/>
                <w:color w:val="auto"/>
              </w:rPr>
            </w:pPr>
          </w:p>
        </w:tc>
        <w:tc>
          <w:tcPr>
            <w:tcW w:w="110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Borders>
              <w:bottom w:val="single" w:sz="8" w:color="F0FFFF"/>
            </w:tcBorders>
          </w:tcPr>
          <w:p>
            <w:pPr>
              <w:spacing w:after="0"/>
              <w:rPr>
                <w:sz w:val="15"/>
                <w:szCs w:val="15"/>
                <w:color w:val="auto"/>
              </w:rPr>
            </w:pPr>
          </w:p>
        </w:tc>
        <w:tc>
          <w:tcPr>
            <w:tcW w:w="1140" w:type="dxa"/>
            <w:vAlign w:val="bottom"/>
            <w:tcBorders>
              <w:bottom w:val="single" w:sz="8" w:color="F0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F0FFFF"/>
            </w:tcBorders>
          </w:tcPr>
          <w:p>
            <w:pPr>
              <w:spacing w:after="0"/>
              <w:rPr>
                <w:sz w:val="15"/>
                <w:szCs w:val="15"/>
                <w:color w:val="auto"/>
              </w:rPr>
            </w:pPr>
          </w:p>
        </w:tc>
        <w:tc>
          <w:tcPr>
            <w:tcW w:w="120" w:type="dxa"/>
            <w:vAlign w:val="bottom"/>
            <w:tcBorders>
              <w:bottom w:val="single" w:sz="8" w:color="F0FF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F0FFFF"/>
            </w:tcBorders>
          </w:tcPr>
          <w:p>
            <w:pPr>
              <w:spacing w:after="0"/>
              <w:rPr>
                <w:sz w:val="15"/>
                <w:szCs w:val="15"/>
                <w:color w:val="auto"/>
              </w:rPr>
            </w:pPr>
          </w:p>
        </w:tc>
        <w:tc>
          <w:tcPr>
            <w:tcW w:w="12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F0FFFF"/>
            </w:tcBorders>
          </w:tcPr>
          <w:p>
            <w:pPr>
              <w:spacing w:after="0"/>
              <w:rPr>
                <w:sz w:val="15"/>
                <w:szCs w:val="15"/>
                <w:color w:val="auto"/>
              </w:rPr>
            </w:pPr>
          </w:p>
        </w:tc>
        <w:tc>
          <w:tcPr>
            <w:tcW w:w="12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F0FFFF"/>
            </w:tcBorders>
          </w:tcPr>
          <w:p>
            <w:pPr>
              <w:spacing w:after="0"/>
              <w:rPr>
                <w:sz w:val="15"/>
                <w:szCs w:val="15"/>
                <w:color w:val="auto"/>
              </w:rPr>
            </w:pPr>
          </w:p>
        </w:tc>
        <w:tc>
          <w:tcPr>
            <w:tcW w:w="2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2011</w:t>
            </w:r>
          </w:p>
        </w:tc>
        <w:tc>
          <w:tcPr>
            <w:tcW w:w="20" w:type="dxa"/>
            <w:vAlign w:val="bottom"/>
            <w:tcBorders>
              <w:bottom w:val="single" w:sz="8" w:color="F0FFFF"/>
            </w:tcBorders>
          </w:tcPr>
          <w:p>
            <w:pPr>
              <w:spacing w:after="0"/>
              <w:rPr>
                <w:sz w:val="15"/>
                <w:szCs w:val="15"/>
                <w:color w:val="auto"/>
              </w:rPr>
            </w:pPr>
          </w:p>
        </w:tc>
        <w:tc>
          <w:tcPr>
            <w:tcW w:w="80" w:type="dxa"/>
            <w:vAlign w:val="bottom"/>
            <w:tcBorders>
              <w:bottom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Category</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39,886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46,401</w:t>
            </w:r>
          </w:p>
        </w:tc>
        <w:tc>
          <w:tcPr>
            <w:tcW w:w="340" w:type="dxa"/>
            <w:vAlign w:val="bottom"/>
            <w:gridSpan w:val="2"/>
          </w:tcPr>
          <w:p>
            <w:pPr>
              <w:jc w:val="right"/>
              <w:ind w:right="3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43,083</w:t>
            </w:r>
          </w:p>
        </w:tc>
        <w:tc>
          <w:tcPr>
            <w:tcW w:w="34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64,936</w:t>
            </w:r>
          </w:p>
        </w:tc>
        <w:tc>
          <w:tcPr>
            <w:tcW w:w="220" w:type="dxa"/>
            <w:vAlign w:val="bottom"/>
            <w:gridSpan w:val="2"/>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78,969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30,047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20,560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34,642</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52,607</w:t>
            </w:r>
          </w:p>
        </w:tc>
        <w:tc>
          <w:tcPr>
            <w:tcW w:w="220" w:type="dxa"/>
            <w:vAlign w:val="bottom"/>
            <w:gridSpan w:val="2"/>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64,089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7,863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9,589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18,477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15,753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1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1,406</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3,566</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16,758</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19,285</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18,510</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top w:val="single" w:sz="8" w:color="F0FFFF"/>
            </w:tcBorders>
          </w:tcPr>
          <w:p>
            <w:pPr>
              <w:ind w:left="320"/>
              <w:spacing w:after="0" w:line="203" w:lineRule="exact"/>
              <w:rPr>
                <w:sz w:val="20"/>
                <w:szCs w:val="20"/>
                <w:color w:val="auto"/>
              </w:rPr>
            </w:pPr>
            <w:r>
              <w:rPr>
                <w:rFonts w:ascii="Arial" w:cs="Arial" w:eastAsia="Arial" w:hAnsi="Arial"/>
                <w:sz w:val="18"/>
                <w:szCs w:val="18"/>
                <w:color w:val="auto"/>
              </w:rPr>
              <w:t>Total commercial</w:t>
            </w:r>
          </w:p>
        </w:tc>
        <w:tc>
          <w:tcPr>
            <w:tcW w:w="114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77,306</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78,390</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104,072</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155,305</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177,321</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30,519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31,831</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44,022</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55,355</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65,649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Home equity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5,296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7,967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9,824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10,793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10,764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10,920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14,104</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37,804</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71,955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Consumer installment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3,653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tcBorders>
              <w:top w:val="single" w:sz="8" w:color="F0FFFF"/>
            </w:tcBorders>
          </w:tcPr>
          <w:p>
            <w:pPr>
              <w:ind w:left="3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127,527</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128,393</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172,703</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261,941</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328,469</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F0FFFF"/>
            </w:tcBorders>
          </w:tcPr>
          <w:p>
            <w:pPr>
              <w:spacing w:after="0" w:line="20" w:lineRule="exact"/>
              <w:rPr>
                <w:sz w:val="1"/>
                <w:szCs w:val="1"/>
                <w:color w:val="auto"/>
              </w:rPr>
            </w:pPr>
          </w:p>
        </w:tc>
        <w:tc>
          <w:tcPr>
            <w:tcW w:w="1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North Georgia</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46,668</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55,821</w:t>
            </w:r>
          </w:p>
        </w:tc>
        <w:tc>
          <w:tcPr>
            <w:tcW w:w="340" w:type="dxa"/>
            <w:vAlign w:val="bottom"/>
            <w:gridSpan w:val="2"/>
            <w:shd w:val="clear" w:color="auto" w:fill="F0FFFF"/>
          </w:tcPr>
          <w:p>
            <w:pPr>
              <w:jc w:val="right"/>
              <w:ind w:right="36"/>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69,510</w:t>
            </w:r>
          </w:p>
        </w:tc>
        <w:tc>
          <w:tcPr>
            <w:tcW w:w="340" w:type="dxa"/>
            <w:vAlign w:val="bottom"/>
            <w:gridSpan w:val="2"/>
            <w:shd w:val="clear" w:color="auto" w:fill="F0FFFF"/>
          </w:tcPr>
          <w:p>
            <w:pPr>
              <w:jc w:val="right"/>
              <w:ind w:right="6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105,851</w:t>
            </w:r>
          </w:p>
        </w:tc>
        <w:tc>
          <w:tcPr>
            <w:tcW w:w="220" w:type="dxa"/>
            <w:vAlign w:val="bottom"/>
            <w:gridSpan w:val="2"/>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134,945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Atlanta MSA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25,723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31,201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42,955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75,305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88,614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North Carolina</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14,087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16,479</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18,954</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28,657</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40,302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Coastal Georgia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15,642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18,561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17,421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24,985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Gainesville MSA</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14,916</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19,251</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17,338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East Tennessee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13,131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11,446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South Carolina</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23,620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Specialized lending</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2,325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10,839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2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1,213</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574</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2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loans</w:t>
            </w:r>
          </w:p>
        </w:tc>
        <w:tc>
          <w:tcPr>
            <w:tcW w:w="114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127,527</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128,393</w:t>
            </w: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172,703</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261,941</w:t>
            </w:r>
          </w:p>
        </w:tc>
        <w:tc>
          <w:tcPr>
            <w:tcW w:w="22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328,469</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31, 2015, performing classified loans totaled $128 million and decreased $866,000 from December 31, 2014. The decrease from 2014 reflects a general declining trend, partially offset by an increase due to the acquisitions in 2015. Performing classified loans have been on a downward trend as credit conditions have continued to improve and problem credits are resolved.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spacing w:after="0" w:line="297" w:lineRule="auto"/>
        <w:rPr>
          <w:sz w:val="20"/>
          <w:szCs w:val="20"/>
          <w:color w:val="auto"/>
        </w:rPr>
      </w:pPr>
      <w:r>
        <w:rPr>
          <w:rFonts w:ascii="Arial" w:cs="Arial" w:eastAsia="Arial" w:hAnsi="Arial"/>
          <w:sz w:val="16"/>
          <w:szCs w:val="16"/>
          <w:color w:val="auto"/>
        </w:rPr>
        <w:t>Reviews of classified performing and non-performing loans, TDRs, past due loans and larger credits, are conducted on a regular basis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United’s internal loan review, United also uses external loan review to ensure the objectivity of the loan review process.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declining level of the allowance for loan losses compared to the previous periods reflects stabilizing trends in substandard and nonperforming loans as well as charge-off levels. Further, the declining balance of the allowance for loan losses over the last several quarters reflects an overall improving trend in the credit quality of the loan portfolio. A general improvement in economic conditions in United’s market also contributed to the lower level of provision and allowance for loan losses.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allocation of the allowance for credit losses is based on historical data, subjective judgment and estimates and, therefore, is not necessarily indicative of the specific amounts or loan categories in which charge-offs may ultimately occur. In 2014, United incorporated a loss emergence period into its allowance for loan losses analysis. The increase in precision resulting from the loss emergence period resulted in full allocation of the previously unallocated portion of the allowance.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allowance for credit losses for each of the past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Allocation of Allowance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Amount</w:t>
            </w: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w w:val="95"/>
              </w:rPr>
              <w:t>Commercial (secured by real estate)</w:t>
            </w:r>
          </w:p>
        </w:tc>
        <w:tc>
          <w:tcPr>
            <w:tcW w:w="2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24,967</w:t>
            </w:r>
          </w:p>
        </w:tc>
        <w:tc>
          <w:tcPr>
            <w:tcW w:w="240" w:type="dxa"/>
            <w:vAlign w:val="bottom"/>
            <w:tcBorders>
              <w:top w:val="single" w:sz="8" w:color="F0FFFF"/>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26,337</w:t>
            </w:r>
          </w:p>
        </w:tc>
        <w:tc>
          <w:tcPr>
            <w:tcW w:w="240" w:type="dxa"/>
            <w:vAlign w:val="bottom"/>
            <w:tcBorders>
              <w:top w:val="single" w:sz="8" w:color="F0FFFF"/>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4"/>
              </w:rPr>
              <w:t>24,338</w:t>
            </w:r>
          </w:p>
        </w:tc>
        <w:tc>
          <w:tcPr>
            <w:tcW w:w="220" w:type="dxa"/>
            <w:vAlign w:val="bottom"/>
            <w:tcBorders>
              <w:top w:val="single" w:sz="8" w:color="F0FFFF"/>
            </w:tcBorders>
            <w:shd w:val="clear" w:color="auto" w:fill="F0FFFF"/>
          </w:tcPr>
          <w:p>
            <w:pPr>
              <w:spacing w:after="0"/>
              <w:rPr>
                <w:sz w:val="18"/>
                <w:szCs w:val="18"/>
                <w:color w:val="auto"/>
              </w:rPr>
            </w:pPr>
          </w:p>
        </w:tc>
        <w:tc>
          <w:tcPr>
            <w:tcW w:w="5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27,847</w:t>
            </w:r>
          </w:p>
        </w:tc>
        <w:tc>
          <w:tcPr>
            <w:tcW w:w="220" w:type="dxa"/>
            <w:vAlign w:val="bottom"/>
            <w:tcBorders>
              <w:top w:val="single" w:sz="8" w:color="F0FFFF"/>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31,644</w:t>
            </w:r>
          </w:p>
        </w:tc>
        <w:tc>
          <w:tcPr>
            <w:tcW w:w="220" w:type="dxa"/>
            <w:vAlign w:val="bottom"/>
            <w:tcBorders>
              <w:top w:val="single" w:sz="8" w:color="F0FFFF"/>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4,442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3,255</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6,527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5,537</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5,681</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2800" w:type="dxa"/>
            <w:vAlign w:val="bottom"/>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20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5,583</w:t>
            </w: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4,747</w:t>
            </w: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3,669</w:t>
            </w: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8,389</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6,097</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800" w:type="dxa"/>
            <w:vAlign w:val="bottom"/>
            <w:tcBorders>
              <w:top w:val="single" w:sz="8" w:color="F0FFFF"/>
            </w:tcBorders>
          </w:tcPr>
          <w:p>
            <w:pPr>
              <w:ind w:left="180"/>
              <w:spacing w:after="0" w:line="203" w:lineRule="exact"/>
              <w:rPr>
                <w:sz w:val="20"/>
                <w:szCs w:val="20"/>
                <w:color w:val="auto"/>
              </w:rPr>
            </w:pPr>
            <w:r>
              <w:rPr>
                <w:rFonts w:ascii="Arial" w:cs="Arial" w:eastAsia="Arial" w:hAnsi="Arial"/>
                <w:sz w:val="18"/>
                <w:szCs w:val="18"/>
                <w:color w:val="auto"/>
              </w:rPr>
              <w:t>Total commercial</w:t>
            </w:r>
          </w:p>
        </w:tc>
        <w:tc>
          <w:tcPr>
            <w:tcW w:w="20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34,992</w:t>
            </w:r>
          </w:p>
        </w:tc>
        <w:tc>
          <w:tcPr>
            <w:tcW w:w="240" w:type="dxa"/>
            <w:vAlign w:val="bottom"/>
            <w:tcBorders>
              <w:top w:val="single" w:sz="8" w:color="F0FFFF"/>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w:t>
            </w: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34,339</w:t>
            </w:r>
          </w:p>
        </w:tc>
        <w:tc>
          <w:tcPr>
            <w:tcW w:w="240" w:type="dxa"/>
            <w:vAlign w:val="bottom"/>
            <w:tcBorders>
              <w:top w:val="single" w:sz="8" w:color="F0FFFF"/>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34,534</w:t>
            </w:r>
          </w:p>
        </w:tc>
        <w:tc>
          <w:tcPr>
            <w:tcW w:w="220" w:type="dxa"/>
            <w:vAlign w:val="bottom"/>
            <w:tcBorders>
              <w:top w:val="single" w:sz="8" w:color="F0FFFF"/>
            </w:tcBorders>
          </w:tcPr>
          <w:p>
            <w:pPr>
              <w:spacing w:after="0"/>
              <w:rPr>
                <w:sz w:val="17"/>
                <w:szCs w:val="17"/>
                <w:color w:val="auto"/>
              </w:rPr>
            </w:pPr>
          </w:p>
        </w:tc>
        <w:tc>
          <w:tcPr>
            <w:tcW w:w="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55</w:t>
            </w: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41,773</w:t>
            </w:r>
          </w:p>
        </w:tc>
        <w:tc>
          <w:tcPr>
            <w:tcW w:w="220" w:type="dxa"/>
            <w:vAlign w:val="bottom"/>
            <w:tcBorders>
              <w:top w:val="single" w:sz="8" w:color="F0FFFF"/>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w:t>
            </w:r>
          </w:p>
        </w:tc>
        <w:tc>
          <w:tcPr>
            <w:tcW w:w="2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43,422</w:t>
            </w:r>
          </w:p>
        </w:tc>
        <w:tc>
          <w:tcPr>
            <w:tcW w:w="220" w:type="dxa"/>
            <w:vAlign w:val="bottom"/>
            <w:tcBorders>
              <w:top w:val="single" w:sz="8" w:color="F0FFFF"/>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58</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23,274</w:t>
            </w: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24,885</w:t>
            </w: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94"/>
              </w:rPr>
              <w:t>20,974</w:t>
            </w: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26,642</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29,076</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7,961</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10,603</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12,532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26,662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30,379</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80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2,221</w:t>
            </w: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1,792</w:t>
            </w: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2,479</w:t>
            </w: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2,747</w:t>
            </w: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2,124</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Unallocated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6,243</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9,313</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9,467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00" w:type="dxa"/>
            <w:vAlign w:val="bottom"/>
            <w:vMerge w:val="restart"/>
            <w:shd w:val="clear" w:color="auto" w:fill="F0FFFF"/>
          </w:tcPr>
          <w:p>
            <w:pPr>
              <w:ind w:left="180"/>
              <w:spacing w:after="0"/>
              <w:rPr>
                <w:sz w:val="20"/>
                <w:szCs w:val="20"/>
                <w:color w:val="auto"/>
              </w:rPr>
            </w:pPr>
            <w:r>
              <w:rPr>
                <w:rFonts w:ascii="Arial" w:cs="Arial" w:eastAsia="Arial" w:hAnsi="Arial"/>
                <w:sz w:val="18"/>
                <w:szCs w:val="18"/>
                <w:color w:val="auto"/>
              </w:rPr>
              <w:t>Total allowance for loan losses</w:t>
            </w:r>
          </w:p>
        </w:tc>
        <w:tc>
          <w:tcPr>
            <w:tcW w:w="2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vMerge w:val="restart"/>
            <w:shd w:val="clear" w:color="auto" w:fill="F0FF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vMerge w:val="restart"/>
            <w:shd w:val="clear" w:color="auto" w:fill="F0FF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vMerge w:val="restart"/>
            <w:shd w:val="clear" w:color="auto" w:fill="F0FF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vMerge w:val="restart"/>
            <w:shd w:val="clear" w:color="auto" w:fill="F0FF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vMerge w:val="restart"/>
            <w:shd w:val="clear" w:color="auto" w:fill="F0FF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800" w:type="dxa"/>
            <w:vAlign w:val="bottom"/>
            <w:vMerge w:val="continue"/>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6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68,448</w:t>
            </w:r>
          </w:p>
        </w:tc>
        <w:tc>
          <w:tcPr>
            <w:tcW w:w="240" w:type="dxa"/>
            <w:vAlign w:val="bottom"/>
            <w:vMerge w:val="continue"/>
            <w:shd w:val="clear" w:color="auto" w:fill="F0FFFF"/>
          </w:tcPr>
          <w:p>
            <w:pPr>
              <w:spacing w:after="0"/>
              <w:rPr>
                <w:sz w:val="22"/>
                <w:szCs w:val="22"/>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71,619</w:t>
            </w:r>
          </w:p>
        </w:tc>
        <w:tc>
          <w:tcPr>
            <w:tcW w:w="240" w:type="dxa"/>
            <w:vAlign w:val="bottom"/>
            <w:vMerge w:val="continue"/>
            <w:shd w:val="clear" w:color="auto" w:fill="F0FFFF"/>
          </w:tcPr>
          <w:p>
            <w:pPr>
              <w:spacing w:after="0"/>
              <w:rPr>
                <w:sz w:val="22"/>
                <w:szCs w:val="22"/>
                <w:color w:val="auto"/>
              </w:rPr>
            </w:pP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4"/>
              </w:rPr>
              <w:t>76,762</w:t>
            </w:r>
          </w:p>
        </w:tc>
        <w:tc>
          <w:tcPr>
            <w:tcW w:w="220" w:type="dxa"/>
            <w:vAlign w:val="bottom"/>
            <w:vMerge w:val="continue"/>
            <w:shd w:val="clear" w:color="auto" w:fill="F0FFFF"/>
          </w:tcPr>
          <w:p>
            <w:pPr>
              <w:spacing w:after="0"/>
              <w:rPr>
                <w:sz w:val="22"/>
                <w:szCs w:val="22"/>
                <w:color w:val="auto"/>
              </w:rPr>
            </w:pP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F0FFFF"/>
          </w:tcPr>
          <w:p>
            <w:pPr>
              <w:spacing w:after="0"/>
              <w:rPr>
                <w:sz w:val="22"/>
                <w:szCs w:val="22"/>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9"/>
              </w:rPr>
              <w:t>107,137</w:t>
            </w:r>
          </w:p>
        </w:tc>
        <w:tc>
          <w:tcPr>
            <w:tcW w:w="220" w:type="dxa"/>
            <w:vAlign w:val="bottom"/>
            <w:vMerge w:val="continue"/>
            <w:shd w:val="clear" w:color="auto" w:fill="F0FFFF"/>
          </w:tcPr>
          <w:p>
            <w:pPr>
              <w:spacing w:after="0"/>
              <w:rPr>
                <w:sz w:val="22"/>
                <w:szCs w:val="22"/>
                <w:color w:val="auto"/>
              </w:rPr>
            </w:pPr>
          </w:p>
        </w:tc>
        <w:tc>
          <w:tcPr>
            <w:tcW w:w="7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F0FFFF"/>
          </w:tcPr>
          <w:p>
            <w:pPr>
              <w:spacing w:after="0"/>
              <w:rPr>
                <w:sz w:val="22"/>
                <w:szCs w:val="22"/>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9"/>
              </w:rPr>
              <w:t>114,468</w:t>
            </w:r>
          </w:p>
        </w:tc>
        <w:tc>
          <w:tcPr>
            <w:tcW w:w="220" w:type="dxa"/>
            <w:vAlign w:val="bottom"/>
            <w:vMerge w:val="continue"/>
            <w:shd w:val="clear" w:color="auto" w:fill="F0FFFF"/>
          </w:tcPr>
          <w:p>
            <w:pPr>
              <w:spacing w:after="0"/>
              <w:rPr>
                <w:sz w:val="22"/>
                <w:szCs w:val="22"/>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800" w:type="dxa"/>
            <w:vAlign w:val="bottom"/>
            <w:tcBorders>
              <w:top w:val="single" w:sz="8" w:color="F0FFFF"/>
              <w:bottom w:val="single" w:sz="8" w:color="F0FFFF"/>
            </w:tcBorders>
            <w:vMerge w:val="restart"/>
          </w:tcPr>
          <w:p>
            <w:pPr>
              <w:ind w:left="180"/>
              <w:spacing w:after="0" w:line="189" w:lineRule="exact"/>
              <w:rPr>
                <w:sz w:val="20"/>
                <w:szCs w:val="20"/>
                <w:color w:val="auto"/>
              </w:rPr>
            </w:pPr>
            <w:r>
              <w:rPr>
                <w:rFonts w:ascii="Arial" w:cs="Arial" w:eastAsia="Arial" w:hAnsi="Arial"/>
                <w:sz w:val="18"/>
                <w:szCs w:val="18"/>
                <w:color w:val="auto"/>
              </w:rPr>
              <w:t>Allowance for unfunded</w:t>
            </w:r>
          </w:p>
        </w:tc>
        <w:tc>
          <w:tcPr>
            <w:tcW w:w="2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2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6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800" w:type="dxa"/>
            <w:vAlign w:val="bottom"/>
          </w:tcPr>
          <w:p>
            <w:pPr>
              <w:ind w:left="180"/>
              <w:spacing w:after="0"/>
              <w:rPr>
                <w:sz w:val="20"/>
                <w:szCs w:val="20"/>
                <w:color w:val="auto"/>
              </w:rPr>
            </w:pPr>
            <w:r>
              <w:rPr>
                <w:rFonts w:ascii="Arial" w:cs="Arial" w:eastAsia="Arial" w:hAnsi="Arial"/>
                <w:sz w:val="18"/>
                <w:szCs w:val="18"/>
                <w:color w:val="auto"/>
              </w:rPr>
              <w:t>commitments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2,542</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1,930</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2,165</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800" w:type="dxa"/>
            <w:vAlign w:val="bottom"/>
            <w:tcBorders>
              <w:top w:val="single" w:sz="8" w:color="F0FFFF"/>
              <w:bottom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Total allowance for credit losses</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70,990</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5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73,549</w:t>
            </w:r>
          </w:p>
        </w:tc>
        <w:tc>
          <w:tcPr>
            <w:tcW w:w="240" w:type="dxa"/>
            <w:vAlign w:val="bottom"/>
            <w:tcBorders>
              <w:top w:val="single" w:sz="8" w:color="F0FFFF"/>
              <w:bottom w:val="single" w:sz="8" w:color="F0FFFF"/>
            </w:tcBorders>
            <w:shd w:val="clear" w:color="auto" w:fill="F0FFFF"/>
          </w:tcPr>
          <w:p>
            <w:pPr>
              <w:spacing w:after="0"/>
              <w:rPr>
                <w:sz w:val="21"/>
                <w:szCs w:val="21"/>
                <w:color w:val="auto"/>
              </w:rPr>
            </w:pPr>
          </w:p>
        </w:tc>
        <w:tc>
          <w:tcPr>
            <w:tcW w:w="58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4"/>
              </w:rPr>
              <w:t>78,927</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5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9"/>
              </w:rPr>
              <w:t>107,137</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5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9"/>
              </w:rPr>
              <w:t>114,468</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5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5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5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5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Loan balance in each category, expressed as a percentage of total loans.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changes in the allowance for credit losses for each of the past five years.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Allowance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760" w:type="dxa"/>
            <w:vAlign w:val="bottom"/>
            <w:tcBorders>
              <w:bottom w:val="single" w:sz="8" w:color="F0FFFF"/>
            </w:tcBorders>
          </w:tcPr>
          <w:p>
            <w:pPr>
              <w:spacing w:after="0"/>
              <w:rPr>
                <w:sz w:val="15"/>
                <w:szCs w:val="15"/>
                <w:color w:val="auto"/>
              </w:rPr>
            </w:pPr>
          </w:p>
        </w:tc>
        <w:tc>
          <w:tcPr>
            <w:tcW w:w="340" w:type="dxa"/>
            <w:vAlign w:val="bottom"/>
            <w:tcBorders>
              <w:bottom w:val="single" w:sz="8" w:color="F0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F0FFFF"/>
            </w:tcBorders>
          </w:tcPr>
          <w:p>
            <w:pPr>
              <w:spacing w:after="0"/>
              <w:rPr>
                <w:sz w:val="15"/>
                <w:szCs w:val="15"/>
                <w:color w:val="auto"/>
              </w:rPr>
            </w:pPr>
          </w:p>
        </w:tc>
        <w:tc>
          <w:tcPr>
            <w:tcW w:w="60" w:type="dxa"/>
            <w:vAlign w:val="bottom"/>
            <w:tcBorders>
              <w:bottom w:val="single" w:sz="8" w:color="F0FF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F0FFFF"/>
            </w:tcBorders>
          </w:tcPr>
          <w:p>
            <w:pPr>
              <w:spacing w:after="0"/>
              <w:rPr>
                <w:sz w:val="15"/>
                <w:szCs w:val="15"/>
                <w:color w:val="auto"/>
              </w:rPr>
            </w:pPr>
          </w:p>
        </w:tc>
        <w:tc>
          <w:tcPr>
            <w:tcW w:w="6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F0FFFF"/>
            </w:tcBorders>
          </w:tcPr>
          <w:p>
            <w:pPr>
              <w:spacing w:after="0"/>
              <w:rPr>
                <w:sz w:val="15"/>
                <w:szCs w:val="15"/>
                <w:color w:val="auto"/>
              </w:rPr>
            </w:pPr>
          </w:p>
        </w:tc>
        <w:tc>
          <w:tcPr>
            <w:tcW w:w="6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F0FFFF"/>
            </w:tcBorders>
          </w:tcPr>
          <w:p>
            <w:pPr>
              <w:spacing w:after="0"/>
              <w:rPr>
                <w:sz w:val="15"/>
                <w:szCs w:val="15"/>
                <w:color w:val="auto"/>
              </w:rPr>
            </w:pPr>
          </w:p>
        </w:tc>
        <w:tc>
          <w:tcPr>
            <w:tcW w:w="60" w:type="dxa"/>
            <w:vAlign w:val="bottom"/>
            <w:tcBorders>
              <w:bottom w:val="single" w:sz="8" w:color="F0FF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71,619</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76,762</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107,137</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114,468</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174,695</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Charge-offs: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2,096</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3,136</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24,965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10,280</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522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11,505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12,782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&amp; industrial</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1,358</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2,145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18,914</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2,424</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24,890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507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6,483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5,411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55,730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mortgage</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3,178</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7,502</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8,840</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12,885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46,439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Home equity lines of credit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2,314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3,437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4,377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2,291</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3,176</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23,049</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24,260</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118,916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Consumer installment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1,597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2,008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2,184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2,198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Indirect auto</w:t>
            </w:r>
          </w:p>
        </w:tc>
        <w:tc>
          <w:tcPr>
            <w:tcW w:w="34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772</w:t>
            </w: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540</w:t>
            </w: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277</w:t>
            </w: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w:t>
            </w: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F0FFFF"/>
              <w:bottom w:val="single" w:sz="8" w:color="F0FFFF"/>
            </w:tcBorders>
          </w:tcPr>
          <w:p>
            <w:pPr>
              <w:ind w:left="320"/>
              <w:spacing w:after="0" w:line="203" w:lineRule="exact"/>
              <w:rPr>
                <w:sz w:val="20"/>
                <w:szCs w:val="20"/>
                <w:color w:val="auto"/>
              </w:rPr>
            </w:pPr>
            <w:r>
              <w:rPr>
                <w:rFonts w:ascii="Arial" w:cs="Arial" w:eastAsia="Arial" w:hAnsi="Arial"/>
                <w:sz w:val="18"/>
                <w:szCs w:val="18"/>
                <w:color w:val="auto"/>
              </w:rPr>
              <w:t>Total loans charged-off</w:t>
            </w:r>
          </w:p>
        </w:tc>
        <w:tc>
          <w:tcPr>
            <w:tcW w:w="34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13,415</w:t>
            </w:r>
          </w:p>
        </w:tc>
        <w:tc>
          <w:tcPr>
            <w:tcW w:w="22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22,667</w:t>
            </w:r>
          </w:p>
        </w:tc>
        <w:tc>
          <w:tcPr>
            <w:tcW w:w="22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99,654</w:t>
            </w:r>
          </w:p>
        </w:tc>
        <w:tc>
          <w:tcPr>
            <w:tcW w:w="20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74,633</w:t>
            </w:r>
          </w:p>
        </w:tc>
        <w:tc>
          <w:tcPr>
            <w:tcW w:w="20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316,305</w:t>
            </w:r>
          </w:p>
        </w:tc>
        <w:tc>
          <w:tcPr>
            <w:tcW w:w="16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spacing w:after="0"/>
              <w:rPr>
                <w:sz w:val="20"/>
                <w:szCs w:val="20"/>
                <w:color w:val="auto"/>
              </w:rPr>
            </w:pPr>
            <w:r>
              <w:rPr>
                <w:rFonts w:ascii="Arial" w:cs="Arial" w:eastAsia="Arial" w:hAnsi="Arial"/>
                <w:sz w:val="18"/>
                <w:szCs w:val="18"/>
                <w:color w:val="auto"/>
              </w:rPr>
              <w:t>Recoveries:</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3,056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1,305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557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697</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725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640</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2,174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1,698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1,888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1,104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construction</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77</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69</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111</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1,662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611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Home equity lines of credit</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226</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287</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104</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1,272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Consumer installment</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1,044</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1,226</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1,114</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824</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6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recoveries</w:t>
            </w:r>
          </w:p>
        </w:tc>
        <w:tc>
          <w:tcPr>
            <w:tcW w:w="34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7,156</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8,789</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5,944</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4,802</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5,078</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F0FFFF"/>
            </w:tcBorders>
          </w:tcPr>
          <w:p>
            <w:pPr>
              <w:ind w:left="320"/>
              <w:spacing w:after="0" w:line="203" w:lineRule="exact"/>
              <w:rPr>
                <w:sz w:val="20"/>
                <w:szCs w:val="20"/>
                <w:color w:val="auto"/>
              </w:rPr>
            </w:pPr>
            <w:r>
              <w:rPr>
                <w:rFonts w:ascii="Arial" w:cs="Arial" w:eastAsia="Arial" w:hAnsi="Arial"/>
                <w:sz w:val="18"/>
                <w:szCs w:val="18"/>
                <w:color w:val="auto"/>
              </w:rPr>
              <w:t>Net charge-offs</w:t>
            </w:r>
          </w:p>
        </w:tc>
        <w:tc>
          <w:tcPr>
            <w:tcW w:w="34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6,259</w:t>
            </w:r>
          </w:p>
        </w:tc>
        <w:tc>
          <w:tcPr>
            <w:tcW w:w="22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13,878</w:t>
            </w:r>
          </w:p>
        </w:tc>
        <w:tc>
          <w:tcPr>
            <w:tcW w:w="22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93,710</w:t>
            </w:r>
          </w:p>
        </w:tc>
        <w:tc>
          <w:tcPr>
            <w:tcW w:w="20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69,831</w:t>
            </w:r>
          </w:p>
        </w:tc>
        <w:tc>
          <w:tcPr>
            <w:tcW w:w="20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311,227</w:t>
            </w:r>
          </w:p>
        </w:tc>
        <w:tc>
          <w:tcPr>
            <w:tcW w:w="16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Provision for loan losses</w:t>
            </w:r>
          </w:p>
        </w:tc>
        <w:tc>
          <w:tcPr>
            <w:tcW w:w="34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spacing w:after="0"/>
              <w:rPr>
                <w:sz w:val="20"/>
                <w:szCs w:val="20"/>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3,088</w:t>
            </w:r>
          </w:p>
        </w:tc>
        <w:tc>
          <w:tcPr>
            <w:tcW w:w="22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auto"/>
            </w:tcBorders>
            <w:shd w:val="clear" w:color="auto" w:fill="F0FFFF"/>
          </w:tcPr>
          <w:p>
            <w:pPr>
              <w:spacing w:after="0"/>
              <w:rPr>
                <w:sz w:val="20"/>
                <w:szCs w:val="20"/>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8,735</w:t>
            </w:r>
          </w:p>
        </w:tc>
        <w:tc>
          <w:tcPr>
            <w:tcW w:w="22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63,335</w:t>
            </w:r>
          </w:p>
        </w:tc>
        <w:tc>
          <w:tcPr>
            <w:tcW w:w="20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62,500</w:t>
            </w:r>
          </w:p>
        </w:tc>
        <w:tc>
          <w:tcPr>
            <w:tcW w:w="20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200" w:type="dxa"/>
            <w:vAlign w:val="bottom"/>
            <w:tcBorders>
              <w:bottom w:val="single" w:sz="8" w:color="auto"/>
            </w:tcBorders>
            <w:shd w:val="clear" w:color="auto" w:fill="F0FFFF"/>
          </w:tcPr>
          <w:p>
            <w:pPr>
              <w:spacing w:after="0"/>
              <w:rPr>
                <w:sz w:val="20"/>
                <w:szCs w:val="20"/>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251,000</w:t>
            </w:r>
          </w:p>
        </w:tc>
        <w:tc>
          <w:tcPr>
            <w:tcW w:w="16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F0FFFF"/>
            </w:tcBorders>
          </w:tcPr>
          <w:p>
            <w:pPr>
              <w:spacing w:after="0" w:line="203" w:lineRule="exact"/>
              <w:rPr>
                <w:sz w:val="20"/>
                <w:szCs w:val="20"/>
                <w:color w:val="auto"/>
              </w:rPr>
            </w:pPr>
            <w:r>
              <w:rPr>
                <w:rFonts w:ascii="Arial" w:cs="Arial" w:eastAsia="Arial" w:hAnsi="Arial"/>
                <w:sz w:val="18"/>
                <w:szCs w:val="18"/>
                <w:color w:val="auto"/>
              </w:rPr>
              <w:t>Allowance for loan losses at end of period</w:t>
            </w:r>
          </w:p>
        </w:tc>
        <w:tc>
          <w:tcPr>
            <w:tcW w:w="34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68,448</w:t>
            </w:r>
          </w:p>
        </w:tc>
        <w:tc>
          <w:tcPr>
            <w:tcW w:w="22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71,619</w:t>
            </w:r>
          </w:p>
        </w:tc>
        <w:tc>
          <w:tcPr>
            <w:tcW w:w="22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76,762</w:t>
            </w:r>
          </w:p>
        </w:tc>
        <w:tc>
          <w:tcPr>
            <w:tcW w:w="20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107,137</w:t>
            </w:r>
          </w:p>
        </w:tc>
        <w:tc>
          <w:tcPr>
            <w:tcW w:w="200" w:type="dxa"/>
            <w:vAlign w:val="bottom"/>
            <w:tcBorders>
              <w:bottom w:val="single" w:sz="8" w:color="F0FFFF"/>
            </w:tcBorders>
          </w:tcPr>
          <w:p>
            <w:pPr>
              <w:spacing w:after="0"/>
              <w:rPr>
                <w:sz w:val="18"/>
                <w:szCs w:val="18"/>
                <w:color w:val="auto"/>
              </w:rPr>
            </w:pPr>
          </w:p>
        </w:tc>
        <w:tc>
          <w:tcPr>
            <w:tcW w:w="60" w:type="dxa"/>
            <w:vAlign w:val="bottom"/>
            <w:tcBorders>
              <w:bottom w:val="single" w:sz="8" w:color="F0FF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114,468</w:t>
            </w:r>
          </w:p>
        </w:tc>
        <w:tc>
          <w:tcPr>
            <w:tcW w:w="160" w:type="dxa"/>
            <w:vAlign w:val="bottom"/>
            <w:tcBorders>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w w:val="99"/>
              </w:rPr>
              <w:t>Allowance for unfunded commitments at beginning of period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2,165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Provision for unfunded commitments</w:t>
            </w:r>
          </w:p>
        </w:tc>
        <w:tc>
          <w:tcPr>
            <w:tcW w:w="34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612</w:t>
            </w:r>
          </w:p>
        </w:tc>
        <w:tc>
          <w:tcPr>
            <w:tcW w:w="6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(235)</w:t>
            </w: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2,165</w:t>
            </w: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color w:val="auto"/>
              </w:rPr>
              <w:t>Allowance for unfunded commitments at end of period</w:t>
            </w:r>
          </w:p>
        </w:tc>
        <w:tc>
          <w:tcPr>
            <w:tcW w:w="34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2,542</w:t>
            </w:r>
          </w:p>
        </w:tc>
        <w:tc>
          <w:tcPr>
            <w:tcW w:w="22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1,930</w:t>
            </w:r>
          </w:p>
        </w:tc>
        <w:tc>
          <w:tcPr>
            <w:tcW w:w="22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2,165</w:t>
            </w:r>
          </w:p>
        </w:tc>
        <w:tc>
          <w:tcPr>
            <w:tcW w:w="20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7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Allowance for credit losses</w:t>
            </w:r>
          </w:p>
        </w:tc>
        <w:tc>
          <w:tcPr>
            <w:tcW w:w="34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70,990</w:t>
            </w:r>
          </w:p>
        </w:tc>
        <w:tc>
          <w:tcPr>
            <w:tcW w:w="22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73,549</w:t>
            </w:r>
          </w:p>
        </w:tc>
        <w:tc>
          <w:tcPr>
            <w:tcW w:w="22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78,927</w:t>
            </w:r>
          </w:p>
        </w:tc>
        <w:tc>
          <w:tcPr>
            <w:tcW w:w="20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107,137</w:t>
            </w:r>
          </w:p>
        </w:tc>
        <w:tc>
          <w:tcPr>
            <w:tcW w:w="20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114,468</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60" w:type="dxa"/>
            <w:vAlign w:val="bottom"/>
            <w:shd w:val="clear" w:color="auto" w:fill="F0FFFF"/>
          </w:tcPr>
          <w:p>
            <w:pPr>
              <w:spacing w:after="0" w:line="256" w:lineRule="exact"/>
              <w:rPr>
                <w:sz w:val="20"/>
                <w:szCs w:val="20"/>
                <w:color w:val="auto"/>
              </w:rPr>
            </w:pPr>
            <w:r>
              <w:rPr>
                <w:rFonts w:ascii="Arial" w:cs="Arial" w:eastAsia="Arial" w:hAnsi="Arial"/>
                <w:sz w:val="18"/>
                <w:szCs w:val="18"/>
                <w:color w:val="auto"/>
              </w:rPr>
              <w:t xml:space="preserve">Total loans </w:t>
            </w:r>
            <w:r>
              <w:rPr>
                <w:rFonts w:ascii="Arial" w:cs="Arial" w:eastAsia="Arial" w:hAnsi="Arial"/>
                <w:sz w:val="29"/>
                <w:szCs w:val="29"/>
                <w:color w:val="auto"/>
                <w:vertAlign w:val="superscript"/>
              </w:rPr>
              <w:t>(1)</w:t>
            </w:r>
            <w:r>
              <w:rPr>
                <w:rFonts w:ascii="Arial" w:cs="Arial" w:eastAsia="Arial" w:hAnsi="Arial"/>
                <w:sz w:val="18"/>
                <w:szCs w:val="18"/>
                <w:color w:val="auto"/>
              </w:rPr>
              <w:t>:</w:t>
            </w:r>
          </w:p>
        </w:tc>
        <w:tc>
          <w:tcPr>
            <w:tcW w:w="34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82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2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2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2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At year-end</w:t>
            </w:r>
          </w:p>
        </w:tc>
        <w:tc>
          <w:tcPr>
            <w:tcW w:w="5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5,995,441</w:t>
            </w:r>
          </w:p>
        </w:tc>
        <w:tc>
          <w:tcPr>
            <w:tcW w:w="2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4,672,119</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4,329,266</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4,175,008</w:t>
            </w:r>
          </w:p>
        </w:tc>
        <w:tc>
          <w:tcPr>
            <w:tcW w:w="2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4,109,614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Average</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99"/>
              </w:rPr>
              <w:t>5,297,687</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w w:val="99"/>
              </w:rPr>
              <w:t>4,440,868</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w w:val="99"/>
              </w:rPr>
              <w:t>4,228,235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w w:val="99"/>
              </w:rPr>
              <w:t>4,123,530</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w w:val="99"/>
              </w:rPr>
              <w:t>4,244,305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F0FFFF"/>
          </w:tcPr>
          <w:p>
            <w:pPr>
              <w:spacing w:after="0"/>
              <w:rPr>
                <w:sz w:val="20"/>
                <w:szCs w:val="20"/>
                <w:color w:val="auto"/>
              </w:rPr>
            </w:pPr>
            <w:r>
              <w:rPr>
                <w:rFonts w:ascii="Arial" w:cs="Arial" w:eastAsia="Arial" w:hAnsi="Arial"/>
                <w:sz w:val="18"/>
                <w:szCs w:val="18"/>
                <w:color w:val="auto"/>
                <w:w w:val="98"/>
              </w:rPr>
              <w:t>Allowance for loan losses as a percentage of year-end loans</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1.14%</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1.53%</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1.77%</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2.57%</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F0FFFF"/>
          </w:tcPr>
          <w:p>
            <w:pPr>
              <w:spacing w:after="0"/>
              <w:rPr>
                <w:sz w:val="20"/>
                <w:szCs w:val="20"/>
                <w:color w:val="auto"/>
              </w:rPr>
            </w:pPr>
            <w:r>
              <w:rPr>
                <w:rFonts w:ascii="Arial" w:cs="Arial" w:eastAsia="Arial" w:hAnsi="Arial"/>
                <w:sz w:val="18"/>
                <w:szCs w:val="18"/>
                <w:color w:val="auto"/>
              </w:rPr>
              <w:t>As a percentage of average loans:</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Net charge-offs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Provision for loan losses</w:t>
            </w:r>
          </w:p>
        </w:tc>
        <w:tc>
          <w:tcPr>
            <w:tcW w:w="3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.06</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1.50</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1.52</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Excludes loans acquired through the 2009 FDIC assisted acquisition of Southern Community Bank that are covered by loss sharing agreements.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credit losses, which includes a portion related to unfunded commitments, totaled $71.0 million at December 31, 2015 compared with $73.5 million at December 31, 2014. At December 31, 2015, the allowance for loan losses was $68.4 million, or 1.14% of total loans, compared with $71.6 million, or 1.53% of loans at December 31, 2014. The decrease in the allowance for credit losses is consistent with the overall improving trends in credit quality of the loan portfolio.</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business combinations, there was no allowance for loan losses brought forward on loans acquired from Palmetto or MoneyTree, as credit deterioration was included in the determination of fair value at acquisition date. At December 31, 2015, United recorded no allowance for loan losses on loans acquired from Palmetto or FNB as there was no evidence of credit deterioration beyond that which was incorporated into the determination of fair value at acquisition date. At December 31, 2015, for acquired loans that had no evidence of credit deterioration at the time of acquisition, the remaining unaccreted fair value discount was $7.03 million.</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believes that the allowance for credit losses at December 31, 2015 reflects the probable incurred losses in the loan portfolio and unfunded loan commitments. This assessment involves uncertainty and judgment; therefore, the adequacy of the allowance for credit losses cannot be determined with precision and may be subject to change in future periods. The amount of any changes could be significant if management’s assessment of loan quality or collateral values changes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credit losses.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47" w:orient="portrait"/>
          <w:cols w:equalWidth="0" w:num="1">
            <w:col w:w="11420"/>
          </w:cols>
          <w:pgMar w:left="240" w:top="909" w:right="239" w:bottom="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Nonperforming loans totaled $22.7 million at December 31, 2015, compared with $17.9 million at December 31, 2014. At December 31, 2015 and 2014, the ratio of nonperforming loans to total loans was .38%. Nonperforming assets, which include nonperforming loans and foreclosed properties, totaled $27.5 million at December 31, 2015, compared with $19.6 million at December 31, 2014.</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full principal and interest on a loan is not likely to be collected or when the loan becomes 90 days past due and is not well secured and in the process of collection. When a loan is placed on nonaccrual status, interest previously accrued but not collected is reversed against current interest revenue. Interest payments received on nonaccrual loans are applied to reduce outstanding principal.</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Purchased Credit Impaired (“PCI”) loans accounted for under ASC Topic 310-30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PCI loans were not classified as nonaccrual at December 31, 2015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Generally, United does not commit to lend additional funds to customers whose loans are on nonaccrual status, although in certain isolated cases, United executes forbearance agreements whereby United will continue to fund construction loans to completion or other lines of credit as long as the borrower meets the conditions of the forbearance agreement. United may also fund other amounts necessary to protect the Bank’s collateral such as amounts to pay past due property taxes and insurance coverage. The table below summarizes nonperforming assets at year-end for the last five years. For years prior to 2015, assets covered by loss-sharing agreements with the FDIC have been excluded from the table below. These assets were excluded from the review of nonperforming assets, as the loss-sharing agreements with the FDIC and purchase price adjustments to reflect credit losses effectively eliminate the likelihood of recognizing losses on the covered assets. The loss-sharing agreements were terminated and settled in early 2015.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13 -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0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F0FF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8"/>
                <w:szCs w:val="18"/>
                <w:color w:val="auto"/>
              </w:rPr>
              <w:t>Nonaccrual loans (NPLs)</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22,653</w:t>
            </w: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17,881</w:t>
            </w:r>
          </w:p>
        </w:tc>
        <w:tc>
          <w:tcPr>
            <w:tcW w:w="28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26,819</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109,894</w:t>
            </w: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127,479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Foreclosed properties</w:t>
            </w: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4,883</w:t>
            </w: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1,726</w:t>
            </w:r>
          </w:p>
        </w:tc>
        <w:tc>
          <w:tcPr>
            <w:tcW w:w="2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4,221</w:t>
            </w:r>
          </w:p>
        </w:tc>
        <w:tc>
          <w:tcPr>
            <w:tcW w:w="2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18,264</w:t>
            </w:r>
          </w:p>
        </w:tc>
        <w:tc>
          <w:tcPr>
            <w:tcW w:w="2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32,859</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10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nonperforming assets (NPAs)</w:t>
            </w: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27,536</w:t>
            </w:r>
          </w:p>
        </w:tc>
        <w:tc>
          <w:tcPr>
            <w:tcW w:w="2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19,607</w:t>
            </w:r>
          </w:p>
        </w:tc>
        <w:tc>
          <w:tcPr>
            <w:tcW w:w="2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31,040</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128,158</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160,338</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8"/>
                <w:szCs w:val="18"/>
                <w:color w:val="auto"/>
              </w:rPr>
              <w:t>NPLs as a percentage of total loans</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2.63%</w:t>
            </w: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NPAs as a percentage of loans and foreclosed properties</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3.06</w:t>
            </w:r>
          </w:p>
        </w:tc>
        <w:tc>
          <w:tcPr>
            <w:tcW w:w="2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F0FFFF"/>
          </w:tcPr>
          <w:p>
            <w:pPr>
              <w:spacing w:after="0"/>
              <w:rPr>
                <w:sz w:val="20"/>
                <w:szCs w:val="20"/>
                <w:color w:val="auto"/>
              </w:rPr>
            </w:pPr>
            <w:r>
              <w:rPr>
                <w:rFonts w:ascii="Arial" w:cs="Arial" w:eastAsia="Arial" w:hAnsi="Arial"/>
                <w:sz w:val="18"/>
                <w:szCs w:val="18"/>
                <w:color w:val="auto"/>
              </w:rPr>
              <w:t>NPAs as a percentage of total assets</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1.88</w:t>
            </w: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2015 and 2014 United had $86.6 million and $85.1 million, respectively, in loans with terms that have been modified in a TDR. Included therein were $3.58 million and $3.78 million, respectively, of TDRs that were not performing in accordance with their modified terms and were included in nonperforming loans. The remaining TDRs with an aggregate balance of $83.0 million and $81.3 million, respectively, were performing according to their modified terms and are therefore not considered to be nonperforming assets.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At December 31, 2015 and 2014, there were $104 million and $106 million, respectively, of loans classified as impaired under the definition outlined in the Accounting Standards Codification including TDRs which are by definition considered impaired. Included in impaired loans at December 31, 2015 and 2014 were $32.7 million and $25.5 million, respectively, that did not require specific reserves or had previously been charged down to net realizable value. The balance of impaired loans at December 31, 2015 of $71.3 million had specific reserves that totaled $6.80 million and the balance of impaired loans at December 31, 2014 of $81.0 million had specific reserves that totaled $9.88 million. The average recorded investment in impaired loans for 2015, 2014 and 2013 was $107 million, $109 million and $115 million, respectively. During 2015, 2014 and 2013, United recognized $4.96 million, $5.04 million and $6.72 million in interest revenue on impaired loans. United’s policy is to discontinue the recognition of interest revenue for loans classified as impaired under ASC 310-10-35, </w:t>
      </w:r>
      <w:r>
        <w:rPr>
          <w:rFonts w:ascii="Arial" w:cs="Arial" w:eastAsia="Arial" w:hAnsi="Arial"/>
          <w:sz w:val="16"/>
          <w:szCs w:val="16"/>
          <w:i w:val="1"/>
          <w:iCs w:val="1"/>
          <w:color w:val="auto"/>
        </w:rPr>
        <w:t>Receivables,</w:t>
      </w:r>
      <w:r>
        <w:rPr>
          <w:rFonts w:ascii="Arial" w:cs="Arial" w:eastAsia="Arial" w:hAnsi="Arial"/>
          <w:sz w:val="16"/>
          <w:szCs w:val="16"/>
          <w:color w:val="auto"/>
        </w:rPr>
        <w:t xml:space="preserve"> when a loan meets the criteria for nonaccrual status. Impaired loans decreased 2% from 2014 to 2015.</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summarizes nonperforming assets by category and market.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14 - Nonperforming Assets by Category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93"/>
              </w:rPr>
              <w:t>December 31, 2015</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0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Nonaccrual</w:t>
            </w:r>
          </w:p>
        </w:tc>
        <w:tc>
          <w:tcPr>
            <w:tcW w:w="60" w:type="dxa"/>
            <w:vAlign w:val="bottom"/>
          </w:tcPr>
          <w:p>
            <w:pPr>
              <w:spacing w:after="0"/>
              <w:rPr>
                <w:sz w:val="12"/>
                <w:szCs w:val="12"/>
                <w:color w:val="auto"/>
              </w:rPr>
            </w:pPr>
          </w:p>
        </w:tc>
        <w:tc>
          <w:tcPr>
            <w:tcW w:w="96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Foreclosed</w:t>
            </w:r>
          </w:p>
        </w:tc>
        <w:tc>
          <w:tcPr>
            <w:tcW w:w="140" w:type="dxa"/>
            <w:vAlign w:val="bottom"/>
          </w:tcPr>
          <w:p>
            <w:pPr>
              <w:spacing w:after="0"/>
              <w:rPr>
                <w:sz w:val="12"/>
                <w:szCs w:val="12"/>
                <w:color w:val="auto"/>
              </w:rPr>
            </w:pPr>
          </w:p>
        </w:tc>
        <w:tc>
          <w:tcPr>
            <w:tcW w:w="560" w:type="dxa"/>
            <w:vAlign w:val="bottom"/>
          </w:tcPr>
          <w:p>
            <w:pPr>
              <w:jc w:val="right"/>
              <w:ind w:right="111"/>
              <w:spacing w:after="0" w:line="139"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90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Nonaccrual</w:t>
            </w:r>
          </w:p>
        </w:tc>
        <w:tc>
          <w:tcPr>
            <w:tcW w:w="60" w:type="dxa"/>
            <w:vAlign w:val="bottom"/>
          </w:tcPr>
          <w:p>
            <w:pPr>
              <w:spacing w:after="0"/>
              <w:rPr>
                <w:sz w:val="12"/>
                <w:szCs w:val="12"/>
                <w:color w:val="auto"/>
              </w:rPr>
            </w:pPr>
          </w:p>
        </w:tc>
        <w:tc>
          <w:tcPr>
            <w:tcW w:w="96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Foreclosed</w:t>
            </w:r>
          </w:p>
        </w:tc>
        <w:tc>
          <w:tcPr>
            <w:tcW w:w="140" w:type="dxa"/>
            <w:vAlign w:val="bottom"/>
          </w:tcPr>
          <w:p>
            <w:pPr>
              <w:spacing w:after="0"/>
              <w:rPr>
                <w:sz w:val="12"/>
                <w:szCs w:val="12"/>
                <w:color w:val="auto"/>
              </w:rPr>
            </w:pPr>
          </w:p>
        </w:tc>
        <w:tc>
          <w:tcPr>
            <w:tcW w:w="560" w:type="dxa"/>
            <w:vAlign w:val="bottom"/>
          </w:tcPr>
          <w:p>
            <w:pPr>
              <w:jc w:val="right"/>
              <w:ind w:right="111"/>
              <w:spacing w:after="0" w:line="139"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6"/>
              </w:rPr>
              <w:t>Loans</w:t>
            </w:r>
          </w:p>
        </w:tc>
        <w:tc>
          <w:tcPr>
            <w:tcW w:w="60" w:type="dxa"/>
            <w:vAlign w:val="bottom"/>
          </w:tcPr>
          <w:p>
            <w:pPr>
              <w:spacing w:after="0"/>
              <w:rPr>
                <w:sz w:val="15"/>
                <w:szCs w:val="15"/>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Properties</w:t>
            </w:r>
          </w:p>
        </w:tc>
        <w:tc>
          <w:tcPr>
            <w:tcW w:w="140" w:type="dxa"/>
            <w:vAlign w:val="bottom"/>
          </w:tcPr>
          <w:p>
            <w:pPr>
              <w:spacing w:after="0"/>
              <w:rPr>
                <w:sz w:val="15"/>
                <w:szCs w:val="15"/>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NPAs</w:t>
            </w:r>
          </w:p>
        </w:tc>
        <w:tc>
          <w:tcPr>
            <w:tcW w:w="120" w:type="dxa"/>
            <w:vAlign w:val="bottom"/>
          </w:tcPr>
          <w:p>
            <w:pPr>
              <w:spacing w:after="0"/>
              <w:rPr>
                <w:sz w:val="15"/>
                <w:szCs w:val="15"/>
                <w:color w:val="auto"/>
              </w:rPr>
            </w:pPr>
          </w:p>
        </w:tc>
        <w:tc>
          <w:tcPr>
            <w:tcW w:w="78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6"/>
              </w:rPr>
              <w:t>Loans</w:t>
            </w:r>
          </w:p>
        </w:tc>
        <w:tc>
          <w:tcPr>
            <w:tcW w:w="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4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NPAs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BY CATEGORY</w:t>
            </w:r>
          </w:p>
        </w:tc>
        <w:tc>
          <w:tcPr>
            <w:tcW w:w="120" w:type="dxa"/>
            <w:vAlign w:val="bottom"/>
            <w:tcBorders>
              <w:top w:val="single" w:sz="8" w:color="auto"/>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50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50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7,036</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2,652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9,688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4,133</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2,595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2,595</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717</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892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1,571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328</w:t>
            </w: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765</w:t>
            </w:r>
          </w:p>
        </w:tc>
        <w:tc>
          <w:tcPr>
            <w:tcW w:w="120" w:type="dxa"/>
            <w:vAlign w:val="bottom"/>
            <w:shd w:val="clear" w:color="auto" w:fill="F0FFFF"/>
          </w:tcPr>
          <w:p>
            <w:pPr>
              <w:spacing w:after="0"/>
              <w:rPr>
                <w:sz w:val="21"/>
                <w:szCs w:val="21"/>
                <w:color w:val="auto"/>
              </w:rPr>
            </w:pPr>
          </w:p>
        </w:tc>
        <w:tc>
          <w:tcPr>
            <w:tcW w:w="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F0FFFF"/>
          </w:tcPr>
          <w:p>
            <w:pPr>
              <w:spacing w:after="0"/>
              <w:rPr>
                <w:sz w:val="21"/>
                <w:szCs w:val="21"/>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80" w:type="dxa"/>
            <w:vAlign w:val="bottom"/>
            <w:tcBorders>
              <w:top w:val="single" w:sz="8" w:color="F0FFFF"/>
            </w:tcBorders>
          </w:tcPr>
          <w:p>
            <w:pPr>
              <w:ind w:left="140"/>
              <w:spacing w:after="0" w:line="203" w:lineRule="exact"/>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10,851</w:t>
            </w:r>
          </w:p>
        </w:tc>
        <w:tc>
          <w:tcPr>
            <w:tcW w:w="20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3,089</w:t>
            </w:r>
          </w:p>
        </w:tc>
        <w:tc>
          <w:tcPr>
            <w:tcW w:w="26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13,940</w:t>
            </w:r>
          </w:p>
        </w:tc>
        <w:tc>
          <w:tcPr>
            <w:tcW w:w="26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6,504</w:t>
            </w:r>
          </w:p>
        </w:tc>
        <w:tc>
          <w:tcPr>
            <w:tcW w:w="20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370</w:t>
            </w:r>
          </w:p>
        </w:tc>
        <w:tc>
          <w:tcPr>
            <w:tcW w:w="26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6,874</w:t>
            </w:r>
          </w:p>
        </w:tc>
        <w:tc>
          <w:tcPr>
            <w:tcW w:w="16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8,555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1,242</w:t>
            </w:r>
          </w:p>
        </w:tc>
        <w:tc>
          <w:tcPr>
            <w:tcW w:w="14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9,797</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8,196</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1,183</w:t>
            </w:r>
          </w:p>
        </w:tc>
        <w:tc>
          <w:tcPr>
            <w:tcW w:w="14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9,379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Home equity</w:t>
            </w:r>
          </w:p>
        </w:tc>
        <w:tc>
          <w:tcPr>
            <w:tcW w:w="1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851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695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1,398</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1,870</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2,006</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2,139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2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786</w:t>
            </w: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346</w:t>
            </w:r>
          </w:p>
        </w:tc>
        <w:tc>
          <w:tcPr>
            <w:tcW w:w="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7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Borders>
              <w:top w:val="single" w:sz="8" w:color="F0FFFF"/>
            </w:tcBorders>
          </w:tcPr>
          <w:p>
            <w:pPr>
              <w:ind w:left="140"/>
              <w:spacing w:after="0"/>
              <w:rPr>
                <w:sz w:val="20"/>
                <w:szCs w:val="20"/>
                <w:color w:val="auto"/>
              </w:rPr>
            </w:pPr>
            <w:r>
              <w:rPr>
                <w:rFonts w:ascii="Arial" w:cs="Arial" w:eastAsia="Arial" w:hAnsi="Arial"/>
                <w:sz w:val="18"/>
                <w:szCs w:val="18"/>
                <w:b w:val="1"/>
                <w:bCs w:val="1"/>
                <w:color w:val="auto"/>
              </w:rPr>
              <w:t>Total NPAs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22,653</w:t>
            </w: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4,883</w:t>
            </w:r>
          </w:p>
        </w:tc>
        <w:tc>
          <w:tcPr>
            <w:tcW w:w="26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27,536</w:t>
            </w:r>
          </w:p>
        </w:tc>
        <w:tc>
          <w:tcPr>
            <w:tcW w:w="26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17,881</w:t>
            </w: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w:t>
            </w:r>
          </w:p>
        </w:tc>
        <w:tc>
          <w:tcPr>
            <w:tcW w:w="26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19,607</w:t>
            </w: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F0FFFF"/>
          </w:tcPr>
          <w:p>
            <w:pPr>
              <w:ind w:left="260"/>
              <w:spacing w:after="0"/>
              <w:rPr>
                <w:sz w:val="20"/>
                <w:szCs w:val="20"/>
                <w:color w:val="auto"/>
              </w:rPr>
            </w:pPr>
            <w:r>
              <w:rPr>
                <w:rFonts w:ascii="Arial" w:cs="Arial" w:eastAsia="Arial" w:hAnsi="Arial"/>
                <w:sz w:val="18"/>
                <w:szCs w:val="18"/>
                <w:b w:val="1"/>
                <w:bCs w:val="1"/>
                <w:color w:val="auto"/>
              </w:rPr>
              <w:t>Balance as a % of Unpaid Principal</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71.4%</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34.2%</w:t>
            </w:r>
          </w:p>
        </w:tc>
        <w:tc>
          <w:tcPr>
            <w:tcW w:w="14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69.9%</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54.1%</w:t>
            </w:r>
          </w:p>
        </w:tc>
        <w:tc>
          <w:tcPr>
            <w:tcW w:w="14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MARKET</w:t>
            </w: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North Georgia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5,167</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1,612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6,779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5,669</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Atlanta MSA</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3,023</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3,648</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1,837</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372</w:t>
            </w:r>
          </w:p>
        </w:tc>
        <w:tc>
          <w:tcPr>
            <w:tcW w:w="14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2,209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North Carolina</w:t>
            </w:r>
          </w:p>
        </w:tc>
        <w:tc>
          <w:tcPr>
            <w:tcW w:w="1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5,289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5,472</w:t>
            </w:r>
          </w:p>
        </w:tc>
        <w:tc>
          <w:tcPr>
            <w:tcW w:w="1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5,221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Coastal Georgia</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2,079</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2,079</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799</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F0FFFF"/>
          </w:tcPr>
          <w:p>
            <w:pPr>
              <w:spacing w:after="0"/>
              <w:rPr>
                <w:sz w:val="18"/>
                <w:szCs w:val="18"/>
                <w:color w:val="auto"/>
              </w:rPr>
            </w:pPr>
          </w:p>
        </w:tc>
        <w:tc>
          <w:tcPr>
            <w:tcW w:w="7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Gainesville MSA</w:t>
            </w:r>
          </w:p>
        </w:tc>
        <w:tc>
          <w:tcPr>
            <w:tcW w:w="1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307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1,310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East Tennessee</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3,448</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3,605</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1,414</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1,615</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South Carolina</w:t>
            </w:r>
          </w:p>
        </w:tc>
        <w:tc>
          <w:tcPr>
            <w:tcW w:w="120" w:type="dxa"/>
            <w:vAlign w:val="bottom"/>
          </w:tcPr>
          <w:p>
            <w:pPr>
              <w:spacing w:after="0"/>
              <w:rPr>
                <w:sz w:val="18"/>
                <w:szCs w:val="18"/>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323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2,306</w:t>
            </w:r>
          </w:p>
        </w:tc>
        <w:tc>
          <w:tcPr>
            <w:tcW w:w="1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2,629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Specialized Lending</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2,231</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2,231</w:t>
            </w:r>
          </w:p>
        </w:tc>
        <w:tc>
          <w:tcPr>
            <w:tcW w:w="12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8"/>
              <w:spacing w:after="0"/>
              <w:rPr>
                <w:sz w:val="20"/>
                <w:szCs w:val="20"/>
                <w:color w:val="auto"/>
              </w:rPr>
            </w:pPr>
            <w:r>
              <w:rPr>
                <w:rFonts w:ascii="Arial" w:cs="Arial" w:eastAsia="Arial" w:hAnsi="Arial"/>
                <w:sz w:val="18"/>
                <w:szCs w:val="18"/>
                <w:color w:val="auto"/>
              </w:rPr>
              <w:t>1,285</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1,307</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Indirect auto</w:t>
            </w:r>
          </w:p>
        </w:tc>
        <w:tc>
          <w:tcPr>
            <w:tcW w:w="120" w:type="dxa"/>
            <w:vAlign w:val="bottom"/>
          </w:tcPr>
          <w:p>
            <w:pPr>
              <w:spacing w:after="0"/>
              <w:rPr>
                <w:sz w:val="20"/>
                <w:szCs w:val="20"/>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786</w:t>
            </w:r>
          </w:p>
        </w:tc>
        <w:tc>
          <w:tcPr>
            <w:tcW w:w="120" w:type="dxa"/>
            <w:vAlign w:val="bottom"/>
          </w:tcPr>
          <w:p>
            <w:pPr>
              <w:spacing w:after="0"/>
              <w:rPr>
                <w:sz w:val="20"/>
                <w:szCs w:val="20"/>
                <w:color w:val="auto"/>
              </w:rPr>
            </w:pPr>
          </w:p>
        </w:tc>
        <w:tc>
          <w:tcPr>
            <w:tcW w:w="780" w:type="dxa"/>
            <w:vAlign w:val="bottom"/>
            <w:gridSpan w:val="2"/>
          </w:tcPr>
          <w:p>
            <w:pPr>
              <w:jc w:val="right"/>
              <w:ind w:right="128"/>
              <w:spacing w:after="0"/>
              <w:rPr>
                <w:sz w:val="20"/>
                <w:szCs w:val="20"/>
                <w:color w:val="auto"/>
              </w:rPr>
            </w:pPr>
            <w:r>
              <w:rPr>
                <w:rFonts w:ascii="Arial" w:cs="Arial" w:eastAsia="Arial" w:hAnsi="Arial"/>
                <w:sz w:val="18"/>
                <w:szCs w:val="18"/>
                <w:color w:val="auto"/>
              </w:rPr>
              <w:t>346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58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b w:val="1"/>
                <w:bCs w:val="1"/>
                <w:color w:val="auto"/>
              </w:rPr>
              <w:t>Total NPAs</w:t>
            </w:r>
          </w:p>
        </w:tc>
        <w:tc>
          <w:tcPr>
            <w:tcW w:w="120" w:type="dxa"/>
            <w:vAlign w:val="bottom"/>
            <w:tcBorders>
              <w:top w:val="single" w:sz="8" w:color="auto"/>
              <w:bottom w:val="single" w:sz="8" w:color="auto"/>
            </w:tcBorders>
            <w:shd w:val="clear" w:color="auto" w:fill="F0FFFF"/>
          </w:tcPr>
          <w:p>
            <w:pPr>
              <w:spacing w:after="0"/>
              <w:rPr>
                <w:sz w:val="21"/>
                <w:szCs w:val="21"/>
                <w:color w:val="auto"/>
              </w:rPr>
            </w:pP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22,653</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1"/>
                <w:szCs w:val="21"/>
                <w:color w:val="auto"/>
              </w:rPr>
            </w:pP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4,883</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spacing w:after="0"/>
              <w:rPr>
                <w:sz w:val="21"/>
                <w:szCs w:val="21"/>
                <w:color w:val="auto"/>
              </w:rPr>
            </w:pP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8"/>
              </w:rPr>
              <w:t>27,536</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17,881</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1,726</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8"/>
              </w:rPr>
              <w:t>19,607</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5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in nonperforming assets by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Activity in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2"/>
              </w:rPr>
              <w:t xml:space="preserve">2014 </w:t>
            </w:r>
            <w:r>
              <w:rPr>
                <w:rFonts w:ascii="Arial" w:cs="Arial" w:eastAsia="Arial" w:hAnsi="Arial"/>
                <w:sz w:val="23"/>
                <w:szCs w:val="23"/>
                <w:b w:val="1"/>
                <w:bCs w:val="1"/>
                <w:color w:val="auto"/>
                <w:w w:val="92"/>
                <w:vertAlign w:val="superscript"/>
              </w:rPr>
              <w:t>(1)</w:t>
            </w: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 xml:space="preserve">2013 </w:t>
            </w:r>
            <w:r>
              <w:rPr>
                <w:rFonts w:ascii="Arial" w:cs="Arial" w:eastAsia="Arial" w:hAnsi="Arial"/>
                <w:sz w:val="23"/>
                <w:szCs w:val="23"/>
                <w:b w:val="1"/>
                <w:bCs w:val="1"/>
                <w:color w:val="auto"/>
                <w:w w:val="89"/>
                <w:vertAlign w:val="superscript"/>
              </w:rPr>
              <w:t>(1)</w:t>
            </w:r>
          </w:p>
        </w:tc>
        <w:tc>
          <w:tcPr>
            <w:tcW w:w="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60" w:type="dxa"/>
            <w:vAlign w:val="bottom"/>
            <w:gridSpan w:val="3"/>
          </w:tcPr>
          <w:p>
            <w:pPr>
              <w:jc w:val="right"/>
              <w:ind w:right="300"/>
              <w:spacing w:after="0" w:line="139" w:lineRule="exact"/>
              <w:rPr>
                <w:sz w:val="20"/>
                <w:szCs w:val="20"/>
                <w:color w:val="auto"/>
              </w:rPr>
            </w:pPr>
            <w:r>
              <w:rPr>
                <w:rFonts w:ascii="Arial" w:cs="Arial" w:eastAsia="Arial" w:hAnsi="Arial"/>
                <w:sz w:val="14"/>
                <w:szCs w:val="14"/>
                <w:b w:val="1"/>
                <w:bCs w:val="1"/>
                <w:color w:val="auto"/>
                <w:w w:val="96"/>
              </w:rPr>
              <w:t>Nonaccrual</w:t>
            </w:r>
          </w:p>
        </w:tc>
        <w:tc>
          <w:tcPr>
            <w:tcW w:w="80" w:type="dxa"/>
            <w:vAlign w:val="bottom"/>
          </w:tcPr>
          <w:p>
            <w:pPr>
              <w:spacing w:after="0"/>
              <w:rPr>
                <w:sz w:val="12"/>
                <w:szCs w:val="12"/>
                <w:color w:val="auto"/>
              </w:rPr>
            </w:pPr>
          </w:p>
        </w:tc>
        <w:tc>
          <w:tcPr>
            <w:tcW w:w="98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88"/>
              </w:rPr>
              <w:t>Foreclosed</w:t>
            </w:r>
          </w:p>
        </w:tc>
        <w:tc>
          <w:tcPr>
            <w:tcW w:w="140" w:type="dxa"/>
            <w:vAlign w:val="bottom"/>
          </w:tcPr>
          <w:p>
            <w:pPr>
              <w:spacing w:after="0"/>
              <w:rPr>
                <w:sz w:val="12"/>
                <w:szCs w:val="12"/>
                <w:color w:val="auto"/>
              </w:rPr>
            </w:pPr>
          </w:p>
        </w:tc>
        <w:tc>
          <w:tcPr>
            <w:tcW w:w="660" w:type="dxa"/>
            <w:vAlign w:val="bottom"/>
          </w:tcPr>
          <w:p>
            <w:pPr>
              <w:jc w:val="right"/>
              <w:ind w:right="168"/>
              <w:spacing w:after="0" w:line="139"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1060" w:type="dxa"/>
            <w:vAlign w:val="bottom"/>
            <w:gridSpan w:val="3"/>
          </w:tcPr>
          <w:p>
            <w:pPr>
              <w:jc w:val="right"/>
              <w:ind w:right="300"/>
              <w:spacing w:after="0" w:line="139" w:lineRule="exact"/>
              <w:rPr>
                <w:sz w:val="20"/>
                <w:szCs w:val="20"/>
                <w:color w:val="auto"/>
              </w:rPr>
            </w:pPr>
            <w:r>
              <w:rPr>
                <w:rFonts w:ascii="Arial" w:cs="Arial" w:eastAsia="Arial" w:hAnsi="Arial"/>
                <w:sz w:val="14"/>
                <w:szCs w:val="14"/>
                <w:b w:val="1"/>
                <w:bCs w:val="1"/>
                <w:color w:val="auto"/>
                <w:w w:val="96"/>
              </w:rPr>
              <w:t>Nonaccrual</w:t>
            </w:r>
          </w:p>
        </w:tc>
        <w:tc>
          <w:tcPr>
            <w:tcW w:w="920" w:type="dxa"/>
            <w:vAlign w:val="bottom"/>
            <w:gridSpan w:val="3"/>
          </w:tcPr>
          <w:p>
            <w:pPr>
              <w:jc w:val="right"/>
              <w:ind w:right="200"/>
              <w:spacing w:after="0" w:line="139" w:lineRule="exact"/>
              <w:rPr>
                <w:sz w:val="20"/>
                <w:szCs w:val="20"/>
                <w:color w:val="auto"/>
              </w:rPr>
            </w:pPr>
            <w:r>
              <w:rPr>
                <w:rFonts w:ascii="Arial" w:cs="Arial" w:eastAsia="Arial" w:hAnsi="Arial"/>
                <w:sz w:val="14"/>
                <w:szCs w:val="14"/>
                <w:b w:val="1"/>
                <w:bCs w:val="1"/>
                <w:color w:val="auto"/>
                <w:w w:val="93"/>
              </w:rPr>
              <w:t>Foreclosed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68"/>
              <w:spacing w:after="0" w:line="13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60"/>
              <w:spacing w:after="0" w:line="139" w:lineRule="exact"/>
              <w:rPr>
                <w:sz w:val="20"/>
                <w:szCs w:val="20"/>
                <w:color w:val="auto"/>
              </w:rPr>
            </w:pPr>
            <w:r>
              <w:rPr>
                <w:rFonts w:ascii="Arial" w:cs="Arial" w:eastAsia="Arial" w:hAnsi="Arial"/>
                <w:sz w:val="14"/>
                <w:szCs w:val="14"/>
                <w:b w:val="1"/>
                <w:bCs w:val="1"/>
                <w:color w:val="auto"/>
                <w:w w:val="96"/>
              </w:rPr>
              <w:t>Nonaccrual</w:t>
            </w:r>
          </w:p>
        </w:tc>
        <w:tc>
          <w:tcPr>
            <w:tcW w:w="80" w:type="dxa"/>
            <w:vAlign w:val="bottom"/>
          </w:tcPr>
          <w:p>
            <w:pPr>
              <w:spacing w:after="0"/>
              <w:rPr>
                <w:sz w:val="12"/>
                <w:szCs w:val="12"/>
                <w:color w:val="auto"/>
              </w:rPr>
            </w:pPr>
          </w:p>
        </w:tc>
        <w:tc>
          <w:tcPr>
            <w:tcW w:w="92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88"/>
              </w:rPr>
              <w:t>Foreclosed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68"/>
              <w:spacing w:after="0" w:line="139"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Properties</w:t>
            </w:r>
          </w:p>
        </w:tc>
        <w:tc>
          <w:tcPr>
            <w:tcW w:w="140" w:type="dxa"/>
            <w:vAlign w:val="bottom"/>
          </w:tcPr>
          <w:p>
            <w:pPr>
              <w:spacing w:after="0"/>
              <w:rPr>
                <w:sz w:val="15"/>
                <w:szCs w:val="15"/>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NPAs</w:t>
            </w:r>
          </w:p>
        </w:tc>
        <w:tc>
          <w:tcPr>
            <w:tcW w:w="14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Properties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NPAs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Loans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Properties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Beginning Balance</w:t>
            </w:r>
          </w:p>
        </w:tc>
        <w:tc>
          <w:tcPr>
            <w:tcW w:w="1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17,881</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F0FFFF"/>
          </w:tcPr>
          <w:p>
            <w:pPr>
              <w:jc w:val="right"/>
              <w:ind w:right="260"/>
              <w:spacing w:after="0" w:line="149" w:lineRule="exact"/>
              <w:rPr>
                <w:sz w:val="20"/>
                <w:szCs w:val="20"/>
                <w:color w:val="auto"/>
              </w:rPr>
            </w:pPr>
            <w:r>
              <w:rPr>
                <w:rFonts w:ascii="Arial" w:cs="Arial" w:eastAsia="Arial" w:hAnsi="Arial"/>
                <w:sz w:val="14"/>
                <w:szCs w:val="14"/>
                <w:color w:val="auto"/>
              </w:rPr>
              <w:t>1,726</w:t>
            </w:r>
          </w:p>
        </w:tc>
        <w:tc>
          <w:tcPr>
            <w:tcW w:w="140" w:type="dxa"/>
            <w:vAlign w:val="bottom"/>
            <w:shd w:val="clear" w:color="auto" w:fill="F0FF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19,607</w:t>
            </w:r>
          </w:p>
        </w:tc>
        <w:tc>
          <w:tcPr>
            <w:tcW w:w="1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26,819</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4,221</w:t>
            </w:r>
          </w:p>
        </w:tc>
        <w:tc>
          <w:tcPr>
            <w:tcW w:w="240" w:type="dxa"/>
            <w:vAlign w:val="bottom"/>
            <w:gridSpan w:val="2"/>
            <w:shd w:val="clear" w:color="auto" w:fill="F0FF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31,040</w:t>
            </w:r>
          </w:p>
        </w:tc>
        <w:tc>
          <w:tcPr>
            <w:tcW w:w="22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109,894</w:t>
            </w:r>
          </w:p>
        </w:tc>
        <w:tc>
          <w:tcPr>
            <w:tcW w:w="16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18,264</w:t>
            </w:r>
          </w:p>
        </w:tc>
        <w:tc>
          <w:tcPr>
            <w:tcW w:w="240" w:type="dxa"/>
            <w:vAlign w:val="bottom"/>
            <w:gridSpan w:val="2"/>
            <w:shd w:val="clear" w:color="auto" w:fill="F0FF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128,158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Acquisitions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4,225</w:t>
            </w:r>
          </w:p>
        </w:tc>
        <w:tc>
          <w:tcPr>
            <w:tcW w:w="1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4,225</w:t>
            </w:r>
          </w:p>
        </w:tc>
        <w:tc>
          <w:tcPr>
            <w:tcW w:w="1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Loans placed on non-accrual</w:t>
            </w:r>
          </w:p>
        </w:tc>
        <w:tc>
          <w:tcPr>
            <w:tcW w:w="14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32,187</w:t>
            </w: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32,187</w:t>
            </w:r>
          </w:p>
        </w:tc>
        <w:tc>
          <w:tcPr>
            <w:tcW w:w="14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33,637</w:t>
            </w: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33,637</w:t>
            </w: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43,867</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43,867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Payments received</w:t>
            </w:r>
          </w:p>
        </w:tc>
        <w:tc>
          <w:tcPr>
            <w:tcW w:w="1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(14,478)</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(14,478)</w:t>
            </w:r>
          </w:p>
        </w:tc>
        <w:tc>
          <w:tcPr>
            <w:tcW w:w="1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(14,108)</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(14,108)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(60,035)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(60,035)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Loan charge-offs</w:t>
            </w:r>
          </w:p>
        </w:tc>
        <w:tc>
          <w:tcPr>
            <w:tcW w:w="14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(8,036)</w:t>
            </w: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(8,036)</w:t>
            </w:r>
          </w:p>
        </w:tc>
        <w:tc>
          <w:tcPr>
            <w:tcW w:w="14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(19,374)</w:t>
            </w: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(19,374)</w:t>
            </w: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(44,444)</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(44,444)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Foreclosures</w:t>
            </w:r>
          </w:p>
        </w:tc>
        <w:tc>
          <w:tcPr>
            <w:tcW w:w="1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(4,901)</w:t>
            </w:r>
          </w:p>
        </w:tc>
        <w:tc>
          <w:tcPr>
            <w:tcW w:w="80" w:type="dxa"/>
            <w:vAlign w:val="bottom"/>
          </w:tcPr>
          <w:p>
            <w:pPr>
              <w:spacing w:after="0"/>
              <w:rPr>
                <w:sz w:val="12"/>
                <w:szCs w:val="12"/>
                <w:color w:val="auto"/>
              </w:rPr>
            </w:pP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4,925</w:t>
            </w:r>
          </w:p>
        </w:tc>
        <w:tc>
          <w:tcPr>
            <w:tcW w:w="1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(9,093)</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9,093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(22,463)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22,463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Capitalized costs</w:t>
            </w: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256</w:t>
            </w:r>
          </w:p>
        </w:tc>
        <w:tc>
          <w:tcPr>
            <w:tcW w:w="26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256</w:t>
            </w:r>
          </w:p>
        </w:tc>
        <w:tc>
          <w:tcPr>
            <w:tcW w:w="2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209</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209</w:t>
            </w: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Note / property sales</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(6,887)</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(6,887)</w:t>
            </w:r>
          </w:p>
        </w:tc>
        <w:tc>
          <w:tcPr>
            <w:tcW w:w="14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(12,501)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Write downs</w:t>
            </w:r>
          </w:p>
        </w:tc>
        <w:tc>
          <w:tcPr>
            <w:tcW w:w="140" w:type="dxa"/>
            <w:vAlign w:val="bottom"/>
            <w:shd w:val="clear" w:color="auto" w:fill="F0FFFF"/>
          </w:tcPr>
          <w:p>
            <w:pPr>
              <w:spacing w:after="0"/>
              <w:rPr>
                <w:sz w:val="12"/>
                <w:szCs w:val="12"/>
                <w:color w:val="auto"/>
              </w:rPr>
            </w:pP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(243)</w:t>
            </w:r>
          </w:p>
        </w:tc>
        <w:tc>
          <w:tcPr>
            <w:tcW w:w="14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(243)</w:t>
            </w:r>
          </w:p>
        </w:tc>
        <w:tc>
          <w:tcPr>
            <w:tcW w:w="14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(691)</w:t>
            </w:r>
          </w:p>
        </w:tc>
        <w:tc>
          <w:tcPr>
            <w:tcW w:w="1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(691)</w:t>
            </w:r>
          </w:p>
        </w:tc>
        <w:tc>
          <w:tcPr>
            <w:tcW w:w="8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(3,065)</w:t>
            </w:r>
          </w:p>
        </w:tc>
        <w:tc>
          <w:tcPr>
            <w:tcW w:w="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(3,065)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Arial" w:cs="Arial" w:eastAsia="Arial" w:hAnsi="Arial"/>
                <w:sz w:val="14"/>
                <w:szCs w:val="14"/>
                <w:color w:val="auto"/>
              </w:rPr>
              <w:t>Net gains on sales</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881</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881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1,395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1,395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(1,642)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2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b w:val="1"/>
                <w:bCs w:val="1"/>
                <w:color w:val="auto"/>
              </w:rPr>
              <w:t>Ending Balance</w:t>
            </w: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22,653</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4,883</w:t>
            </w:r>
          </w:p>
        </w:tc>
        <w:tc>
          <w:tcPr>
            <w:tcW w:w="26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jc w:val="right"/>
              <w:ind w:right="2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27,536</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17,881</w:t>
            </w:r>
          </w:p>
        </w:tc>
        <w:tc>
          <w:tcPr>
            <w:tcW w:w="24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1,726</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jc w:val="right"/>
              <w:ind w:right="2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19,607</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26,819</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4,221</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31,040</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72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8"/>
          <w:szCs w:val="28"/>
          <w:color w:val="auto"/>
          <w:vertAlign w:val="superscript"/>
        </w:rPr>
      </w:pPr>
      <w:r>
        <w:rPr>
          <w:rFonts w:ascii="Arial" w:cs="Arial" w:eastAsia="Arial" w:hAnsi="Arial"/>
          <w:sz w:val="17"/>
          <w:szCs w:val="17"/>
          <w:color w:val="auto"/>
        </w:rPr>
        <w:t>Excludes nonperforming loans and foreclosed property covered by loss sharing agreements with the FDIC related to the acquisition of SCB.</w:t>
      </w:r>
    </w:p>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6"/>
          <w:szCs w:val="16"/>
          <w:i w:val="1"/>
          <w:iCs w:val="1"/>
          <w:color w:val="auto"/>
        </w:rPr>
        <w:t>Real Estate Sales.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spacing w:after="0" w:line="264" w:lineRule="auto"/>
        <w:rPr>
          <w:sz w:val="20"/>
          <w:szCs w:val="20"/>
          <w:color w:val="auto"/>
        </w:rPr>
      </w:pPr>
      <w:r>
        <w:rPr>
          <w:rFonts w:ascii="Arial" w:cs="Arial" w:eastAsia="Arial" w:hAnsi="Arial"/>
          <w:sz w:val="18"/>
          <w:szCs w:val="18"/>
          <w:color w:val="auto"/>
        </w:rPr>
        <w:t>In 2015, 2014 and 2013, United transferred $4.93 million, $9.09 million and $22.5 million, respectively, of loans into foreclosed property. During 2015, 2014 and 2013, proceeds from sales of foreclosed properties were $6.89 million, $12.5 million, and $31.9 million, respectively, which includes $1.54 million, $2.50 million, and $3.49 million, respectively, of sales that were financed by United.</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gross additional interest revenue that would have been earned if the loans classified as nonaccrual had performed in accordance with the original terms was approximately $1.11 million, $1.71 million and $2.11 million in 2015, 2014 and 2013, respectively. The gross additional interest income that would have been earned in 2015, 2014 and 2013 had performing TDRs performed in accordance with the original terms is immaterial.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December 31, 2015 increased $458 million from a year ago.</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2015 and December 31, 2014, United had securities held-to-maturity with a carrying value of $365 million and $415 million, respectively, and securities available-for-sale totaling $2.29 billion and $1.78 billion, respectively. At December 31, 2015 and 2014, the securities portfolio represented approximately 28% and 29%, respectively, of total assets. At December 31, 2015, the average life of the investment portfolio was longer, with an effective duration of 2.92 years compared with 2.46 years at December 31,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carrying value of United’s investment securities.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16 - Carrying Value of Investment Securities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2015</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Available-for-Sale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Held-to-Maturity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Total Securities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U.S. Treasuries</w:t>
            </w:r>
          </w:p>
        </w:tc>
        <w:tc>
          <w:tcPr>
            <w:tcW w:w="18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168,706</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168,706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112,340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112,340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56,268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62,073</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118,341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1,113,118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302,623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1,415,741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306,026</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306,026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533,242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533,242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1,811</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Borders>
              <w:top w:val="single" w:sz="8" w:color="F0FFFF"/>
            </w:tcBorders>
          </w:tcPr>
          <w:p>
            <w:pPr>
              <w:ind w:left="140"/>
              <w:spacing w:after="0"/>
              <w:rPr>
                <w:sz w:val="20"/>
                <w:szCs w:val="20"/>
                <w:color w:val="auto"/>
              </w:rPr>
            </w:pPr>
            <w:r>
              <w:rPr>
                <w:rFonts w:ascii="Arial" w:cs="Arial" w:eastAsia="Arial" w:hAnsi="Arial"/>
                <w:sz w:val="18"/>
                <w:szCs w:val="18"/>
                <w:color w:val="auto"/>
              </w:rPr>
              <w:t>Total securities</w:t>
            </w:r>
          </w:p>
        </w:tc>
        <w:tc>
          <w:tcPr>
            <w:tcW w:w="176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2,291,511</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364,696</w:t>
            </w:r>
          </w:p>
        </w:tc>
        <w:tc>
          <w:tcPr>
            <w:tcW w:w="180" w:type="dxa"/>
            <w:vAlign w:val="bottom"/>
            <w:tcBorders>
              <w:top w:val="single" w:sz="8" w:color="F0FFFF"/>
            </w:tcBorders>
          </w:tcPr>
          <w:p>
            <w:pPr>
              <w:spacing w:after="0"/>
              <w:rPr>
                <w:sz w:val="18"/>
                <w:szCs w:val="18"/>
                <w:color w:val="auto"/>
              </w:rPr>
            </w:pPr>
          </w:p>
        </w:tc>
        <w:tc>
          <w:tcPr>
            <w:tcW w:w="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2,656,207</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2014</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Available-for-Sale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Held-to-Maturity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Total Securities</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U.S. Treasuries</w:t>
            </w:r>
          </w:p>
        </w:tc>
        <w:tc>
          <w:tcPr>
            <w:tcW w:w="18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105,709</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105,709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36,299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36,299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20,233</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48,157</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68,390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996,820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367,110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1,363,930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165,628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165,628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455,928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455,928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2,117</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tcBorders>
              <w:top w:val="single" w:sz="8" w:color="F0FFFF"/>
            </w:tcBorders>
          </w:tcPr>
          <w:p>
            <w:pPr>
              <w:ind w:left="140"/>
              <w:spacing w:after="0"/>
              <w:rPr>
                <w:sz w:val="20"/>
                <w:szCs w:val="20"/>
                <w:color w:val="auto"/>
              </w:rPr>
            </w:pPr>
            <w:r>
              <w:rPr>
                <w:rFonts w:ascii="Arial" w:cs="Arial" w:eastAsia="Arial" w:hAnsi="Arial"/>
                <w:sz w:val="18"/>
                <w:szCs w:val="18"/>
                <w:color w:val="auto"/>
              </w:rPr>
              <w:t>Total securities</w:t>
            </w:r>
          </w:p>
        </w:tc>
        <w:tc>
          <w:tcPr>
            <w:tcW w:w="176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1,782,734</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415,267</w:t>
            </w:r>
          </w:p>
        </w:tc>
        <w:tc>
          <w:tcPr>
            <w:tcW w:w="180" w:type="dxa"/>
            <w:vAlign w:val="bottom"/>
            <w:tcBorders>
              <w:top w:val="single" w:sz="8" w:color="F0FFFF"/>
            </w:tcBorders>
          </w:tcPr>
          <w:p>
            <w:pPr>
              <w:spacing w:after="0"/>
              <w:rPr>
                <w:sz w:val="18"/>
                <w:szCs w:val="18"/>
                <w:color w:val="auto"/>
              </w:rPr>
            </w:pPr>
          </w:p>
        </w:tc>
        <w:tc>
          <w:tcPr>
            <w:tcW w:w="20" w:type="dxa"/>
            <w:vAlign w:val="bottom"/>
            <w:tcBorders>
              <w:top w:val="single" w:sz="8" w:color="F0FF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2,198,001</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investment securities portfolio primarily consists of U.S.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differ from the contractual maturities because the loans underlying the security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that are backed by student loans.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other than temporarily impaired. In making this evaluation, management considers its ability and intent to hold securities to recover current market losses. Losses on United’s fixed income securities at December 31, 2015 primarily reflect the effect of changes in interest rates. United did not recognize any other than temporary impairment losses on its investment securities in 2015, 2014 or 2013.</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2015, United had 53% of its total investment securities portfolio in mortgage backed securities, compared with 62% at December 31, 2014. United has continued to purchase mortgage-backed securities in order to obtain a favorable yield with low risk. United did not have securities of any issuer in excess of 10% of equity at year-end 2015 or 2014, excluding U.S. Government sponsored entities. Approximately 3% of the securities portfolio is rated below “A” or unrated and 17% of securities, excluding non-government agency securities, are rated “Aaa”. See Note 6 to the consolidated financial statements for further discussion of investment portfolio and related fair value and maturity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core deposit intangibles representing the value of United’s acquired deposit base, are amortizing intangible assets that are required to be tested for impairment only when events or circumstances indicate that impairment may exist. There were no events or circumstances that lead management to believe that any impairment exists in United’s other intangible assets.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United’s goodwill represents the premium paid for acquired companies above the fair value of the assets acquired and liabilities assumed, including separately identifiable intangible assets. United evaluates its goodwill annually, or more frequently if necessary, to determine if any impairment exists.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has initiated several deposit programs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United’s high level of service, as evidenced by its strong customer satisfaction scores, has been instrumental in attracting and retaining deposits.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Total customer deposits, excluding brokered deposits, as of December 31, 2015 were $7.53 billion, an increase of $1.63 billion from December 31, 2014. Total core deposits (demand, NOW, money market and savings deposits, excluding public funds deposits) of $5.25 billion increased $1.56 billion, or 42%, due to the Palmetto and MoneyTree acquisitions and the success of core deposit incentive programs.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time deposits, excluding brokered deposits, as of December 31, 2015 were $1.28 billion, up $26.1 million from December 31, 2014, primarily due to the acquisitions in 2015. United continued to offer low rates on certificates of deposit, allowing organic balances to decline and shift to lower cost transaction account deposits.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Brokered deposits totaled $347 million as of December 31, 2015, a decrease of $78.1 million from December 31, 2014, and included NOW accounts, money market deposits and certificates of deposit. Brokered certificates of deposit accounted for $242 million and $273 million of the balance at December 31, 2015 and 2014, respectively. United added long-term deposits to diversify the funding base. These are typically swapped to LIBOR minus a spread, which achieves low cost funding within our interest rate risk parameters.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following table sets forth the scheduled maturities of time deposits of $250,000 and greater and brokered time deposits.</w:t>
      </w: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Table 17 - Maturities of Time Deposits of $250,000 and Greater and Brokered Time Deposits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(in thousands)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352"/>
        </w:trPr>
        <w:tc>
          <w:tcPr>
            <w:tcW w:w="20" w:type="dxa"/>
            <w:vAlign w:val="bottom"/>
          </w:tcPr>
          <w:p>
            <w:pPr>
              <w:spacing w:after="0"/>
              <w:rPr>
                <w:sz w:val="24"/>
                <w:szCs w:val="24"/>
                <w:color w:val="auto"/>
              </w:rPr>
            </w:pPr>
          </w:p>
        </w:tc>
        <w:tc>
          <w:tcPr>
            <w:tcW w:w="4100" w:type="dxa"/>
            <w:vAlign w:val="bottom"/>
            <w:tcBorders>
              <w:bottom w:val="single" w:sz="8" w:color="F0FFFF"/>
            </w:tcBorders>
          </w:tcPr>
          <w:p>
            <w:pPr>
              <w:spacing w:after="0"/>
              <w:rPr>
                <w:sz w:val="24"/>
                <w:szCs w:val="24"/>
                <w:color w:val="auto"/>
              </w:rPr>
            </w:pPr>
          </w:p>
        </w:tc>
        <w:tc>
          <w:tcPr>
            <w:tcW w:w="2400" w:type="dxa"/>
            <w:vAlign w:val="bottom"/>
            <w:tcBorders>
              <w:bottom w:val="single" w:sz="8" w:color="F0FF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F0FF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r>
              <w:rPr>
                <w:rFonts w:ascii="Arial" w:cs="Arial" w:eastAsia="Arial" w:hAnsi="Arial"/>
                <w:sz w:val="30"/>
                <w:szCs w:val="30"/>
                <w:b w:val="1"/>
                <w:bCs w:val="1"/>
                <w:color w:val="auto"/>
                <w:vertAlign w:val="superscript"/>
              </w:rPr>
              <w:t>(1)</w:t>
            </w:r>
          </w:p>
        </w:tc>
        <w:tc>
          <w:tcPr>
            <w:tcW w:w="80" w:type="dxa"/>
            <w:vAlign w:val="bottom"/>
            <w:tcBorders>
              <w:bottom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8"/>
                <w:szCs w:val="18"/>
                <w:color w:val="auto"/>
              </w:rPr>
              <w:t>$250,000 and greater:</w:t>
            </w:r>
          </w:p>
        </w:tc>
        <w:tc>
          <w:tcPr>
            <w:tcW w:w="24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Three months or less</w:t>
            </w:r>
          </w:p>
        </w:tc>
        <w:tc>
          <w:tcPr>
            <w:tcW w:w="26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46,736</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Three to six months</w:t>
            </w:r>
          </w:p>
        </w:tc>
        <w:tc>
          <w:tcPr>
            <w:tcW w:w="24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23,886</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29,882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Six to twelve months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38,143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Over one year</w:t>
            </w:r>
          </w:p>
        </w:tc>
        <w:tc>
          <w:tcPr>
            <w:tcW w:w="24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30,180</w:t>
            </w:r>
          </w:p>
        </w:tc>
        <w:tc>
          <w:tcPr>
            <w:tcW w:w="1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26,534</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Total</w:t>
            </w:r>
          </w:p>
        </w:tc>
        <w:tc>
          <w:tcPr>
            <w:tcW w:w="240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138,945</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F0FFFF"/>
            </w:tcBorders>
          </w:tcPr>
          <w:p>
            <w:pPr>
              <w:spacing w:after="0" w:line="20" w:lineRule="exact"/>
              <w:rPr>
                <w:sz w:val="1"/>
                <w:szCs w:val="1"/>
                <w:color w:val="auto"/>
              </w:rPr>
            </w:pPr>
          </w:p>
        </w:tc>
        <w:tc>
          <w:tcPr>
            <w:tcW w:w="24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F0FFFF"/>
          </w:tcPr>
          <w:p>
            <w:pPr>
              <w:spacing w:after="0"/>
              <w:rPr>
                <w:sz w:val="18"/>
                <w:szCs w:val="18"/>
                <w:color w:val="auto"/>
              </w:rPr>
            </w:pPr>
          </w:p>
        </w:tc>
        <w:tc>
          <w:tcPr>
            <w:tcW w:w="24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Brokered time deposits: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Three months or less</w:t>
            </w:r>
          </w:p>
        </w:tc>
        <w:tc>
          <w:tcPr>
            <w:tcW w:w="2660" w:type="dxa"/>
            <w:vAlign w:val="bottom"/>
            <w:gridSpan w:val="2"/>
            <w:shd w:val="clear" w:color="auto" w:fill="F0FFFF"/>
          </w:tcPr>
          <w:p>
            <w:pPr>
              <w:jc w:val="right"/>
              <w:ind w:right="105"/>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Three to six months</w:t>
            </w:r>
          </w:p>
        </w:tc>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Six to twelve months</w:t>
            </w:r>
          </w:p>
        </w:tc>
        <w:tc>
          <w:tcPr>
            <w:tcW w:w="24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Over one year</w:t>
            </w:r>
          </w:p>
        </w:tc>
        <w:tc>
          <w:tcPr>
            <w:tcW w:w="240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241,740</w:t>
            </w:r>
          </w:p>
        </w:tc>
        <w:tc>
          <w:tcPr>
            <w:tcW w:w="16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272,834</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10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auto"/>
            </w:tcBorders>
            <w:shd w:val="clear" w:color="auto" w:fill="F0FF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241,740</w:t>
            </w:r>
          </w:p>
        </w:tc>
        <w:tc>
          <w:tcPr>
            <w:tcW w:w="1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272,834</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24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8" w:lineRule="exact"/>
        <w:rPr>
          <w:sz w:val="20"/>
          <w:szCs w:val="20"/>
          <w:color w:val="auto"/>
        </w:rPr>
      </w:pPr>
    </w:p>
    <w:p>
      <w:pPr>
        <w:ind w:left="1360" w:hanging="211"/>
        <w:spacing w:after="0"/>
        <w:tabs>
          <w:tab w:leader="none" w:pos="1360"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Updated from previous presentations to conform to the FDIC’s insurance limit of $250,000.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$430 million and $270 million at December 31, 2015 and 2014, respectively. United anticipates continued use of this short and long-term source of funds. FHLB advances outstanding at December 31, 2015 had maturity dates in 2016 and interest rates of .60% or less. United will prepay advances from time to time as funding needs change. Additional information regarding FHLB advances, including scheduled maturities, is provided in Note 12 to the consolidated financial statements.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2015 and 2014, United had $16.6 million and $6 million in repurchase agreements outstanding. At December 31, 2015, the outstanding repurchase agreements were retail repurchase agreements offered to customers as an alternative investment tool to conventional savings deposits. In connection with the agreements, the client buys an interest in a pool of U.S. government, U.S. agency or state and municipal investment securities. Funds are swept daily between the client and the bank. Retail repurchase agreements are not insured deposits.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objective of liquidity management is to ensure that sufficient funding is available, at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the ability to raise additional funds by increasing liabilities. Liquidity management involves maintaining United’s ability to meet the daily cash flow requirements of the Bank’s customers, both depositors and borrowers.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because United’s holding company is a separate entity and apart from the Bank, it must provide for its own liquidity. United’s holding company is responsible for the payment of dividends declared for its common and preferred shareholders, and interest and principal on any outstanding debt or trust preferred securities. United’s holding company currently has internal capital resources to meet these obligations. While United’s holding company has access to the capital markets, the ultimate source of holding company liquidity is subsidiary service fees and dividends from the Bank, which are limited by applicable law and regulations. In 2015 and 2014, the Bank paid dividends of $77.5 million and $129 million, respectively, to the holding company. Also in 2015, the holding company received $3.50 million in dividends from its captive insurance subsidiary, United Community Risk Management Services, Inc.</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in various interest rate environments. Daily monitoring of the sources and uses of funds is necessary to maintain a position that meets both requirements.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The Bank also maintains excess funds in short-term, interest-bearing assets that provide additional liquidity.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are used as necessary to fund asset growth and meet other short-term liquidity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summary of United’s short-term borrowings over the last three years.</w:t>
      </w:r>
    </w:p>
    <w:p>
      <w:pPr>
        <w:spacing w:after="0" w:line="221"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Table 18 - Short-Term Borrowings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(in thousands)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color w:val="auto"/>
                <w:w w:val="88"/>
              </w:rPr>
              <w:t>Average</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Period end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55"/>
              <w:spacing w:after="0" w:line="149" w:lineRule="exact"/>
              <w:rPr>
                <w:sz w:val="20"/>
                <w:szCs w:val="20"/>
                <w:color w:val="auto"/>
              </w:rPr>
            </w:pPr>
            <w:r>
              <w:rPr>
                <w:rFonts w:ascii="Arial" w:cs="Arial" w:eastAsia="Arial" w:hAnsi="Arial"/>
                <w:sz w:val="14"/>
                <w:szCs w:val="14"/>
                <w:color w:val="auto"/>
                <w:w w:val="98"/>
              </w:rPr>
              <w:t>Maximum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36"/>
              <w:spacing w:after="0" w:line="149" w:lineRule="exact"/>
              <w:rPr>
                <w:sz w:val="20"/>
                <w:szCs w:val="20"/>
                <w:color w:val="auto"/>
              </w:rPr>
            </w:pPr>
            <w:r>
              <w:rPr>
                <w:rFonts w:ascii="Arial" w:cs="Arial" w:eastAsia="Arial" w:hAnsi="Arial"/>
                <w:sz w:val="14"/>
                <w:szCs w:val="14"/>
                <w:color w:val="auto"/>
                <w:w w:val="93"/>
              </w:rPr>
              <w:t>amounts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weighted-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75"/>
              <w:spacing w:after="0" w:line="149" w:lineRule="exact"/>
              <w:rPr>
                <w:sz w:val="20"/>
                <w:szCs w:val="20"/>
                <w:color w:val="auto"/>
              </w:rPr>
            </w:pPr>
            <w:r>
              <w:rPr>
                <w:rFonts w:ascii="Arial" w:cs="Arial" w:eastAsia="Arial" w:hAnsi="Arial"/>
                <w:sz w:val="14"/>
                <w:szCs w:val="14"/>
                <w:color w:val="auto"/>
                <w:w w:val="91"/>
              </w:rPr>
              <w:t>outstanding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76"/>
              <w:spacing w:after="0" w:line="149" w:lineRule="exact"/>
              <w:rPr>
                <w:sz w:val="20"/>
                <w:szCs w:val="20"/>
                <w:color w:val="auto"/>
              </w:rPr>
            </w:pPr>
            <w:r>
              <w:rPr>
                <w:rFonts w:ascii="Arial" w:cs="Arial" w:eastAsia="Arial" w:hAnsi="Arial"/>
                <w:sz w:val="14"/>
                <w:szCs w:val="14"/>
                <w:color w:val="auto"/>
                <w:w w:val="91"/>
              </w:rPr>
              <w:t>outstanding</w:t>
            </w: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93"/>
              <w:spacing w:after="0" w:line="149" w:lineRule="exact"/>
              <w:rPr>
                <w:sz w:val="20"/>
                <w:szCs w:val="20"/>
                <w:color w:val="auto"/>
              </w:rPr>
            </w:pPr>
            <w:r>
              <w:rPr>
                <w:rFonts w:ascii="Arial" w:cs="Arial" w:eastAsia="Arial" w:hAnsi="Arial"/>
                <w:sz w:val="14"/>
                <w:szCs w:val="14"/>
                <w:color w:val="auto"/>
                <w:w w:val="96"/>
              </w:rPr>
              <w:t>Period-end</w:t>
            </w:r>
          </w:p>
        </w:tc>
        <w:tc>
          <w:tcPr>
            <w:tcW w:w="16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average</w:t>
            </w:r>
          </w:p>
        </w:tc>
        <w:tc>
          <w:tcPr>
            <w:tcW w:w="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at any month-</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76"/>
              <w:spacing w:after="0" w:line="149" w:lineRule="exact"/>
              <w:rPr>
                <w:sz w:val="20"/>
                <w:szCs w:val="20"/>
                <w:color w:val="auto"/>
              </w:rPr>
            </w:pPr>
            <w:r>
              <w:rPr>
                <w:rFonts w:ascii="Arial" w:cs="Arial" w:eastAsia="Arial" w:hAnsi="Arial"/>
                <w:sz w:val="14"/>
                <w:szCs w:val="14"/>
                <w:color w:val="auto"/>
                <w:w w:val="93"/>
              </w:rPr>
              <w:t>during the</w:t>
            </w:r>
          </w:p>
        </w:tc>
        <w:tc>
          <w:tcPr>
            <w:tcW w:w="16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average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193"/>
              <w:spacing w:after="0"/>
              <w:rPr>
                <w:sz w:val="20"/>
                <w:szCs w:val="20"/>
                <w:color w:val="auto"/>
              </w:rPr>
            </w:pPr>
            <w:r>
              <w:rPr>
                <w:rFonts w:ascii="Arial" w:cs="Arial" w:eastAsia="Arial" w:hAnsi="Arial"/>
                <w:sz w:val="14"/>
                <w:szCs w:val="14"/>
                <w:color w:val="auto"/>
              </w:rPr>
              <w:t>balance</w:t>
            </w:r>
          </w:p>
        </w:tc>
        <w:tc>
          <w:tcPr>
            <w:tcW w:w="16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interest rate</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5"/>
              <w:spacing w:after="0"/>
              <w:rPr>
                <w:sz w:val="20"/>
                <w:szCs w:val="20"/>
                <w:color w:val="auto"/>
              </w:rPr>
            </w:pPr>
            <w:r>
              <w:rPr>
                <w:rFonts w:ascii="Arial" w:cs="Arial" w:eastAsia="Arial" w:hAnsi="Arial"/>
                <w:sz w:val="14"/>
                <w:szCs w:val="14"/>
                <w:color w:val="auto"/>
                <w:w w:val="94"/>
              </w:rPr>
              <w:t>end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color w:val="auto"/>
                <w:w w:val="95"/>
              </w:rPr>
              <w:t>year</w:t>
            </w:r>
          </w:p>
        </w:tc>
        <w:tc>
          <w:tcPr>
            <w:tcW w:w="16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for the 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00" w:type="dxa"/>
            <w:vAlign w:val="bottom"/>
            <w:tcBorders>
              <w:top w:val="single" w:sz="8" w:color="F0FFFF"/>
            </w:tcBorders>
            <w:gridSpan w:val="2"/>
            <w:shd w:val="clear" w:color="auto" w:fill="F0FFFF"/>
          </w:tcPr>
          <w:p>
            <w:pPr>
              <w:spacing w:after="0" w:line="176" w:lineRule="exact"/>
              <w:rPr>
                <w:sz w:val="20"/>
                <w:szCs w:val="20"/>
                <w:color w:val="auto"/>
              </w:rPr>
            </w:pPr>
            <w:r>
              <w:rPr>
                <w:rFonts w:ascii="Arial" w:cs="Arial" w:eastAsia="Arial" w:hAnsi="Arial"/>
                <w:sz w:val="18"/>
                <w:szCs w:val="18"/>
                <w:color w:val="auto"/>
              </w:rPr>
              <w:t>December 31, 2015</w:t>
            </w:r>
          </w:p>
        </w:tc>
        <w:tc>
          <w:tcPr>
            <w:tcW w:w="76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auto"/>
            </w:tcBorders>
            <w:shd w:val="clear" w:color="auto" w:fill="F0FFFF"/>
          </w:tcPr>
          <w:p>
            <w:pPr>
              <w:spacing w:after="0"/>
              <w:rPr>
                <w:sz w:val="15"/>
                <w:szCs w:val="15"/>
                <w:color w:val="auto"/>
              </w:rPr>
            </w:pPr>
          </w:p>
        </w:tc>
        <w:tc>
          <w:tcPr>
            <w:tcW w:w="860" w:type="dxa"/>
            <w:vAlign w:val="bottom"/>
            <w:tcBorders>
              <w:top w:val="single" w:sz="8" w:color="auto"/>
            </w:tcBorders>
            <w:shd w:val="clear" w:color="auto" w:fill="F0FFFF"/>
          </w:tcPr>
          <w:p>
            <w:pPr>
              <w:spacing w:after="0"/>
              <w:rPr>
                <w:sz w:val="15"/>
                <w:szCs w:val="15"/>
                <w:color w:val="auto"/>
              </w:rPr>
            </w:pPr>
          </w:p>
        </w:tc>
        <w:tc>
          <w:tcPr>
            <w:tcW w:w="160" w:type="dxa"/>
            <w:vAlign w:val="bottom"/>
            <w:tcBorders>
              <w:top w:val="single" w:sz="8" w:color="F0FFFF"/>
            </w:tcBorders>
            <w:shd w:val="clear" w:color="auto" w:fill="F0FFFF"/>
          </w:tcPr>
          <w:p>
            <w:pPr>
              <w:spacing w:after="0"/>
              <w:rPr>
                <w:sz w:val="15"/>
                <w:szCs w:val="15"/>
                <w:color w:val="auto"/>
              </w:rPr>
            </w:pPr>
          </w:p>
        </w:tc>
        <w:tc>
          <w:tcPr>
            <w:tcW w:w="1000" w:type="dxa"/>
            <w:vAlign w:val="bottom"/>
            <w:tcBorders>
              <w:top w:val="single" w:sz="8" w:color="auto"/>
            </w:tcBorders>
            <w:shd w:val="clear" w:color="auto" w:fill="F0FFFF"/>
          </w:tcPr>
          <w:p>
            <w:pPr>
              <w:spacing w:after="0"/>
              <w:rPr>
                <w:sz w:val="15"/>
                <w:szCs w:val="15"/>
                <w:color w:val="auto"/>
              </w:rPr>
            </w:pPr>
          </w:p>
        </w:tc>
        <w:tc>
          <w:tcPr>
            <w:tcW w:w="180" w:type="dxa"/>
            <w:vAlign w:val="bottom"/>
            <w:tcBorders>
              <w:top w:val="single" w:sz="8" w:color="F0FFFF"/>
            </w:tcBorders>
            <w:shd w:val="clear" w:color="auto" w:fill="F0FFFF"/>
          </w:tcPr>
          <w:p>
            <w:pPr>
              <w:spacing w:after="0"/>
              <w:rPr>
                <w:sz w:val="15"/>
                <w:szCs w:val="15"/>
                <w:color w:val="auto"/>
              </w:rPr>
            </w:pPr>
          </w:p>
        </w:tc>
        <w:tc>
          <w:tcPr>
            <w:tcW w:w="60" w:type="dxa"/>
            <w:vAlign w:val="bottom"/>
            <w:tcBorders>
              <w:top w:val="single" w:sz="8" w:color="F0FFFF"/>
            </w:tcBorders>
            <w:shd w:val="clear" w:color="auto" w:fill="F0FFFF"/>
          </w:tcPr>
          <w:p>
            <w:pPr>
              <w:spacing w:after="0"/>
              <w:rPr>
                <w:sz w:val="15"/>
                <w:szCs w:val="15"/>
                <w:color w:val="auto"/>
              </w:rPr>
            </w:pPr>
          </w:p>
        </w:tc>
        <w:tc>
          <w:tcPr>
            <w:tcW w:w="100" w:type="dxa"/>
            <w:vAlign w:val="bottom"/>
            <w:tcBorders>
              <w:top w:val="single" w:sz="8" w:color="auto"/>
            </w:tcBorders>
            <w:shd w:val="clear" w:color="auto" w:fill="F0FFFF"/>
          </w:tcPr>
          <w:p>
            <w:pPr>
              <w:spacing w:after="0"/>
              <w:rPr>
                <w:sz w:val="15"/>
                <w:szCs w:val="15"/>
                <w:color w:val="auto"/>
              </w:rPr>
            </w:pPr>
          </w:p>
        </w:tc>
        <w:tc>
          <w:tcPr>
            <w:tcW w:w="900" w:type="dxa"/>
            <w:vAlign w:val="bottom"/>
            <w:tcBorders>
              <w:top w:val="single" w:sz="8" w:color="auto"/>
            </w:tcBorders>
            <w:shd w:val="clear" w:color="auto" w:fill="F0FFFF"/>
          </w:tcPr>
          <w:p>
            <w:pPr>
              <w:spacing w:after="0"/>
              <w:rPr>
                <w:sz w:val="15"/>
                <w:szCs w:val="15"/>
                <w:color w:val="auto"/>
              </w:rPr>
            </w:pPr>
          </w:p>
        </w:tc>
        <w:tc>
          <w:tcPr>
            <w:tcW w:w="160" w:type="dxa"/>
            <w:vAlign w:val="bottom"/>
            <w:tcBorders>
              <w:top w:val="single" w:sz="8" w:color="F0FFFF"/>
            </w:tcBorders>
            <w:shd w:val="clear" w:color="auto" w:fill="F0FFFF"/>
          </w:tcPr>
          <w:p>
            <w:pPr>
              <w:spacing w:after="0"/>
              <w:rPr>
                <w:sz w:val="15"/>
                <w:szCs w:val="15"/>
                <w:color w:val="auto"/>
              </w:rPr>
            </w:pPr>
          </w:p>
        </w:tc>
        <w:tc>
          <w:tcPr>
            <w:tcW w:w="100" w:type="dxa"/>
            <w:vAlign w:val="bottom"/>
            <w:tcBorders>
              <w:top w:val="single" w:sz="8" w:color="auto"/>
            </w:tcBorders>
            <w:shd w:val="clear" w:color="auto" w:fill="F0FFFF"/>
          </w:tcPr>
          <w:p>
            <w:pPr>
              <w:spacing w:after="0"/>
              <w:rPr>
                <w:sz w:val="15"/>
                <w:szCs w:val="15"/>
                <w:color w:val="auto"/>
              </w:rPr>
            </w:pPr>
          </w:p>
        </w:tc>
        <w:tc>
          <w:tcPr>
            <w:tcW w:w="900" w:type="dxa"/>
            <w:vAlign w:val="bottom"/>
            <w:tcBorders>
              <w:top w:val="single" w:sz="8" w:color="auto"/>
            </w:tcBorders>
            <w:shd w:val="clear" w:color="auto" w:fill="F0FFFF"/>
          </w:tcPr>
          <w:p>
            <w:pPr>
              <w:spacing w:after="0"/>
              <w:rPr>
                <w:sz w:val="15"/>
                <w:szCs w:val="15"/>
                <w:color w:val="auto"/>
              </w:rPr>
            </w:pPr>
          </w:p>
        </w:tc>
        <w:tc>
          <w:tcPr>
            <w:tcW w:w="160" w:type="dxa"/>
            <w:vAlign w:val="bottom"/>
            <w:tcBorders>
              <w:top w:val="single" w:sz="8" w:color="F0FFFF"/>
            </w:tcBorders>
            <w:shd w:val="clear" w:color="auto" w:fill="F0FFFF"/>
          </w:tcPr>
          <w:p>
            <w:pPr>
              <w:spacing w:after="0"/>
              <w:rPr>
                <w:sz w:val="15"/>
                <w:szCs w:val="15"/>
                <w:color w:val="auto"/>
              </w:rPr>
            </w:pPr>
          </w:p>
        </w:tc>
        <w:tc>
          <w:tcPr>
            <w:tcW w:w="980" w:type="dxa"/>
            <w:vAlign w:val="bottom"/>
            <w:tcBorders>
              <w:top w:val="single" w:sz="8" w:color="auto"/>
            </w:tcBorders>
            <w:shd w:val="clear" w:color="auto" w:fill="F0FFFF"/>
          </w:tcPr>
          <w:p>
            <w:pPr>
              <w:spacing w:after="0"/>
              <w:rPr>
                <w:sz w:val="15"/>
                <w:szCs w:val="15"/>
                <w:color w:val="auto"/>
              </w:rPr>
            </w:pPr>
          </w:p>
        </w:tc>
        <w:tc>
          <w:tcPr>
            <w:tcW w:w="160" w:type="dxa"/>
            <w:vAlign w:val="bottom"/>
            <w:tcBorders>
              <w:top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00" w:type="dxa"/>
            <w:vAlign w:val="bottom"/>
            <w:tcBorders>
              <w:top w:val="single" w:sz="8" w:color="auto"/>
            </w:tcBorders>
            <w:shd w:val="clear" w:color="auto" w:fill="F0FFFF"/>
          </w:tcPr>
          <w:p>
            <w:pPr>
              <w:spacing w:after="0" w:line="20" w:lineRule="exact"/>
              <w:rPr>
                <w:sz w:val="1"/>
                <w:szCs w:val="1"/>
                <w:color w:val="auto"/>
              </w:rPr>
            </w:pPr>
          </w:p>
        </w:tc>
        <w:tc>
          <w:tcPr>
            <w:tcW w:w="1100" w:type="dxa"/>
            <w:vAlign w:val="bottom"/>
            <w:tcBorders>
              <w:top w:val="single" w:sz="8" w:color="F0FFFF"/>
            </w:tcBorders>
            <w:shd w:val="clear" w:color="auto" w:fill="F0FFFF"/>
          </w:tcPr>
          <w:p>
            <w:pPr>
              <w:spacing w:after="0" w:line="20" w:lineRule="exact"/>
              <w:rPr>
                <w:sz w:val="1"/>
                <w:szCs w:val="1"/>
                <w:color w:val="auto"/>
              </w:rPr>
            </w:pPr>
          </w:p>
        </w:tc>
        <w:tc>
          <w:tcPr>
            <w:tcW w:w="7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9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9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41,319</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Repurchase agreements</w:t>
            </w:r>
          </w:p>
        </w:tc>
        <w:tc>
          <w:tcPr>
            <w:tcW w:w="76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16,640</w:t>
            </w:r>
          </w:p>
        </w:tc>
        <w:tc>
          <w:tcPr>
            <w:tcW w:w="116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35,000</w:t>
            </w:r>
          </w:p>
        </w:tc>
        <w:tc>
          <w:tcPr>
            <w:tcW w:w="1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7,982</w:t>
            </w:r>
          </w:p>
        </w:tc>
        <w:tc>
          <w:tcPr>
            <w:tcW w:w="114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49,301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F0FFFF"/>
            </w:tcBorders>
          </w:tcPr>
          <w:p>
            <w:pPr>
              <w:spacing w:after="0" w:line="20" w:lineRule="exact"/>
              <w:rPr>
                <w:sz w:val="1"/>
                <w:szCs w:val="1"/>
                <w:color w:val="auto"/>
              </w:rPr>
            </w:pPr>
          </w:p>
        </w:tc>
        <w:tc>
          <w:tcPr>
            <w:tcW w:w="1100" w:type="dxa"/>
            <w:vAlign w:val="bottom"/>
            <w:tcBorders>
              <w:bottom w:val="single" w:sz="8" w:color="F0FFFF"/>
            </w:tcBorders>
          </w:tcPr>
          <w:p>
            <w:pPr>
              <w:spacing w:after="0" w:line="20" w:lineRule="exact"/>
              <w:rPr>
                <w:sz w:val="1"/>
                <w:szCs w:val="1"/>
                <w:color w:val="auto"/>
              </w:rPr>
            </w:pPr>
          </w:p>
        </w:tc>
        <w:tc>
          <w:tcPr>
            <w:tcW w:w="7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9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9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0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2014</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Federal funds purchased</w:t>
            </w: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65,000</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22,795</w:t>
            </w:r>
          </w:p>
        </w:tc>
        <w:tc>
          <w:tcPr>
            <w:tcW w:w="130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28,568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40,000</w:t>
            </w:r>
          </w:p>
        </w:tc>
        <w:tc>
          <w:tcPr>
            <w:tcW w:w="1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23,178</w:t>
            </w:r>
          </w:p>
        </w:tc>
        <w:tc>
          <w:tcPr>
            <w:tcW w:w="1140" w:type="dxa"/>
            <w:vAlign w:val="bottom"/>
            <w:tcBorders>
              <w:bottom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74,541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F0FFFF"/>
            </w:tcBorders>
          </w:tcPr>
          <w:p>
            <w:pPr>
              <w:spacing w:after="0" w:line="20" w:lineRule="exact"/>
              <w:rPr>
                <w:sz w:val="1"/>
                <w:szCs w:val="1"/>
                <w:color w:val="auto"/>
              </w:rPr>
            </w:pPr>
          </w:p>
        </w:tc>
        <w:tc>
          <w:tcPr>
            <w:tcW w:w="1100" w:type="dxa"/>
            <w:vAlign w:val="bottom"/>
            <w:tcBorders>
              <w:bottom w:val="single" w:sz="8" w:color="F0FFFF"/>
            </w:tcBorders>
          </w:tcPr>
          <w:p>
            <w:pPr>
              <w:spacing w:after="0" w:line="20" w:lineRule="exact"/>
              <w:rPr>
                <w:sz w:val="1"/>
                <w:szCs w:val="1"/>
                <w:color w:val="auto"/>
              </w:rPr>
            </w:pPr>
          </w:p>
        </w:tc>
        <w:tc>
          <w:tcPr>
            <w:tcW w:w="76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9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9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0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2013</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Federal funds purchased</w:t>
            </w:r>
          </w:p>
        </w:tc>
        <w:tc>
          <w:tcPr>
            <w:tcW w:w="9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70,000</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13,327</w:t>
            </w:r>
          </w:p>
        </w:tc>
        <w:tc>
          <w:tcPr>
            <w:tcW w:w="130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00" w:type="dxa"/>
            <w:vAlign w:val="bottom"/>
            <w:tcBorders>
              <w:bottom w:val="single" w:sz="8" w:color="F0FFFF"/>
            </w:tcBorders>
            <w:gridSpan w:val="2"/>
          </w:tcPr>
          <w:p>
            <w:pPr>
              <w:spacing w:after="0"/>
              <w:rPr>
                <w:sz w:val="20"/>
                <w:szCs w:val="20"/>
                <w:color w:val="auto"/>
              </w:rPr>
            </w:pPr>
            <w:r>
              <w:rPr>
                <w:rFonts w:ascii="Arial" w:cs="Arial" w:eastAsia="Arial" w:hAnsi="Arial"/>
                <w:sz w:val="18"/>
                <w:szCs w:val="18"/>
                <w:color w:val="auto"/>
              </w:rPr>
              <w:t>Repurchase agreements</w:t>
            </w:r>
          </w:p>
        </w:tc>
        <w:tc>
          <w:tcPr>
            <w:tcW w:w="76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53,241</w:t>
            </w:r>
          </w:p>
        </w:tc>
        <w:tc>
          <w:tcPr>
            <w:tcW w:w="1160" w:type="dxa"/>
            <w:vAlign w:val="bottom"/>
            <w:tcBorders>
              <w:bottom w:val="single" w:sz="8" w:color="F0FFFF"/>
            </w:tcBorders>
            <w:gridSpan w:val="2"/>
          </w:tcPr>
          <w:p>
            <w:pPr>
              <w:jc w:val="right"/>
              <w:spacing w:after="0"/>
              <w:rPr>
                <w:sz w:val="20"/>
                <w:szCs w:val="20"/>
                <w:color w:val="auto"/>
              </w:rPr>
            </w:pPr>
            <w:r>
              <w:rPr>
                <w:rFonts w:ascii="Arial" w:cs="Arial" w:eastAsia="Arial" w:hAnsi="Arial"/>
                <w:sz w:val="18"/>
                <w:szCs w:val="18"/>
                <w:color w:val="auto"/>
              </w:rPr>
              <w:t>4.00</w:t>
            </w:r>
          </w:p>
        </w:tc>
        <w:tc>
          <w:tcPr>
            <w:tcW w:w="18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100" w:type="dxa"/>
            <w:vAlign w:val="bottom"/>
            <w:tcBorders>
              <w:bottom w:val="single" w:sz="8" w:color="F0FFFF"/>
            </w:tcBorders>
          </w:tcPr>
          <w:p>
            <w:pPr>
              <w:spacing w:after="0"/>
              <w:rPr>
                <w:sz w:val="20"/>
                <w:szCs w:val="20"/>
                <w:color w:val="auto"/>
              </w:rPr>
            </w:pPr>
          </w:p>
        </w:tc>
        <w:tc>
          <w:tcPr>
            <w:tcW w:w="900" w:type="dxa"/>
            <w:vAlign w:val="bottom"/>
            <w:tcBorders>
              <w:bottom w:val="single" w:sz="8" w:color="F0FFFF"/>
            </w:tcBorders>
          </w:tcPr>
          <w:p>
            <w:pPr>
              <w:jc w:val="right"/>
              <w:spacing w:after="0"/>
              <w:rPr>
                <w:sz w:val="20"/>
                <w:szCs w:val="20"/>
                <w:color w:val="auto"/>
              </w:rPr>
            </w:pPr>
            <w:r>
              <w:rPr>
                <w:rFonts w:ascii="Arial" w:cs="Arial" w:eastAsia="Arial" w:hAnsi="Arial"/>
                <w:sz w:val="18"/>
                <w:szCs w:val="18"/>
                <w:color w:val="auto"/>
              </w:rPr>
              <w:t>54,164</w:t>
            </w:r>
          </w:p>
        </w:tc>
        <w:tc>
          <w:tcPr>
            <w:tcW w:w="16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53,234</w:t>
            </w:r>
          </w:p>
        </w:tc>
        <w:tc>
          <w:tcPr>
            <w:tcW w:w="1140" w:type="dxa"/>
            <w:vAlign w:val="bottom"/>
            <w:tcBorders>
              <w:bottom w:val="single" w:sz="8" w:color="F0FFFF"/>
            </w:tcBorders>
            <w:gridSpan w:val="2"/>
          </w:tcPr>
          <w:p>
            <w:pPr>
              <w:jc w:val="right"/>
              <w:spacing w:after="0"/>
              <w:rPr>
                <w:sz w:val="20"/>
                <w:szCs w:val="20"/>
                <w:color w:val="auto"/>
              </w:rPr>
            </w:pPr>
            <w:r>
              <w:rPr>
                <w:rFonts w:ascii="Arial" w:cs="Arial" w:eastAsia="Arial" w:hAnsi="Arial"/>
                <w:sz w:val="18"/>
                <w:szCs w:val="18"/>
                <w:color w:val="auto"/>
              </w:rPr>
              <w:t>3.81</w:t>
            </w:r>
          </w:p>
        </w:tc>
        <w:tc>
          <w:tcPr>
            <w:tcW w:w="16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140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76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53,241</w:t>
            </w:r>
          </w:p>
        </w:tc>
        <w:tc>
          <w:tcPr>
            <w:tcW w:w="160" w:type="dxa"/>
            <w:vAlign w:val="bottom"/>
            <w:tcBorders>
              <w:bottom w:val="single" w:sz="8" w:color="F0FFFF"/>
            </w:tcBorders>
            <w:shd w:val="clear" w:color="auto" w:fill="F0FFFF"/>
          </w:tcPr>
          <w:p>
            <w:pPr>
              <w:spacing w:after="0"/>
              <w:rPr>
                <w:sz w:val="21"/>
                <w:szCs w:val="21"/>
                <w:color w:val="auto"/>
              </w:rPr>
            </w:pPr>
          </w:p>
        </w:tc>
        <w:tc>
          <w:tcPr>
            <w:tcW w:w="1000" w:type="dxa"/>
            <w:vAlign w:val="bottom"/>
            <w:tcBorders>
              <w:bottom w:val="single" w:sz="8" w:color="F0FFFF"/>
            </w:tcBorders>
            <w:shd w:val="clear" w:color="auto" w:fill="F0FFFF"/>
          </w:tcPr>
          <w:p>
            <w:pPr>
              <w:spacing w:after="0"/>
              <w:rPr>
                <w:sz w:val="21"/>
                <w:szCs w:val="21"/>
                <w:color w:val="auto"/>
              </w:rPr>
            </w:pPr>
          </w:p>
        </w:tc>
        <w:tc>
          <w:tcPr>
            <w:tcW w:w="18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90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66,561</w:t>
            </w:r>
          </w:p>
        </w:tc>
        <w:tc>
          <w:tcPr>
            <w:tcW w:w="16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F0FFFF"/>
            </w:tcBorders>
          </w:tcPr>
          <w:p>
            <w:pPr>
              <w:spacing w:after="0" w:line="20" w:lineRule="exact"/>
              <w:rPr>
                <w:sz w:val="1"/>
                <w:szCs w:val="1"/>
                <w:color w:val="auto"/>
              </w:rPr>
            </w:pPr>
          </w:p>
        </w:tc>
        <w:tc>
          <w:tcPr>
            <w:tcW w:w="110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2015, United had sufficient qualifying collateral to increase FHLB advances by $773 million and Federal Reserve discount window capacity of $836 million. United also has the ability to raise substantial funds through brokered deposits. In addition to these wholesale sources, United has the ability to attract retail deposits at any time by competing more aggressively on pricing.</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$112 million for the year ended December 31, 2015. Net income of $71.6 million for the year included the deferred income tax expense of $38.3 million, non-cash expenses for provision for credit losses of $3.70 million, non-cash depreciation, amortization and accretion of $22.7 million. Accrued expenses and other liabilities decreased $10.6 million, while other assets and accrued interest receivable increased $8.85 million and mortgage loans held for sale increased $6.71 million. Net cash used in investing activities of $400 million consisted primarily of $839 million of purchases of securities available for sale, and a net increase in loans of $475 million, offset by proceeds from sales of securities available for sale of $354 million, maturities and calls of investment securities available for sale of $284 million, maturities and calls of securities held to maturity of $71.0 million, proceeds from note sales of $190 million, and net cash received from acquisitions of $35.5 million. The $336 million of net cash provided by financing activities consisted primarily of a net increase in deposits of $196 million, a net increase in FHLB advances of $138 million and $83.9 million proceeds from issuance of debt. This increase was partially offset by $48.5 million paid to retire long-term debt, a $18.4 million reduction in short-term borrowings and $14.8 million in common stock dividends. In the opinion of management, United’s liquidity position at December 31, 2015 was sufficient to meet its expected cash flow requirements.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The following table shows United’s contractual obligations and other commitments.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19 - Contractual Obligations and Other Commitments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color w:val="auto"/>
              </w:rPr>
              <w:t>Maturity By Years</w:t>
            </w: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color w:val="auto"/>
              </w:rPr>
              <w:t>1 or Less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color w:val="auto"/>
              </w:rPr>
              <w:t>1 to 3</w:t>
            </w:r>
          </w:p>
        </w:tc>
        <w:tc>
          <w:tcPr>
            <w:tcW w:w="24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color w:val="auto"/>
              </w:rPr>
              <w:t>3 to 5</w:t>
            </w:r>
          </w:p>
        </w:tc>
        <w:tc>
          <w:tcPr>
            <w:tcW w:w="240" w:type="dxa"/>
            <w:vAlign w:val="bottom"/>
          </w:tcPr>
          <w:p>
            <w:pPr>
              <w:spacing w:after="0"/>
              <w:rPr>
                <w:sz w:val="14"/>
                <w:szCs w:val="14"/>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color w:val="auto"/>
              </w:rPr>
              <w:t>Over 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Contractual Cash Obligations</w:t>
            </w:r>
          </w:p>
        </w:tc>
        <w:tc>
          <w:tcPr>
            <w:tcW w:w="4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FHLB advances</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430,125</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430,125</w:t>
            </w:r>
          </w:p>
        </w:tc>
        <w:tc>
          <w:tcPr>
            <w:tcW w:w="10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Long-term debt</w:t>
            </w:r>
          </w:p>
        </w:tc>
        <w:tc>
          <w:tcPr>
            <w:tcW w:w="4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165,620</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75,000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90,620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23,507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5,953</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5,106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8,964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22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contractual cash obligations</w:t>
            </w:r>
          </w:p>
        </w:tc>
        <w:tc>
          <w:tcPr>
            <w:tcW w:w="4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619,252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433,609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80,953</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5,106</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99,584</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Other Commitments</w:t>
            </w:r>
          </w:p>
        </w:tc>
        <w:tc>
          <w:tcPr>
            <w:tcW w:w="4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Lines of credit</w:t>
            </w:r>
          </w:p>
        </w:tc>
        <w:tc>
          <w:tcPr>
            <w:tcW w:w="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1,351,446</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400,693</w:t>
            </w:r>
          </w:p>
        </w:tc>
        <w:tc>
          <w:tcPr>
            <w:tcW w:w="100" w:type="dxa"/>
            <w:vAlign w:val="bottom"/>
          </w:tcPr>
          <w:p>
            <w:pPr>
              <w:spacing w:after="0"/>
              <w:rPr>
                <w:sz w:val="18"/>
                <w:szCs w:val="18"/>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290,511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198,180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462,062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Commercial letters of credit</w:t>
            </w:r>
          </w:p>
        </w:tc>
        <w:tc>
          <w:tcPr>
            <w:tcW w:w="4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23,373</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20,846</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2,527</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Uncertain tax positions</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720</w:t>
            </w:r>
          </w:p>
        </w:tc>
        <w:tc>
          <w:tcPr>
            <w:tcW w:w="2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2,548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22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other commitments</w:t>
            </w:r>
          </w:p>
        </w:tc>
        <w:tc>
          <w:tcPr>
            <w:tcW w:w="4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1,378,800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422,028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293,758</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200,728</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462,286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Borders>
              <w:top w:val="single" w:sz="8" w:color="F0FFFF"/>
            </w:tcBorders>
          </w:tcPr>
          <w:p>
            <w:pPr>
              <w:spacing w:after="0" w:line="20" w:lineRule="exact"/>
              <w:rPr>
                <w:sz w:val="1"/>
                <w:szCs w:val="1"/>
                <w:color w:val="auto"/>
              </w:rPr>
            </w:pPr>
          </w:p>
        </w:tc>
        <w:tc>
          <w:tcPr>
            <w:tcW w:w="4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contractual maturity of investment securities by maturity date and average yields based on amortized cost (for all obligations on a fully taxable basis). The composition and maturity / repricing distribution of the securities portfolio is subject to change depending on rate sensitivity, capital and liquidity needs.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20 - Maturity of Available-for-Sale and Held-to-Maturity Investment Securities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w w:val="97"/>
              </w:rPr>
              <w:t>Maturity By Years</w:t>
            </w: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color w:val="auto"/>
              </w:rPr>
              <w:t>1 or Less</w:t>
            </w:r>
          </w:p>
        </w:tc>
        <w:tc>
          <w:tcPr>
            <w:tcW w:w="240" w:type="dxa"/>
            <w:vAlign w:val="bottom"/>
          </w:tcPr>
          <w:p>
            <w:pPr>
              <w:spacing w:after="0"/>
              <w:rPr>
                <w:sz w:val="14"/>
                <w:szCs w:val="1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4"/>
                <w:szCs w:val="14"/>
                <w:color w:val="auto"/>
              </w:rPr>
              <w:t>1 to 5</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color w:val="auto"/>
              </w:rPr>
              <w:t>5 to 10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4"/>
                <w:szCs w:val="14"/>
                <w:color w:val="auto"/>
              </w:rPr>
              <w:t>Over 10</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331"/>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Available-for-Sale</w:t>
            </w:r>
          </w:p>
        </w:tc>
        <w:tc>
          <w:tcPr>
            <w:tcW w:w="2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U.S. Treasuries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94,194</w:t>
            </w:r>
          </w:p>
        </w:tc>
        <w:tc>
          <w:tcPr>
            <w:tcW w:w="28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74,512</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168,706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F0FFFF"/>
          </w:tcPr>
          <w:p>
            <w:pPr>
              <w:spacing w:after="0"/>
              <w:rPr>
                <w:sz w:val="20"/>
                <w:szCs w:val="20"/>
                <w:color w:val="auto"/>
              </w:rPr>
            </w:pPr>
            <w:r>
              <w:rPr>
                <w:rFonts w:ascii="Arial" w:cs="Arial" w:eastAsia="Arial" w:hAnsi="Arial"/>
                <w:sz w:val="18"/>
                <w:szCs w:val="18"/>
                <w:color w:val="auto"/>
              </w:rPr>
              <w:t>U.S. Government agencies</w:t>
            </w: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19,897</w:t>
            </w: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92,443</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4,059</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10,852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32,305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9,052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197,798</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77,329</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30,899</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306,026</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369,551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47,766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54,331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61,594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533,242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500" w:type="dxa"/>
            <w:vAlign w:val="bottom"/>
            <w:shd w:val="clear" w:color="auto" w:fill="F0FFFF"/>
          </w:tcPr>
          <w:p>
            <w:pPr>
              <w:spacing w:after="0" w:line="269" w:lineRule="exact"/>
              <w:rPr>
                <w:sz w:val="20"/>
                <w:szCs w:val="20"/>
                <w:color w:val="auto"/>
              </w:rPr>
            </w:pPr>
            <w:r>
              <w:rPr>
                <w:rFonts w:ascii="Arial" w:cs="Arial" w:eastAsia="Arial" w:hAnsi="Arial"/>
                <w:sz w:val="18"/>
                <w:szCs w:val="18"/>
                <w:color w:val="auto"/>
              </w:rPr>
              <w:t xml:space="preserve">Other securities </w:t>
            </w:r>
            <w:r>
              <w:rPr>
                <w:rFonts w:ascii="Arial" w:cs="Arial" w:eastAsia="Arial" w:hAnsi="Arial"/>
                <w:sz w:val="30"/>
                <w:szCs w:val="30"/>
                <w:color w:val="auto"/>
                <w:vertAlign w:val="superscript"/>
              </w:rPr>
              <w:t>(1)</w:t>
            </w:r>
          </w:p>
        </w:tc>
        <w:tc>
          <w:tcPr>
            <w:tcW w:w="200" w:type="dxa"/>
            <w:vAlign w:val="bottom"/>
            <w:shd w:val="clear" w:color="auto" w:fill="F0FFFF"/>
          </w:tcPr>
          <w:p>
            <w:pPr>
              <w:spacing w:after="0"/>
              <w:rPr>
                <w:sz w:val="24"/>
                <w:szCs w:val="24"/>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290,897</w:t>
            </w:r>
          </w:p>
        </w:tc>
        <w:tc>
          <w:tcPr>
            <w:tcW w:w="240" w:type="dxa"/>
            <w:vAlign w:val="bottom"/>
            <w:shd w:val="clear" w:color="auto" w:fill="F0FFFF"/>
          </w:tcPr>
          <w:p>
            <w:pPr>
              <w:spacing w:after="0"/>
              <w:rPr>
                <w:sz w:val="24"/>
                <w:szCs w:val="2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651,392</w:t>
            </w:r>
          </w:p>
        </w:tc>
        <w:tc>
          <w:tcPr>
            <w:tcW w:w="200" w:type="dxa"/>
            <w:vAlign w:val="bottom"/>
            <w:shd w:val="clear" w:color="auto" w:fill="F0FFFF"/>
          </w:tcPr>
          <w:p>
            <w:pPr>
              <w:spacing w:after="0"/>
              <w:rPr>
                <w:sz w:val="24"/>
                <w:szCs w:val="24"/>
                <w:color w:val="auto"/>
              </w:rPr>
            </w:pPr>
          </w:p>
        </w:tc>
        <w:tc>
          <w:tcPr>
            <w:tcW w:w="4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87,211</w:t>
            </w:r>
          </w:p>
        </w:tc>
        <w:tc>
          <w:tcPr>
            <w:tcW w:w="200" w:type="dxa"/>
            <w:vAlign w:val="bottom"/>
            <w:shd w:val="clear" w:color="auto" w:fill="F0FFFF"/>
          </w:tcPr>
          <w:p>
            <w:pPr>
              <w:spacing w:after="0"/>
              <w:rPr>
                <w:sz w:val="24"/>
                <w:szCs w:val="24"/>
                <w:color w:val="auto"/>
              </w:rPr>
            </w:pPr>
          </w:p>
        </w:tc>
        <w:tc>
          <w:tcPr>
            <w:tcW w:w="6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85,429</w:t>
            </w:r>
          </w:p>
        </w:tc>
        <w:tc>
          <w:tcPr>
            <w:tcW w:w="6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1,114,929</w:t>
            </w:r>
          </w:p>
        </w:tc>
        <w:tc>
          <w:tcPr>
            <w:tcW w:w="16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Borders>
              <w:top w:val="single" w:sz="8" w:color="F0FFFF"/>
            </w:tcBorders>
          </w:tcPr>
          <w:p>
            <w:pPr>
              <w:ind w:left="140"/>
              <w:spacing w:after="0"/>
              <w:rPr>
                <w:sz w:val="20"/>
                <w:szCs w:val="20"/>
                <w:color w:val="auto"/>
              </w:rPr>
            </w:pPr>
            <w:r>
              <w:rPr>
                <w:rFonts w:ascii="Arial" w:cs="Arial" w:eastAsia="Arial" w:hAnsi="Arial"/>
                <w:sz w:val="18"/>
                <w:szCs w:val="18"/>
                <w:color w:val="auto"/>
              </w:rPr>
              <w:t>Total securities available-for-sale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664,507</w:t>
            </w: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1,021,899</w:t>
            </w:r>
          </w:p>
        </w:tc>
        <w:tc>
          <w:tcPr>
            <w:tcW w:w="20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418,131</w:t>
            </w: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186,974</w:t>
            </w: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2,291,511</w:t>
            </w: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00" w:type="dxa"/>
            <w:vAlign w:val="bottom"/>
          </w:tcPr>
          <w:p>
            <w:pPr>
              <w:spacing w:after="0" w:line="256" w:lineRule="exact"/>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9"/>
                <w:szCs w:val="29"/>
                <w:color w:val="auto"/>
                <w:vertAlign w:val="superscript"/>
              </w:rPr>
              <w:t>(2)</w:t>
            </w:r>
          </w:p>
        </w:tc>
        <w:tc>
          <w:tcPr>
            <w:tcW w:w="2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b w:val="1"/>
                <w:bCs w:val="1"/>
                <w:color w:val="auto"/>
              </w:rPr>
              <w:t>Held-to-Maturity</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3,506</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15,500</w:t>
            </w:r>
          </w:p>
        </w:tc>
        <w:tc>
          <w:tcPr>
            <w:tcW w:w="280" w:type="dxa"/>
            <w:vAlign w:val="bottom"/>
            <w:gridSpan w:val="2"/>
            <w:shd w:val="clear" w:color="auto" w:fill="F0FFFF"/>
          </w:tcPr>
          <w:p>
            <w:pPr>
              <w:jc w:val="right"/>
              <w:ind w:right="5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21,235</w:t>
            </w:r>
          </w:p>
        </w:tc>
        <w:tc>
          <w:tcPr>
            <w:tcW w:w="260" w:type="dxa"/>
            <w:vAlign w:val="bottom"/>
            <w:gridSpan w:val="2"/>
            <w:shd w:val="clear" w:color="auto" w:fill="F0FFFF"/>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21,832</w:t>
            </w:r>
          </w:p>
        </w:tc>
        <w:tc>
          <w:tcPr>
            <w:tcW w:w="300" w:type="dxa"/>
            <w:vAlign w:val="bottom"/>
            <w:gridSpan w:val="2"/>
            <w:shd w:val="clear" w:color="auto" w:fill="F0FF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62,073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500" w:type="dxa"/>
            <w:vAlign w:val="bottom"/>
          </w:tcPr>
          <w:p>
            <w:pPr>
              <w:spacing w:after="0" w:line="269" w:lineRule="exact"/>
              <w:rPr>
                <w:sz w:val="20"/>
                <w:szCs w:val="20"/>
                <w:color w:val="auto"/>
              </w:rPr>
            </w:pPr>
            <w:r>
              <w:rPr>
                <w:rFonts w:ascii="Arial" w:cs="Arial" w:eastAsia="Arial" w:hAnsi="Arial"/>
                <w:sz w:val="18"/>
                <w:szCs w:val="18"/>
                <w:color w:val="auto"/>
              </w:rPr>
              <w:t xml:space="preserve">Other securities </w:t>
            </w:r>
            <w:r>
              <w:rPr>
                <w:rFonts w:ascii="Arial" w:cs="Arial" w:eastAsia="Arial" w:hAnsi="Arial"/>
                <w:sz w:val="30"/>
                <w:szCs w:val="30"/>
                <w:color w:val="auto"/>
                <w:vertAlign w:val="superscript"/>
              </w:rPr>
              <w:t>(1)</w:t>
            </w:r>
          </w:p>
        </w:tc>
        <w:tc>
          <w:tcPr>
            <w:tcW w:w="20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101,087</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161,960</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28,979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10,597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302,623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3500" w:type="dxa"/>
            <w:vAlign w:val="bottom"/>
            <w:tcBorders>
              <w:top w:val="single" w:sz="8" w:color="F0FFFF"/>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securities held-to-maturity</w:t>
            </w:r>
          </w:p>
        </w:tc>
        <w:tc>
          <w:tcPr>
            <w:tcW w:w="200" w:type="dxa"/>
            <w:vAlign w:val="bottom"/>
            <w:tcBorders>
              <w:top w:val="single" w:sz="8" w:color="auto"/>
              <w:bottom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104,593</w:t>
            </w:r>
          </w:p>
        </w:tc>
        <w:tc>
          <w:tcPr>
            <w:tcW w:w="26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177,460</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5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50,214</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32,429</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c>
          <w:tcPr>
            <w:tcW w:w="240" w:type="dxa"/>
            <w:vAlign w:val="bottom"/>
            <w:tcBorders>
              <w:top w:val="single" w:sz="8" w:color="auto"/>
              <w:bottom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364,696</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9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00" w:type="dxa"/>
            <w:vAlign w:val="bottom"/>
            <w:shd w:val="clear" w:color="auto" w:fill="F0FFFF"/>
          </w:tcPr>
          <w:p>
            <w:pPr>
              <w:spacing w:after="0" w:line="256" w:lineRule="exact"/>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9"/>
                <w:szCs w:val="29"/>
                <w:color w:val="auto"/>
                <w:vertAlign w:val="superscript"/>
              </w:rPr>
              <w:t>(2)</w:t>
            </w:r>
          </w:p>
        </w:tc>
        <w:tc>
          <w:tcPr>
            <w:tcW w:w="200" w:type="dxa"/>
            <w:vAlign w:val="bottom"/>
            <w:shd w:val="clear" w:color="auto" w:fill="F0FFFF"/>
          </w:tcPr>
          <w:p>
            <w:pPr>
              <w:spacing w:after="0"/>
              <w:rPr>
                <w:sz w:val="22"/>
                <w:szCs w:val="22"/>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2.97%</w:t>
            </w:r>
          </w:p>
        </w:tc>
        <w:tc>
          <w:tcPr>
            <w:tcW w:w="4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3.32%</w:t>
            </w:r>
          </w:p>
        </w:tc>
        <w:tc>
          <w:tcPr>
            <w:tcW w:w="6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3.65%</w:t>
            </w:r>
          </w:p>
        </w:tc>
        <w:tc>
          <w:tcPr>
            <w:tcW w:w="6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Combined Portfolio</w:t>
            </w:r>
          </w:p>
        </w:tc>
        <w:tc>
          <w:tcPr>
            <w:tcW w:w="2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U.S. Treasuries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94,194</w:t>
            </w:r>
          </w:p>
        </w:tc>
        <w:tc>
          <w:tcPr>
            <w:tcW w:w="280" w:type="dxa"/>
            <w:vAlign w:val="bottom"/>
            <w:gridSpan w:val="2"/>
          </w:tcPr>
          <w:p>
            <w:pPr>
              <w:jc w:val="right"/>
              <w:ind w:right="5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74,512</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168,706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F0FFFF"/>
          </w:tcPr>
          <w:p>
            <w:pPr>
              <w:spacing w:after="0"/>
              <w:rPr>
                <w:sz w:val="20"/>
                <w:szCs w:val="20"/>
                <w:color w:val="auto"/>
              </w:rPr>
            </w:pPr>
            <w:r>
              <w:rPr>
                <w:rFonts w:ascii="Arial" w:cs="Arial" w:eastAsia="Arial" w:hAnsi="Arial"/>
                <w:sz w:val="18"/>
                <w:szCs w:val="18"/>
                <w:color w:val="auto"/>
              </w:rPr>
              <w:t>U.S. Government agencies</w:t>
            </w: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19,897</w:t>
            </w: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92,443</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7,565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26,352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53,540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30,884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197,798</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77,329</w:t>
            </w: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30,899</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306,026</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369,551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47,766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54,331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61,594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533,242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3500" w:type="dxa"/>
            <w:vAlign w:val="bottom"/>
            <w:shd w:val="clear" w:color="auto" w:fill="F0FFFF"/>
          </w:tcPr>
          <w:p>
            <w:pPr>
              <w:spacing w:after="0" w:line="269" w:lineRule="exact"/>
              <w:rPr>
                <w:sz w:val="20"/>
                <w:szCs w:val="20"/>
                <w:color w:val="auto"/>
              </w:rPr>
            </w:pPr>
            <w:r>
              <w:rPr>
                <w:rFonts w:ascii="Arial" w:cs="Arial" w:eastAsia="Arial" w:hAnsi="Arial"/>
                <w:sz w:val="18"/>
                <w:szCs w:val="18"/>
                <w:color w:val="auto"/>
              </w:rPr>
              <w:t xml:space="preserve">Other securities </w:t>
            </w:r>
            <w:r>
              <w:rPr>
                <w:rFonts w:ascii="Arial" w:cs="Arial" w:eastAsia="Arial" w:hAnsi="Arial"/>
                <w:sz w:val="30"/>
                <w:szCs w:val="30"/>
                <w:color w:val="auto"/>
                <w:vertAlign w:val="superscript"/>
              </w:rPr>
              <w:t>(1)</w:t>
            </w:r>
          </w:p>
        </w:tc>
        <w:tc>
          <w:tcPr>
            <w:tcW w:w="200" w:type="dxa"/>
            <w:vAlign w:val="bottom"/>
            <w:shd w:val="clear" w:color="auto" w:fill="F0FFFF"/>
          </w:tcPr>
          <w:p>
            <w:pPr>
              <w:spacing w:after="0"/>
              <w:rPr>
                <w:sz w:val="24"/>
                <w:szCs w:val="24"/>
                <w:color w:val="auto"/>
              </w:rPr>
            </w:pPr>
          </w:p>
        </w:tc>
        <w:tc>
          <w:tcPr>
            <w:tcW w:w="116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391,984</w:t>
            </w:r>
          </w:p>
        </w:tc>
        <w:tc>
          <w:tcPr>
            <w:tcW w:w="240" w:type="dxa"/>
            <w:vAlign w:val="bottom"/>
            <w:shd w:val="clear" w:color="auto" w:fill="F0FFFF"/>
          </w:tcPr>
          <w:p>
            <w:pPr>
              <w:spacing w:after="0"/>
              <w:rPr>
                <w:sz w:val="24"/>
                <w:szCs w:val="2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813,352</w:t>
            </w:r>
          </w:p>
        </w:tc>
        <w:tc>
          <w:tcPr>
            <w:tcW w:w="200" w:type="dxa"/>
            <w:vAlign w:val="bottom"/>
            <w:shd w:val="clear" w:color="auto" w:fill="F0FFFF"/>
          </w:tcPr>
          <w:p>
            <w:pPr>
              <w:spacing w:after="0"/>
              <w:rPr>
                <w:sz w:val="24"/>
                <w:szCs w:val="24"/>
                <w:color w:val="auto"/>
              </w:rPr>
            </w:pPr>
          </w:p>
        </w:tc>
        <w:tc>
          <w:tcPr>
            <w:tcW w:w="4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116,190</w:t>
            </w:r>
          </w:p>
        </w:tc>
        <w:tc>
          <w:tcPr>
            <w:tcW w:w="6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96,026</w:t>
            </w:r>
          </w:p>
        </w:tc>
        <w:tc>
          <w:tcPr>
            <w:tcW w:w="6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1,417,552</w:t>
            </w:r>
          </w:p>
        </w:tc>
        <w:tc>
          <w:tcPr>
            <w:tcW w:w="16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tcBorders>
              <w:top w:val="single" w:sz="8" w:color="F0FFFF"/>
            </w:tcBorders>
          </w:tcPr>
          <w:p>
            <w:pPr>
              <w:ind w:left="140"/>
              <w:spacing w:after="0"/>
              <w:rPr>
                <w:sz w:val="20"/>
                <w:szCs w:val="20"/>
                <w:color w:val="auto"/>
              </w:rPr>
            </w:pPr>
            <w:r>
              <w:rPr>
                <w:rFonts w:ascii="Arial" w:cs="Arial" w:eastAsia="Arial" w:hAnsi="Arial"/>
                <w:sz w:val="18"/>
                <w:szCs w:val="18"/>
                <w:color w:val="auto"/>
              </w:rPr>
              <w:t>Total securities available for sale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769,100</w:t>
            </w:r>
          </w:p>
        </w:tc>
        <w:tc>
          <w:tcPr>
            <w:tcW w:w="26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1,199,359</w:t>
            </w:r>
          </w:p>
        </w:tc>
        <w:tc>
          <w:tcPr>
            <w:tcW w:w="20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468,345</w:t>
            </w: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219,403</w:t>
            </w: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2,656,207</w:t>
            </w: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4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20" w:type="dxa"/>
            <w:vAlign w:val="bottom"/>
            <w:vMerge w:val="continue"/>
          </w:tcPr>
          <w:p>
            <w:pPr>
              <w:spacing w:after="0"/>
              <w:rPr>
                <w:sz w:val="24"/>
                <w:szCs w:val="24"/>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30"/>
                <w:szCs w:val="30"/>
                <w:color w:val="auto"/>
                <w:vertAlign w:val="superscript"/>
              </w:rPr>
              <w:t>(2)</w:t>
            </w: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bl>
    <w:p>
      <w:pPr>
        <w:ind w:left="980" w:hanging="324"/>
        <w:spacing w:after="0" w:line="207" w:lineRule="auto"/>
        <w:tabs>
          <w:tab w:leader="none" w:pos="98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Includes mortgage-backed securities</w:t>
      </w:r>
    </w:p>
    <w:p>
      <w:pPr>
        <w:spacing w:after="0" w:line="2" w:lineRule="exact"/>
        <w:rPr>
          <w:rFonts w:ascii="Arial" w:cs="Arial" w:eastAsia="Arial" w:hAnsi="Arial"/>
          <w:sz w:val="30"/>
          <w:szCs w:val="30"/>
          <w:color w:val="auto"/>
          <w:vertAlign w:val="superscript"/>
        </w:rPr>
      </w:pPr>
    </w:p>
    <w:p>
      <w:pPr>
        <w:ind w:left="980" w:hanging="324"/>
        <w:spacing w:after="0" w:line="186" w:lineRule="auto"/>
        <w:tabs>
          <w:tab w:leader="none" w:pos="980" w:val="left"/>
        </w:tabs>
        <w:numPr>
          <w:ilvl w:val="0"/>
          <w:numId w:val="21"/>
        </w:numPr>
        <w:rPr>
          <w:rFonts w:ascii="Arial" w:cs="Arial" w:eastAsia="Arial" w:hAnsi="Arial"/>
          <w:sz w:val="24"/>
          <w:szCs w:val="24"/>
          <w:color w:val="auto"/>
          <w:vertAlign w:val="superscript"/>
        </w:rPr>
      </w:pPr>
      <w:r>
        <w:rPr>
          <w:rFonts w:ascii="Arial" w:cs="Arial" w:eastAsia="Arial" w:hAnsi="Arial"/>
          <w:sz w:val="15"/>
          <w:szCs w:val="15"/>
          <w:color w:val="auto"/>
        </w:rPr>
        <w:t>Based on amortized cost, taxable equivalent basis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869"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20 to the consolidated financial statements for additional information on off-balance sheet arrangements.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2015 and 2014, United had $400 million and $375 million, respectively, in offsetting repurchase agreements / reverse repurchase agreements that were netted in the consolidated balance sheet. United enters into these collateral swap arrangements from time to time as a source of additional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December 31, 2015 was $1.02 billion, an increase of $279 million from December 31, 2014 primarily due to issuance of stock for the acquisitions of Palmetto and MoneyTree and year-to-date earnings partially offset by dividends declared and an increase in accumulated other comprehensive loss.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ratios.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United accrued $67,000 and $439,000, respectively, in dividends on outstanding preferred stock for the years ended December 31, 2015 and 2014.</w:t>
      </w:r>
    </w:p>
    <w:p>
      <w:pPr>
        <w:spacing w:after="0" w:line="23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January 1, 2015, the Board of Governors of the Federal Reserve System and the FDIC implemented the Basel III Capital Rules establishing a new comprehensive capital framework applicable to all depository institutions, bank holding companies with total consolidated assets of $500 million of more and all savings and loan holding companies except for those that are substantially engaged in insurance underwriting or commercial activities. Under the Basel III Capital Rules, minimum requirements increased for both the quantity and quality of capital held by United. The Basel III Capital Rules include a new common equity Tier 1 capital to risk-weighted assets minimum ratio of 4.5% and, for prompt corrective action purposes, a “well capitalized” ratio of 6.5%, raise the minimum ratio of Tier 1 capital to risk-weighted assets from 4% to 6%, require a minimum ratio of Total Capital to risk-weighted assets of 8%, and require a minimum Tier 1 leverage ratio of 4%. A new capital conservation buffer, comprised of common equity Tier 1 capital, was also established above the regulatory minimum capital requirements. This capital conservation buffer will be phased in beginning January 1, 2016 at 0.625% of risk-weighted assets and increase each subsequent year by an additional 0.625% until reaching its final level of 2.5% on January 1, 2019. Strict eligibility criteria for regulatory capital instruments were also implemented under the Basel III Capital Rules. The Basel III Capital Rules also revise the definition and calculation of Tier 1 capital, Total Capital, and risk-weighted assets.</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Tier 1 capital consists of shareholders’ equity, excluding accumulated other comprehensive income, intangible assets (goodwill and deposit-based intangibles), and disallowed deferred tax assets, plus qualifying capital securities. Tier 2 capital components include supplemental capital such as the qualifying portion of the allowance for loan losses and qualifying subordinated debt. Tier 1 capital plus Tier 2 capital is referred to as Total risk-based capital.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spacing w:after="0" w:line="279" w:lineRule="auto"/>
        <w:rPr>
          <w:sz w:val="20"/>
          <w:szCs w:val="20"/>
          <w:color w:val="auto"/>
        </w:rPr>
      </w:pPr>
      <w:r>
        <w:rPr>
          <w:rFonts w:ascii="Arial" w:cs="Arial" w:eastAsia="Arial" w:hAnsi="Arial"/>
          <w:sz w:val="17"/>
          <w:szCs w:val="17"/>
          <w:color w:val="auto"/>
        </w:rPr>
        <w:t>United has outstanding junior subordinated debentures related to trust preferred securities totaling $5.62 million at December 31, 2015. The related trust preferred securities of $5.45 million (excluding common securities) qualify as Tier 1 capital under risk-based capital guidelines provided that total trust preferred securities do not exceed certain quantitative limits. At December 31, 2015, all of United’s trust preferred securities qualified as Tier 1 capital. Further information on United’s trust preferred securities is provided in Note 13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United’s capital ratios, as calculated under regulatory guidelines in effect at the time, at December 31, 2015 and 2014:</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Table 21 - Capital Ratios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380" w:type="dxa"/>
            <w:vAlign w:val="bottom"/>
            <w:gridSpan w:val="4"/>
          </w:tcPr>
          <w:p>
            <w:pPr>
              <w:ind w:left="740"/>
              <w:spacing w:after="0"/>
              <w:rPr>
                <w:sz w:val="20"/>
                <w:szCs w:val="20"/>
                <w:color w:val="auto"/>
              </w:rPr>
            </w:pPr>
            <w:r>
              <w:rPr>
                <w:rFonts w:ascii="Arial" w:cs="Arial" w:eastAsia="Arial" w:hAnsi="Arial"/>
                <w:sz w:val="14"/>
                <w:szCs w:val="14"/>
                <w:b w:val="1"/>
                <w:bCs w:val="1"/>
                <w:color w:val="auto"/>
              </w:rPr>
              <w:t>Regulatory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United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2380" w:type="dxa"/>
            <w:vAlign w:val="bottom"/>
            <w:gridSpan w:val="4"/>
          </w:tcPr>
          <w:p>
            <w:pPr>
              <w:ind w:left="760"/>
              <w:spacing w:after="0"/>
              <w:rPr>
                <w:sz w:val="20"/>
                <w:szCs w:val="20"/>
                <w:color w:val="auto"/>
              </w:rPr>
            </w:pPr>
            <w:r>
              <w:rPr>
                <w:rFonts w:ascii="Arial" w:cs="Arial" w:eastAsia="Arial" w:hAnsi="Arial"/>
                <w:sz w:val="14"/>
                <w:szCs w:val="14"/>
                <w:b w:val="1"/>
                <w:bCs w:val="1"/>
                <w:color w:val="auto"/>
              </w:rPr>
              <w:t>Guidelines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Community</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United</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4"/>
              <w:spacing w:after="0" w:line="139" w:lineRule="exact"/>
              <w:rPr>
                <w:sz w:val="20"/>
                <w:szCs w:val="20"/>
                <w:color w:val="auto"/>
              </w:rPr>
            </w:pPr>
            <w:r>
              <w:rPr>
                <w:rFonts w:ascii="Arial" w:cs="Arial" w:eastAsia="Arial" w:hAnsi="Arial"/>
                <w:sz w:val="14"/>
                <w:szCs w:val="14"/>
                <w:b w:val="1"/>
                <w:bCs w:val="1"/>
                <w:color w:val="auto"/>
              </w:rPr>
              <w:t>Well</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4"/>
              </w:rPr>
              <w:t>Banks, Inc.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6"/>
              </w:rPr>
              <w:t>Community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Minimum</w:t>
            </w: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Capitalized</w:t>
            </w:r>
          </w:p>
        </w:tc>
        <w:tc>
          <w:tcPr>
            <w:tcW w:w="60" w:type="dxa"/>
            <w:vAlign w:val="bottom"/>
          </w:tcPr>
          <w:p>
            <w:pPr>
              <w:spacing w:after="0"/>
              <w:rPr>
                <w:sz w:val="15"/>
                <w:szCs w:val="15"/>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(consolidated)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Bank</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December 31, 2015 (Basel III)</w:t>
            </w:r>
          </w:p>
        </w:tc>
        <w:tc>
          <w:tcPr>
            <w:tcW w:w="9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Risk-based ratios: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Common equity tier 1 capital</w:t>
            </w:r>
          </w:p>
        </w:tc>
        <w:tc>
          <w:tcPr>
            <w:tcW w:w="1220" w:type="dxa"/>
            <w:vAlign w:val="bottom"/>
            <w:gridSpan w:val="2"/>
            <w:shd w:val="clear" w:color="auto" w:fill="F0FFFF"/>
          </w:tcPr>
          <w:p>
            <w:pPr>
              <w:ind w:left="740"/>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6.5%</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11.45%</w:t>
            </w: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Tier 1 capital</w:t>
            </w:r>
          </w:p>
        </w:tc>
        <w:tc>
          <w:tcPr>
            <w:tcW w:w="960" w:type="dxa"/>
            <w:vAlign w:val="bottom"/>
          </w:tcPr>
          <w:p>
            <w:pPr>
              <w:ind w:left="740"/>
              <w:spacing w:after="0"/>
              <w:rPr>
                <w:sz w:val="20"/>
                <w:szCs w:val="20"/>
                <w:color w:val="auto"/>
              </w:rPr>
            </w:pPr>
            <w:r>
              <w:rPr>
                <w:rFonts w:ascii="Arial" w:cs="Arial" w:eastAsia="Arial" w:hAnsi="Arial"/>
                <w:sz w:val="18"/>
                <w:szCs w:val="18"/>
                <w:color w:val="auto"/>
                <w:w w:val="79"/>
              </w:rPr>
              <w:t>6.0</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capital</w:t>
            </w:r>
          </w:p>
        </w:tc>
        <w:tc>
          <w:tcPr>
            <w:tcW w:w="960" w:type="dxa"/>
            <w:vAlign w:val="bottom"/>
            <w:shd w:val="clear" w:color="auto" w:fill="F0FFFF"/>
          </w:tcPr>
          <w:p>
            <w:pPr>
              <w:ind w:left="740"/>
              <w:spacing w:after="0"/>
              <w:rPr>
                <w:sz w:val="20"/>
                <w:szCs w:val="20"/>
                <w:color w:val="auto"/>
              </w:rPr>
            </w:pPr>
            <w:r>
              <w:rPr>
                <w:rFonts w:ascii="Arial" w:cs="Arial" w:eastAsia="Arial" w:hAnsi="Arial"/>
                <w:sz w:val="18"/>
                <w:szCs w:val="18"/>
                <w:color w:val="auto"/>
                <w:w w:val="79"/>
              </w:rPr>
              <w:t>8.0</w:t>
            </w: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Tier 1 leverage ratio</w:t>
            </w:r>
          </w:p>
        </w:tc>
        <w:tc>
          <w:tcPr>
            <w:tcW w:w="960" w:type="dxa"/>
            <w:vAlign w:val="bottom"/>
          </w:tcPr>
          <w:p>
            <w:pPr>
              <w:ind w:left="740"/>
              <w:spacing w:after="0"/>
              <w:rPr>
                <w:sz w:val="20"/>
                <w:szCs w:val="20"/>
                <w:color w:val="auto"/>
              </w:rPr>
            </w:pPr>
            <w:r>
              <w:rPr>
                <w:rFonts w:ascii="Arial" w:cs="Arial" w:eastAsia="Arial" w:hAnsi="Arial"/>
                <w:sz w:val="18"/>
                <w:szCs w:val="18"/>
                <w:color w:val="auto"/>
                <w:w w:val="79"/>
              </w:rPr>
              <w:t>4.0</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Common equity tier 1 capital</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773,677</w:t>
            </w:r>
          </w:p>
        </w:tc>
        <w:tc>
          <w:tcPr>
            <w:tcW w:w="20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877,169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Tier 1 capital</w:t>
            </w:r>
          </w:p>
        </w:tc>
        <w:tc>
          <w:tcPr>
            <w:tcW w:w="9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773,677</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877,169</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844,667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948,159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Risk-weighted assets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6,755,011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6,743,560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Average total assets</w:t>
            </w:r>
          </w:p>
        </w:tc>
        <w:tc>
          <w:tcPr>
            <w:tcW w:w="9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9,282,243</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9,264,133</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December 31, 2014 (Basel I)</w:t>
            </w:r>
          </w:p>
        </w:tc>
        <w:tc>
          <w:tcPr>
            <w:tcW w:w="9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Risk-based ratios: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Tier 1 capital</w:t>
            </w:r>
          </w:p>
        </w:tc>
        <w:tc>
          <w:tcPr>
            <w:tcW w:w="1220" w:type="dxa"/>
            <w:vAlign w:val="bottom"/>
            <w:gridSpan w:val="2"/>
            <w:shd w:val="clear" w:color="auto" w:fill="F0FFFF"/>
          </w:tcPr>
          <w:p>
            <w:pPr>
              <w:ind w:left="740"/>
              <w:spacing w:after="0"/>
              <w:rPr>
                <w:sz w:val="20"/>
                <w:szCs w:val="20"/>
                <w:color w:val="auto"/>
              </w:rPr>
            </w:pPr>
            <w:r>
              <w:rPr>
                <w:rFonts w:ascii="Arial" w:cs="Arial" w:eastAsia="Arial" w:hAnsi="Arial"/>
                <w:sz w:val="18"/>
                <w:szCs w:val="18"/>
                <w:color w:val="auto"/>
              </w:rPr>
              <w:t>4.0%</w:t>
            </w: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6.0%</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12.05%</w:t>
            </w: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960" w:type="dxa"/>
            <w:vAlign w:val="bottom"/>
          </w:tcPr>
          <w:p>
            <w:pPr>
              <w:ind w:left="740"/>
              <w:spacing w:after="0"/>
              <w:rPr>
                <w:sz w:val="20"/>
                <w:szCs w:val="20"/>
                <w:color w:val="auto"/>
              </w:rPr>
            </w:pPr>
            <w:r>
              <w:rPr>
                <w:rFonts w:ascii="Arial" w:cs="Arial" w:eastAsia="Arial" w:hAnsi="Arial"/>
                <w:sz w:val="18"/>
                <w:szCs w:val="18"/>
                <w:color w:val="auto"/>
                <w:w w:val="79"/>
              </w:rPr>
              <w:t>8.0</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spacing w:after="0"/>
              <w:rPr>
                <w:sz w:val="20"/>
                <w:szCs w:val="20"/>
                <w:color w:val="auto"/>
              </w:rPr>
            </w:pPr>
            <w:r>
              <w:rPr>
                <w:rFonts w:ascii="Arial" w:cs="Arial" w:eastAsia="Arial" w:hAnsi="Arial"/>
                <w:sz w:val="18"/>
                <w:szCs w:val="18"/>
                <w:color w:val="auto"/>
              </w:rPr>
              <w:t>Tier 1 leverage ratio</w:t>
            </w:r>
          </w:p>
        </w:tc>
        <w:tc>
          <w:tcPr>
            <w:tcW w:w="960" w:type="dxa"/>
            <w:vAlign w:val="bottom"/>
            <w:shd w:val="clear" w:color="auto" w:fill="F0FFFF"/>
          </w:tcPr>
          <w:p>
            <w:pPr>
              <w:ind w:left="740"/>
              <w:spacing w:after="0"/>
              <w:rPr>
                <w:sz w:val="20"/>
                <w:szCs w:val="20"/>
                <w:color w:val="auto"/>
              </w:rPr>
            </w:pPr>
            <w:r>
              <w:rPr>
                <w:rFonts w:ascii="Arial" w:cs="Arial" w:eastAsia="Arial" w:hAnsi="Arial"/>
                <w:sz w:val="18"/>
                <w:szCs w:val="18"/>
                <w:color w:val="auto"/>
                <w:w w:val="79"/>
              </w:rPr>
              <w:t>3.0</w:t>
            </w: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8.69</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Tier 1 capital</w:t>
            </w:r>
          </w:p>
        </w:tc>
        <w:tc>
          <w:tcPr>
            <w:tcW w:w="9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642,663</w:t>
            </w:r>
          </w:p>
        </w:tc>
        <w:tc>
          <w:tcPr>
            <w:tcW w:w="200" w:type="dxa"/>
            <w:vAlign w:val="bottom"/>
            <w:shd w:val="clear" w:color="auto" w:fill="F0FFFF"/>
          </w:tcPr>
          <w:p>
            <w:pPr>
              <w:spacing w:after="0"/>
              <w:rPr>
                <w:sz w:val="18"/>
                <w:szCs w:val="18"/>
                <w:color w:val="auto"/>
              </w:rPr>
            </w:pPr>
          </w:p>
        </w:tc>
        <w:tc>
          <w:tcPr>
            <w:tcW w:w="1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683,332</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709,408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749,927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Risk-weighted assets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5,332,822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5,320,615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Average total assets</w:t>
            </w:r>
          </w:p>
        </w:tc>
        <w:tc>
          <w:tcPr>
            <w:tcW w:w="9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7,396,450</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7,385,048</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monitor and manage United’s interest rate sensitivity position. In addition, periodic reviews of banking services and products are conducted to adjust pricing in view of current and expected costs.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United’s net interest revenue, and the fair value of its financial instruments, are influenced by changes in the level of interest rates. United limits its exposure to fluctuations in interest rates through policies established by its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 All policy scenarios assume a static balance sheet.</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United’s policy is based on the 12-month impact on net interest revenue of interest rate shocks and ramps that increase from 100 to 400 basis points or decrease 100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Historically low rates on December 31, 2015 and 2014 made use of the down scenarios problematic. The following table presents United’s interest sensitivity position at December 31, 2015 and 2014.</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Table 22 - Interest Sensitivity</w:t>
      </w:r>
    </w:p>
    <w:p>
      <w:pPr>
        <w:spacing w:after="0" w:line="221" w:lineRule="exact"/>
        <w:rPr>
          <w:sz w:val="20"/>
          <w:szCs w:val="20"/>
          <w:color w:val="auto"/>
        </w:rPr>
      </w:pPr>
    </w:p>
    <w:p>
      <w:pPr>
        <w:jc w:val="center"/>
        <w:ind w:left="4780"/>
        <w:spacing w:after="0"/>
        <w:rPr>
          <w:sz w:val="20"/>
          <w:szCs w:val="20"/>
          <w:color w:val="auto"/>
        </w:rPr>
      </w:pPr>
      <w:r>
        <w:rPr>
          <w:rFonts w:ascii="Arial" w:cs="Arial" w:eastAsia="Arial" w:hAnsi="Arial"/>
          <w:sz w:val="14"/>
          <w:szCs w:val="14"/>
          <w:b w:val="1"/>
          <w:bCs w:val="1"/>
          <w:color w:val="auto"/>
        </w:rPr>
        <w:t>Increase (Decrease) in Net Interest Revenue from Base Scenario at</w:t>
      </w:r>
    </w:p>
    <w:p>
      <w:pPr>
        <w:jc w:val="center"/>
        <w:ind w:left="47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920" w:type="dxa"/>
            <w:vAlign w:val="bottom"/>
            <w:tcBorders>
              <w:top w:val="single" w:sz="8" w:color="auto"/>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470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Change in Rates</w:t>
            </w:r>
          </w:p>
        </w:tc>
        <w:tc>
          <w:tcPr>
            <w:tcW w:w="100" w:type="dxa"/>
            <w:vAlign w:val="bottom"/>
            <w:tcBorders>
              <w:bottom w:val="single" w:sz="8" w:color="F0FFFF"/>
            </w:tcBorders>
          </w:tcPr>
          <w:p>
            <w:pPr>
              <w:spacing w:after="0"/>
              <w:rPr>
                <w:sz w:val="14"/>
                <w:szCs w:val="14"/>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Shock</w:t>
            </w:r>
          </w:p>
        </w:tc>
        <w:tc>
          <w:tcPr>
            <w:tcW w:w="300" w:type="dxa"/>
            <w:vAlign w:val="bottom"/>
            <w:tcBorders>
              <w:bottom w:val="single" w:sz="8" w:color="F0FFFF"/>
            </w:tcBorders>
          </w:tcPr>
          <w:p>
            <w:pPr>
              <w:spacing w:after="0"/>
              <w:rPr>
                <w:sz w:val="14"/>
                <w:szCs w:val="14"/>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7"/>
              </w:rPr>
              <w:t>Ramp</w:t>
            </w: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F0FFFF"/>
            </w:tcBorders>
          </w:tcPr>
          <w:p>
            <w:pPr>
              <w:spacing w:after="0"/>
              <w:rPr>
                <w:sz w:val="14"/>
                <w:szCs w:val="14"/>
                <w:color w:val="auto"/>
              </w:rPr>
            </w:pPr>
          </w:p>
        </w:tc>
        <w:tc>
          <w:tcPr>
            <w:tcW w:w="82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9"/>
              </w:rPr>
              <w:t>Shock</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F0FF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Ramp</w:t>
            </w:r>
          </w:p>
        </w:tc>
        <w:tc>
          <w:tcPr>
            <w:tcW w:w="160" w:type="dxa"/>
            <w:vAlign w:val="bottom"/>
            <w:tcBorders>
              <w:bottom w:val="single" w:sz="8" w:color="F0FFFF"/>
            </w:tcBorders>
          </w:tcPr>
          <w:p>
            <w:pPr>
              <w:spacing w:after="0"/>
              <w:rPr>
                <w:sz w:val="14"/>
                <w:szCs w:val="14"/>
                <w:color w:val="auto"/>
              </w:rPr>
            </w:pPr>
          </w:p>
        </w:tc>
      </w:tr>
      <w:tr>
        <w:trPr>
          <w:trHeight w:val="216"/>
        </w:trPr>
        <w:tc>
          <w:tcPr>
            <w:tcW w:w="4700" w:type="dxa"/>
            <w:vAlign w:val="bottom"/>
            <w:shd w:val="clear" w:color="auto" w:fill="F0FFFF"/>
          </w:tcPr>
          <w:p>
            <w:pPr>
              <w:spacing w:after="0"/>
              <w:rPr>
                <w:sz w:val="20"/>
                <w:szCs w:val="20"/>
                <w:color w:val="auto"/>
              </w:rPr>
            </w:pPr>
            <w:r>
              <w:rPr>
                <w:rFonts w:ascii="Arial" w:cs="Arial" w:eastAsia="Arial" w:hAnsi="Arial"/>
                <w:sz w:val="18"/>
                <w:szCs w:val="18"/>
                <w:color w:val="auto"/>
              </w:rPr>
              <w:t>200 basis point increase</w:t>
            </w:r>
          </w:p>
        </w:tc>
        <w:tc>
          <w:tcPr>
            <w:tcW w:w="1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(0.06)%</w:t>
            </w:r>
          </w:p>
        </w:tc>
        <w:tc>
          <w:tcPr>
            <w:tcW w:w="780" w:type="dxa"/>
            <w:vAlign w:val="bottom"/>
            <w:shd w:val="clear" w:color="auto" w:fill="F0FFFF"/>
          </w:tcPr>
          <w:p>
            <w:pPr>
              <w:spacing w:after="0"/>
              <w:rPr>
                <w:sz w:val="18"/>
                <w:szCs w:val="18"/>
                <w:color w:val="auto"/>
              </w:rPr>
            </w:pPr>
          </w:p>
        </w:tc>
        <w:tc>
          <w:tcPr>
            <w:tcW w:w="6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3"/>
              </w:rPr>
              <w:t>0.28%</w:t>
            </w:r>
          </w:p>
        </w:tc>
        <w:tc>
          <w:tcPr>
            <w:tcW w:w="82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potentially adverse effect of interest rate changes on net interest revenue.</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manage its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both"/>
        <w:spacing w:after="0" w:line="255" w:lineRule="auto"/>
        <w:rPr>
          <w:sz w:val="20"/>
          <w:szCs w:val="20"/>
          <w:color w:val="auto"/>
        </w:rPr>
      </w:pPr>
      <w:r>
        <w:rPr>
          <w:rFonts w:ascii="Arial" w:cs="Arial" w:eastAsia="Arial" w:hAnsi="Arial"/>
          <w:sz w:val="18"/>
          <w:szCs w:val="18"/>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an effective economic hedge. Derivative financial instruments that are not accounted for as an accounting hedge are marked to market through earnings.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United will terminate hedging positions when conditions change and the position is no longer necessary to manage United’s overall sensitivity to changes in interest rates. In those situations where the terminated contract was in an effective cash flow hedging relationship at the time of termination and the hedging relationship is expected to remain effective throughout the original term of the contract, the resulting gain or loss is amortized over the remaining life of the original contract as long as the forecasted hedged cash flows are expected to remain probable. For swap contracts, the gain or loss is amortized over the remaining original contract term using the straight line method of amortization. At December 31, 2015, United had $3.62 million in losses from terminated derivative positions included in other comprehensive income that will be amortized into earnings over their remaining original contract terms. United expects that $1.89 million will be reclassified as an increase to deposit and wholesale borrowings interest expense over the next twelve months related to these terminated cash flow hedges.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of the registrant and report of independent registered public accounting firm are included herein on the pages that follow.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898775" cy="8318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289877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Management has assessed the effectiveness of the internal control over financial reporting as of December 31, 2015. In making this assessment, we used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our assessment, management concluded that as of December 31, 2015, United Community Banks, Inc.’s internal control over financial reporting is effective based on those criteria.</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accountants have audited the effectiveness of the company’s internal control over financial reporting as stated in their report, which is included in Item 8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49070" cy="643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49070" cy="64325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117475</wp:posOffset>
            </wp:positionV>
            <wp:extent cx="1603375" cy="6858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0337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Jimmy C. Tallent</w:t>
            </w:r>
          </w:p>
        </w:tc>
        <w:tc>
          <w:tcPr>
            <w:tcW w:w="20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Rex S. Schuette</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Chairman and Chief Executive Officer</w:t>
            </w:r>
          </w:p>
        </w:tc>
        <w:tc>
          <w:tcPr>
            <w:tcW w:w="2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8"/>
        </w:trPr>
        <w:tc>
          <w:tcPr>
            <w:tcW w:w="56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jc w:val="right"/>
              <w:spacing w:after="0"/>
              <w:rPr>
                <w:sz w:val="20"/>
                <w:szCs w:val="20"/>
                <w:color w:val="auto"/>
              </w:rPr>
            </w:pPr>
            <w:r>
              <w:rPr>
                <w:rFonts w:ascii="Arial" w:cs="Arial" w:eastAsia="Arial" w:hAnsi="Arial"/>
                <w:sz w:val="18"/>
                <w:szCs w:val="18"/>
                <w:color w:val="auto"/>
                <w:w w:val="89"/>
              </w:rPr>
              <w:t>58</w:t>
            </w:r>
          </w:p>
        </w:tc>
        <w:tc>
          <w:tcPr>
            <w:tcW w:w="56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848995" cy="6515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848995" cy="65151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DD6900"/>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United Community Banks, Inc.</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 and the related consolidated statements of income, of comprehensive income (loss), of changes in shareholders’ equity and of cash flows present fairly, in all material respects, the financial position of United Community Banks, Inc. and its subsidiaries at December 31, 2015 and December 31, 2014, and the results of their operations and their cash flows for each of the three years in the period ended December 31, 2015 in conformity with accounting principles generally accepted in the United States of America. Also in our opinion, the Company maintained, in all material respects, effective internal control over financial reporting as of December 31, 2015,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(2013) </w:t>
      </w:r>
      <w:r>
        <w:rPr>
          <w:rFonts w:ascii="Arial" w:cs="Arial" w:eastAsia="Arial" w:hAnsi="Arial"/>
          <w:sz w:val="16"/>
          <w:szCs w:val="16"/>
          <w:color w:val="auto"/>
        </w:rPr>
        <w:t>issued by the Committee of Sponsoring Organizations of the Treadway Commission (COSO). The Company's management is responsible</w:t>
      </w:r>
      <w:r>
        <w:rPr>
          <w:rFonts w:ascii="Arial" w:cs="Arial" w:eastAsia="Arial" w:hAnsi="Arial"/>
          <w:sz w:val="16"/>
          <w:szCs w:val="16"/>
          <w:i w:val="1"/>
          <w:iCs w:val="1"/>
          <w:color w:val="auto"/>
        </w:rPr>
        <w:t xml:space="preserve"> </w:t>
      </w:r>
      <w:r>
        <w:rPr>
          <w:rFonts w:ascii="Arial" w:cs="Arial" w:eastAsia="Arial" w:hAnsi="Arial"/>
          <w:sz w:val="16"/>
          <w:szCs w:val="16"/>
          <w:color w:val="auto"/>
        </w:rPr>
        <w:t>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2229485" cy="394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294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0" w:lineRule="exact"/>
        <w:rPr>
          <w:sz w:val="20"/>
          <w:szCs w:val="20"/>
          <w:color w:val="auto"/>
        </w:rPr>
      </w:pPr>
    </w:p>
    <w:p>
      <w:pPr>
        <w:spacing w:after="0" w:line="241" w:lineRule="exact"/>
        <w:rPr>
          <w:sz w:val="20"/>
          <w:szCs w:val="20"/>
          <w:color w:val="auto"/>
        </w:rPr>
      </w:pPr>
    </w:p>
    <w:p>
      <w:pPr>
        <w:ind w:right="5560"/>
        <w:spacing w:after="0" w:line="277" w:lineRule="auto"/>
        <w:rPr>
          <w:sz w:val="20"/>
          <w:szCs w:val="20"/>
          <w:color w:val="auto"/>
        </w:rPr>
      </w:pPr>
      <w:r>
        <w:rPr>
          <w:rFonts w:ascii="Arial" w:cs="Arial" w:eastAsia="Arial" w:hAnsi="Arial"/>
          <w:sz w:val="18"/>
          <w:szCs w:val="18"/>
          <w:i w:val="1"/>
          <w:iCs w:val="1"/>
          <w:color w:val="auto"/>
        </w:rPr>
        <w:t>PricewaterhouseCoopers LLP, 1075 Peachtree St, Suite 2600, Atlanta, GA 30309 T: (678) 419 1000, F: (678) 419 1239, www.pwc.com/us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Interest revenue:</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Loans, including fees</w:t>
            </w:r>
          </w:p>
        </w:tc>
        <w:tc>
          <w:tcPr>
            <w:tcW w:w="17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223,256</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196,279</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Investment securities:</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20"/>
              <w:spacing w:after="0"/>
              <w:rPr>
                <w:sz w:val="20"/>
                <w:szCs w:val="20"/>
                <w:color w:val="auto"/>
              </w:rPr>
            </w:pPr>
            <w:r>
              <w:rPr>
                <w:rFonts w:ascii="Arial" w:cs="Arial" w:eastAsia="Arial" w:hAnsi="Arial"/>
                <w:sz w:val="18"/>
                <w:szCs w:val="18"/>
                <w:color w:val="auto"/>
              </w:rPr>
              <w:t>Taxable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51,143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47,755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Tax exempt</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738</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Deposits in banks and short-term investments</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3,660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3,789</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4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interest revenue</w:t>
            </w:r>
          </w:p>
        </w:tc>
        <w:tc>
          <w:tcPr>
            <w:tcW w:w="144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278,532</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248,432</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auto"/>
              <w:bottom w:val="single" w:sz="8" w:color="auto"/>
            </w:tcBorders>
            <w:shd w:val="clear" w:color="auto" w:fill="F0FFFF"/>
          </w:tcPr>
          <w:p>
            <w:pPr>
              <w:spacing w:after="0"/>
              <w:rPr>
                <w:sz w:val="20"/>
                <w:szCs w:val="20"/>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245,840</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spacing w:after="0" w:line="203" w:lineRule="exact"/>
              <w:rPr>
                <w:sz w:val="20"/>
                <w:szCs w:val="20"/>
                <w:color w:val="auto"/>
              </w:rPr>
            </w:pPr>
            <w:r>
              <w:rPr>
                <w:rFonts w:ascii="Arial" w:cs="Arial" w:eastAsia="Arial" w:hAnsi="Arial"/>
                <w:sz w:val="18"/>
                <w:szCs w:val="18"/>
                <w:color w:val="auto"/>
              </w:rPr>
              <w:t>Interest expense:</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Deposits:</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20"/>
              <w:spacing w:after="0"/>
              <w:rPr>
                <w:sz w:val="20"/>
                <w:szCs w:val="20"/>
                <w:color w:val="auto"/>
              </w:rPr>
            </w:pPr>
            <w:r>
              <w:rPr>
                <w:rFonts w:ascii="Arial" w:cs="Arial" w:eastAsia="Arial" w:hAnsi="Arial"/>
                <w:sz w:val="18"/>
                <w:szCs w:val="18"/>
                <w:color w:val="auto"/>
              </w:rPr>
              <w:t>NOW</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1,651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Money market</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3,466</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3,060</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20"/>
              <w:spacing w:after="0"/>
              <w:rPr>
                <w:sz w:val="20"/>
                <w:szCs w:val="20"/>
                <w:color w:val="auto"/>
              </w:rPr>
            </w:pPr>
            <w:r>
              <w:rPr>
                <w:rFonts w:ascii="Arial" w:cs="Arial" w:eastAsia="Arial" w:hAnsi="Arial"/>
                <w:sz w:val="18"/>
                <w:szCs w:val="18"/>
                <w:color w:val="auto"/>
              </w:rPr>
              <w:t>Savings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Time</w:t>
            </w:r>
          </w:p>
        </w:tc>
        <w:tc>
          <w:tcPr>
            <w:tcW w:w="14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7,133</w:t>
            </w:r>
          </w:p>
        </w:tc>
        <w:tc>
          <w:tcPr>
            <w:tcW w:w="6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10,464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Borders>
              <w:top w:val="single" w:sz="8" w:color="F0FFFF"/>
            </w:tcBorders>
          </w:tcPr>
          <w:p>
            <w:pPr>
              <w:ind w:left="480"/>
              <w:spacing w:after="0" w:line="203" w:lineRule="exact"/>
              <w:rPr>
                <w:sz w:val="20"/>
                <w:szCs w:val="20"/>
                <w:color w:val="auto"/>
              </w:rPr>
            </w:pPr>
            <w:r>
              <w:rPr>
                <w:rFonts w:ascii="Arial" w:cs="Arial" w:eastAsia="Arial" w:hAnsi="Arial"/>
                <w:sz w:val="18"/>
                <w:szCs w:val="18"/>
                <w:color w:val="auto"/>
              </w:rPr>
              <w:t>Total deposit interest expense</w:t>
            </w:r>
          </w:p>
        </w:tc>
        <w:tc>
          <w:tcPr>
            <w:tcW w:w="144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8,825</w:t>
            </w:r>
          </w:p>
        </w:tc>
        <w:tc>
          <w:tcPr>
            <w:tcW w:w="16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11,925</w:t>
            </w:r>
          </w:p>
        </w:tc>
        <w:tc>
          <w:tcPr>
            <w:tcW w:w="1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14,566</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Short-term borrowings</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2,160</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912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Long-term debt</w:t>
            </w:r>
          </w:p>
        </w:tc>
        <w:tc>
          <w:tcPr>
            <w:tcW w:w="14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10,177</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10,554</w:t>
            </w:r>
          </w:p>
        </w:tc>
        <w:tc>
          <w:tcPr>
            <w:tcW w:w="6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10,977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F0FFFF"/>
              <w:bottom w:val="single" w:sz="8" w:color="F0FFFF"/>
            </w:tcBorders>
          </w:tcPr>
          <w:p>
            <w:pPr>
              <w:ind w:left="480"/>
              <w:spacing w:after="0" w:line="203" w:lineRule="exact"/>
              <w:rPr>
                <w:sz w:val="20"/>
                <w:szCs w:val="20"/>
                <w:color w:val="auto"/>
              </w:rPr>
            </w:pPr>
            <w:r>
              <w:rPr>
                <w:rFonts w:ascii="Arial" w:cs="Arial" w:eastAsia="Arial" w:hAnsi="Arial"/>
                <w:sz w:val="18"/>
                <w:szCs w:val="18"/>
                <w:color w:val="auto"/>
              </w:rPr>
              <w:t>Total interest expense</w:t>
            </w:r>
          </w:p>
        </w:tc>
        <w:tc>
          <w:tcPr>
            <w:tcW w:w="144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21,109</w:t>
            </w:r>
          </w:p>
        </w:tc>
        <w:tc>
          <w:tcPr>
            <w:tcW w:w="16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25,551</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27,682</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Net interest revenue</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257,423</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222,881</w:t>
            </w: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218,158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Provision for credit losses</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8,500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65,500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4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Net interest revenue after provision for credit losses</w:t>
            </w:r>
          </w:p>
        </w:tc>
        <w:tc>
          <w:tcPr>
            <w:tcW w:w="144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253,723</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214,381</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auto"/>
              <w:bottom w:val="single" w:sz="8" w:color="auto"/>
            </w:tcBorders>
            <w:shd w:val="clear" w:color="auto" w:fill="F0FFFF"/>
          </w:tcPr>
          <w:p>
            <w:pPr>
              <w:spacing w:after="0"/>
              <w:rPr>
                <w:sz w:val="20"/>
                <w:szCs w:val="20"/>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152,658</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spacing w:after="0" w:line="203" w:lineRule="exact"/>
              <w:rPr>
                <w:sz w:val="20"/>
                <w:szCs w:val="20"/>
                <w:color w:val="auto"/>
              </w:rPr>
            </w:pPr>
            <w:r>
              <w:rPr>
                <w:rFonts w:ascii="Arial" w:cs="Arial" w:eastAsia="Arial" w:hAnsi="Arial"/>
                <w:sz w:val="18"/>
                <w:szCs w:val="18"/>
                <w:color w:val="auto"/>
              </w:rPr>
              <w:t>Fee revenue:</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Service charges and fees</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36,825</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33,073</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Mortgage loan and other related fees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13,592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7,520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Brokerage fees</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5,041</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4,807</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Gains from sales of government guaranteed loans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6,276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2,615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Securities gains, net</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4,871</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Losses on prepayment of borrowings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(4,446)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Other</w:t>
            </w:r>
          </w:p>
        </w:tc>
        <w:tc>
          <w:tcPr>
            <w:tcW w:w="14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9,834</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7,114</w:t>
            </w:r>
          </w:p>
        </w:tc>
        <w:tc>
          <w:tcPr>
            <w:tcW w:w="6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F0FFFF"/>
              <w:bottom w:val="single" w:sz="8" w:color="F0FFFF"/>
            </w:tcBorders>
          </w:tcPr>
          <w:p>
            <w:pPr>
              <w:ind w:left="480"/>
              <w:spacing w:after="0" w:line="203" w:lineRule="exact"/>
              <w:rPr>
                <w:sz w:val="20"/>
                <w:szCs w:val="20"/>
                <w:color w:val="auto"/>
              </w:rPr>
            </w:pPr>
            <w:r>
              <w:rPr>
                <w:rFonts w:ascii="Arial" w:cs="Arial" w:eastAsia="Arial" w:hAnsi="Arial"/>
                <w:sz w:val="18"/>
                <w:szCs w:val="18"/>
                <w:color w:val="auto"/>
              </w:rPr>
              <w:t>Total fee revenue</w:t>
            </w:r>
          </w:p>
        </w:tc>
        <w:tc>
          <w:tcPr>
            <w:tcW w:w="144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72,529</w:t>
            </w:r>
          </w:p>
        </w:tc>
        <w:tc>
          <w:tcPr>
            <w:tcW w:w="16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55,554</w:t>
            </w:r>
          </w:p>
        </w:tc>
        <w:tc>
          <w:tcPr>
            <w:tcW w:w="14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56,598</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F0FFFF"/>
            </w:tcBorders>
            <w:shd w:val="clear" w:color="auto" w:fill="F0FFFF"/>
          </w:tcPr>
          <w:p>
            <w:pPr>
              <w:ind w:left="640"/>
              <w:spacing w:after="0"/>
              <w:rPr>
                <w:sz w:val="20"/>
                <w:szCs w:val="20"/>
                <w:color w:val="auto"/>
              </w:rPr>
            </w:pPr>
            <w:r>
              <w:rPr>
                <w:rFonts w:ascii="Arial" w:cs="Arial" w:eastAsia="Arial" w:hAnsi="Arial"/>
                <w:sz w:val="18"/>
                <w:szCs w:val="18"/>
                <w:color w:val="auto"/>
              </w:rPr>
              <w:t>Total revenue</w:t>
            </w:r>
          </w:p>
        </w:tc>
        <w:tc>
          <w:tcPr>
            <w:tcW w:w="144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326,252</w:t>
            </w:r>
          </w:p>
        </w:tc>
        <w:tc>
          <w:tcPr>
            <w:tcW w:w="16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269,935</w:t>
            </w:r>
          </w:p>
        </w:tc>
        <w:tc>
          <w:tcPr>
            <w:tcW w:w="14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209,256</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116,688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100,941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Occupancy</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15,372</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13,513</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Communications and equipment</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15,273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12,523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FDIC assessments and other regulatory charges</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5,106</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4,792</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7,907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Postage, printing and supplies</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4,273</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3,542</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Advertising and public relations</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3,461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Amortization of intangibles</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1,348</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Foreclosed property</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Merger-related and other charges</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17,995</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20,213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14,204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15,171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40" w:type="dxa"/>
            <w:vAlign w:val="bottom"/>
            <w:tcBorders>
              <w:top w:val="single" w:sz="8" w:color="F0FFFF"/>
              <w:bottom w:val="single" w:sz="8" w:color="F0FFFF"/>
            </w:tcBorders>
            <w:shd w:val="clear" w:color="auto" w:fill="F0FFFF"/>
          </w:tcPr>
          <w:p>
            <w:pPr>
              <w:ind w:left="48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211,238</w:t>
            </w:r>
          </w:p>
        </w:tc>
        <w:tc>
          <w:tcPr>
            <w:tcW w:w="16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280" w:type="dxa"/>
            <w:vAlign w:val="bottom"/>
            <w:tcBorders>
              <w:top w:val="single" w:sz="8" w:color="auto"/>
              <w:bottom w:val="single" w:sz="8" w:color="auto"/>
            </w:tcBorders>
            <w:shd w:val="clear" w:color="auto" w:fill="F0FFFF"/>
          </w:tcPr>
          <w:p>
            <w:pPr>
              <w:spacing w:after="0"/>
              <w:rPr>
                <w:sz w:val="20"/>
                <w:szCs w:val="20"/>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162,865</w:t>
            </w:r>
          </w:p>
        </w:tc>
        <w:tc>
          <w:tcPr>
            <w:tcW w:w="14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F0FFFF"/>
              <w:bottom w:val="single" w:sz="8" w:color="F0FFFF"/>
            </w:tcBorders>
            <w:shd w:val="clear" w:color="auto" w:fill="F0FFFF"/>
          </w:tcPr>
          <w:p>
            <w:pPr>
              <w:spacing w:after="0"/>
              <w:rPr>
                <w:sz w:val="20"/>
                <w:szCs w:val="20"/>
                <w:color w:val="auto"/>
              </w:rPr>
            </w:pPr>
          </w:p>
        </w:tc>
        <w:tc>
          <w:tcPr>
            <w:tcW w:w="300" w:type="dxa"/>
            <w:vAlign w:val="bottom"/>
            <w:tcBorders>
              <w:top w:val="single" w:sz="8" w:color="auto"/>
              <w:bottom w:val="single" w:sz="8" w:color="auto"/>
            </w:tcBorders>
            <w:shd w:val="clear" w:color="auto" w:fill="F0FFFF"/>
          </w:tcPr>
          <w:p>
            <w:pPr>
              <w:spacing w:after="0"/>
              <w:rPr>
                <w:sz w:val="20"/>
                <w:szCs w:val="20"/>
                <w:color w:val="auto"/>
              </w:rPr>
            </w:pP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174,304</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480"/>
              <w:spacing w:after="0" w:line="203" w:lineRule="exact"/>
              <w:rPr>
                <w:sz w:val="20"/>
                <w:szCs w:val="20"/>
                <w:color w:val="auto"/>
              </w:rPr>
            </w:pPr>
            <w:r>
              <w:rPr>
                <w:rFonts w:ascii="Arial" w:cs="Arial" w:eastAsia="Arial" w:hAnsi="Arial"/>
                <w:sz w:val="18"/>
                <w:szCs w:val="18"/>
                <w:color w:val="auto"/>
              </w:rPr>
              <w:t>Income before income taxes</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115,014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107,070</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34,952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Income tax expense (benefit)</w:t>
            </w:r>
          </w:p>
        </w:tc>
        <w:tc>
          <w:tcPr>
            <w:tcW w:w="14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43,436</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39,450</w:t>
            </w:r>
          </w:p>
        </w:tc>
        <w:tc>
          <w:tcPr>
            <w:tcW w:w="6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(238,188)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Borders>
              <w:top w:val="single" w:sz="8" w:color="F0FFFF"/>
            </w:tcBorders>
          </w:tcPr>
          <w:p>
            <w:pPr>
              <w:ind w:left="480"/>
              <w:spacing w:after="0" w:line="203" w:lineRule="exact"/>
              <w:rPr>
                <w:sz w:val="20"/>
                <w:szCs w:val="20"/>
                <w:color w:val="auto"/>
              </w:rPr>
            </w:pPr>
            <w:r>
              <w:rPr>
                <w:rFonts w:ascii="Arial" w:cs="Arial" w:eastAsia="Arial" w:hAnsi="Arial"/>
                <w:sz w:val="18"/>
                <w:szCs w:val="18"/>
                <w:b w:val="1"/>
                <w:bCs w:val="1"/>
                <w:color w:val="auto"/>
              </w:rPr>
              <w:t>Net income</w:t>
            </w:r>
          </w:p>
        </w:tc>
        <w:tc>
          <w:tcPr>
            <w:tcW w:w="144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71,578</w:t>
            </w:r>
          </w:p>
        </w:tc>
        <w:tc>
          <w:tcPr>
            <w:tcW w:w="16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67,620</w:t>
            </w:r>
          </w:p>
        </w:tc>
        <w:tc>
          <w:tcPr>
            <w:tcW w:w="140" w:type="dxa"/>
            <w:vAlign w:val="bottom"/>
            <w:tcBorders>
              <w:top w:val="single" w:sz="8" w:color="F0FFFF"/>
            </w:tcBorders>
          </w:tcPr>
          <w:p>
            <w:pPr>
              <w:spacing w:after="0"/>
              <w:rPr>
                <w:sz w:val="17"/>
                <w:szCs w:val="17"/>
                <w:color w:val="auto"/>
              </w:rPr>
            </w:pPr>
          </w:p>
        </w:tc>
        <w:tc>
          <w:tcPr>
            <w:tcW w:w="60" w:type="dxa"/>
            <w:vAlign w:val="bottom"/>
            <w:tcBorders>
              <w:top w:val="single" w:sz="8" w:color="F0FF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273,140</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Preferred stock dividends</w:t>
            </w:r>
          </w:p>
        </w:tc>
        <w:tc>
          <w:tcPr>
            <w:tcW w:w="144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F0FFFF"/>
          </w:tcPr>
          <w:p>
            <w:pPr>
              <w:spacing w:after="0"/>
              <w:rPr>
                <w:sz w:val="21"/>
                <w:szCs w:val="21"/>
                <w:color w:val="auto"/>
              </w:rPr>
            </w:pPr>
          </w:p>
        </w:tc>
        <w:tc>
          <w:tcPr>
            <w:tcW w:w="28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439</w:t>
            </w:r>
          </w:p>
        </w:tc>
        <w:tc>
          <w:tcPr>
            <w:tcW w:w="60" w:type="dxa"/>
            <w:vAlign w:val="bottom"/>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12,078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tcBorders>
              <w:top w:val="single" w:sz="8" w:color="F0FFFF"/>
            </w:tcBorders>
          </w:tcPr>
          <w:p>
            <w:pPr>
              <w:ind w:left="480"/>
              <w:spacing w:after="0"/>
              <w:rPr>
                <w:sz w:val="20"/>
                <w:szCs w:val="20"/>
                <w:color w:val="auto"/>
              </w:rPr>
            </w:pPr>
            <w:r>
              <w:rPr>
                <w:rFonts w:ascii="Arial" w:cs="Arial" w:eastAsia="Arial" w:hAnsi="Arial"/>
                <w:sz w:val="18"/>
                <w:szCs w:val="18"/>
                <w:b w:val="1"/>
                <w:bCs w:val="1"/>
                <w:color w:val="auto"/>
              </w:rPr>
              <w:t>Net income available to common shareholders</w:t>
            </w:r>
          </w:p>
        </w:tc>
        <w:tc>
          <w:tcPr>
            <w:tcW w:w="144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71,511</w:t>
            </w: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67,181</w:t>
            </w: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261,062</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bottom w:val="single" w:sz="8" w:color="F0FFFF"/>
            </w:tcBorders>
          </w:tcPr>
          <w:p>
            <w:pPr>
              <w:spacing w:after="0" w:line="20" w:lineRule="exact"/>
              <w:rPr>
                <w:sz w:val="1"/>
                <w:szCs w:val="1"/>
                <w:color w:val="auto"/>
              </w:rPr>
            </w:pPr>
          </w:p>
        </w:tc>
        <w:tc>
          <w:tcPr>
            <w:tcW w:w="144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40" w:type="dxa"/>
            <w:vAlign w:val="bottom"/>
            <w:shd w:val="clear" w:color="auto" w:fill="F0FFFF"/>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Basic</w:t>
            </w:r>
          </w:p>
        </w:tc>
        <w:tc>
          <w:tcPr>
            <w:tcW w:w="1720" w:type="dxa"/>
            <w:vAlign w:val="bottom"/>
            <w:gridSpan w:val="2"/>
            <w:shd w:val="clear" w:color="auto" w:fill="F0FF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1.09</w:t>
            </w:r>
          </w:p>
        </w:tc>
        <w:tc>
          <w:tcPr>
            <w:tcW w:w="380" w:type="dxa"/>
            <w:vAlign w:val="bottom"/>
            <w:gridSpan w:val="2"/>
            <w:shd w:val="clear" w:color="auto" w:fill="F0FFFF"/>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1.11</w:t>
            </w:r>
          </w:p>
        </w:tc>
        <w:tc>
          <w:tcPr>
            <w:tcW w:w="36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Diluted</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spacing w:after="0"/>
              <w:rPr>
                <w:sz w:val="20"/>
                <w:szCs w:val="20"/>
                <w:color w:val="auto"/>
              </w:rPr>
            </w:pPr>
            <w:r>
              <w:rPr>
                <w:rFonts w:ascii="Arial" w:cs="Arial" w:eastAsia="Arial" w:hAnsi="Arial"/>
                <w:sz w:val="18"/>
                <w:szCs w:val="18"/>
                <w:color w:val="auto"/>
              </w:rPr>
              <w:t>Weighted average common shares outstanding:</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480"/>
              <w:spacing w:after="0"/>
              <w:rPr>
                <w:sz w:val="20"/>
                <w:szCs w:val="20"/>
                <w:color w:val="auto"/>
              </w:rPr>
            </w:pPr>
            <w:r>
              <w:rPr>
                <w:rFonts w:ascii="Arial" w:cs="Arial" w:eastAsia="Arial" w:hAnsi="Arial"/>
                <w:sz w:val="18"/>
                <w:szCs w:val="18"/>
                <w:color w:val="auto"/>
              </w:rPr>
              <w:t>Basic</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65,488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60,588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F0FFFF"/>
          </w:tcPr>
          <w:p>
            <w:pPr>
              <w:ind w:left="480"/>
              <w:spacing w:after="0"/>
              <w:rPr>
                <w:sz w:val="20"/>
                <w:szCs w:val="20"/>
                <w:color w:val="auto"/>
              </w:rPr>
            </w:pPr>
            <w:r>
              <w:rPr>
                <w:rFonts w:ascii="Arial" w:cs="Arial" w:eastAsia="Arial" w:hAnsi="Arial"/>
                <w:sz w:val="18"/>
                <w:szCs w:val="18"/>
                <w:color w:val="auto"/>
              </w:rPr>
              <w:t>Diluted</w:t>
            </w:r>
          </w:p>
        </w:tc>
        <w:tc>
          <w:tcPr>
            <w:tcW w:w="14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65,492</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60,590</w:t>
            </w:r>
          </w:p>
        </w:tc>
        <w:tc>
          <w:tcPr>
            <w:tcW w:w="6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58,845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2015</w:t>
            </w:r>
          </w:p>
        </w:tc>
        <w:tc>
          <w:tcPr>
            <w:tcW w:w="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0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Before-tax</w:t>
            </w:r>
          </w:p>
        </w:tc>
        <w:tc>
          <w:tcPr>
            <w:tcW w:w="80" w:type="dxa"/>
            <w:vAlign w:val="bottom"/>
          </w:tcPr>
          <w:p>
            <w:pPr>
              <w:spacing w:after="0"/>
              <w:rPr>
                <w:sz w:val="10"/>
                <w:szCs w:val="10"/>
                <w:color w:val="auto"/>
              </w:rPr>
            </w:pPr>
          </w:p>
        </w:tc>
        <w:tc>
          <w:tcPr>
            <w:tcW w:w="98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9"/>
              </w:rPr>
              <w:t>Tax</w:t>
            </w:r>
          </w:p>
        </w:tc>
        <w:tc>
          <w:tcPr>
            <w:tcW w:w="80" w:type="dxa"/>
            <w:vAlign w:val="bottom"/>
          </w:tcPr>
          <w:p>
            <w:pPr>
              <w:spacing w:after="0"/>
              <w:rPr>
                <w:sz w:val="10"/>
                <w:szCs w:val="10"/>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Net of Tax</w:t>
            </w:r>
          </w:p>
        </w:tc>
        <w:tc>
          <w:tcPr>
            <w:tcW w:w="80" w:type="dxa"/>
            <w:vAlign w:val="bottom"/>
          </w:tcPr>
          <w:p>
            <w:pPr>
              <w:spacing w:after="0"/>
              <w:rPr>
                <w:sz w:val="10"/>
                <w:szCs w:val="10"/>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2"/>
              </w:rPr>
              <w:t>Before-tax</w:t>
            </w: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0"/>
              </w:rPr>
              <w:t>Tax</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Net of Tax</w:t>
            </w:r>
          </w:p>
        </w:tc>
        <w:tc>
          <w:tcPr>
            <w:tcW w:w="80" w:type="dxa"/>
            <w:vAlign w:val="bottom"/>
          </w:tcPr>
          <w:p>
            <w:pPr>
              <w:spacing w:after="0"/>
              <w:rPr>
                <w:sz w:val="10"/>
                <w:szCs w:val="10"/>
                <w:color w:val="auto"/>
              </w:rPr>
            </w:pPr>
          </w:p>
        </w:tc>
        <w:tc>
          <w:tcPr>
            <w:tcW w:w="9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Before-tax</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9"/>
              </w:rPr>
              <w:t>Tax</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1"/>
              </w:rPr>
              <w:t>Net of Tax</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(Expense)</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(Expense)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(Expense)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Benefit</w:t>
            </w:r>
          </w:p>
        </w:tc>
        <w:tc>
          <w:tcPr>
            <w:tcW w:w="8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Benefit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Benefit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1020" w:type="dxa"/>
            <w:vAlign w:val="bottom"/>
            <w:tcBorders>
              <w:top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Net income</w:t>
            </w:r>
          </w:p>
        </w:tc>
        <w:tc>
          <w:tcPr>
            <w:tcW w:w="12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115,014</w:t>
            </w: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(43,436)</w:t>
            </w:r>
          </w:p>
        </w:tc>
        <w:tc>
          <w:tcPr>
            <w:tcW w:w="2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71,578</w:t>
            </w: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107,070</w:t>
            </w: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(39,450)</w:t>
            </w: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67,620</w:t>
            </w: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34,952</w:t>
            </w: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238,188</w:t>
            </w:r>
          </w:p>
        </w:tc>
        <w:tc>
          <w:tcPr>
            <w:tcW w:w="20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273,140</w:t>
            </w:r>
          </w:p>
        </w:tc>
        <w:tc>
          <w:tcPr>
            <w:tcW w:w="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F0FFFF"/>
          </w:tcPr>
          <w:p>
            <w:pPr>
              <w:ind w:left="180"/>
              <w:spacing w:after="0" w:line="130" w:lineRule="exact"/>
              <w:rPr>
                <w:sz w:val="20"/>
                <w:szCs w:val="20"/>
                <w:color w:val="auto"/>
              </w:rPr>
            </w:pPr>
            <w:r>
              <w:rPr>
                <w:rFonts w:ascii="Arial" w:cs="Arial" w:eastAsia="Arial" w:hAnsi="Arial"/>
                <w:sz w:val="14"/>
                <w:szCs w:val="14"/>
                <w:color w:val="auto"/>
              </w:rPr>
              <w:t>Unrealized (losses) gains on</w:t>
            </w: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F0FFFF"/>
          </w:tcPr>
          <w:p>
            <w:pPr>
              <w:ind w:left="300"/>
              <w:spacing w:after="0"/>
              <w:rPr>
                <w:sz w:val="20"/>
                <w:szCs w:val="20"/>
                <w:color w:val="auto"/>
              </w:rPr>
            </w:pPr>
            <w:r>
              <w:rPr>
                <w:rFonts w:ascii="Arial" w:cs="Arial" w:eastAsia="Arial" w:hAnsi="Arial"/>
                <w:sz w:val="14"/>
                <w:szCs w:val="14"/>
                <w:color w:val="auto"/>
              </w:rPr>
              <w:t>available-for-sale securities:</w:t>
            </w:r>
          </w:p>
        </w:tc>
        <w:tc>
          <w:tcPr>
            <w:tcW w:w="8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2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20" w:type="dxa"/>
            <w:vAlign w:val="bottom"/>
            <w:shd w:val="clear" w:color="auto" w:fill="F0FFFF"/>
          </w:tcPr>
          <w:p>
            <w:pPr>
              <w:spacing w:after="0"/>
              <w:rPr>
                <w:sz w:val="14"/>
                <w:szCs w:val="14"/>
                <w:color w:val="auto"/>
              </w:rPr>
            </w:pPr>
          </w:p>
        </w:tc>
        <w:tc>
          <w:tcPr>
            <w:tcW w:w="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gridSpan w:val="2"/>
          </w:tcPr>
          <w:p>
            <w:pPr>
              <w:ind w:left="500"/>
              <w:spacing w:after="0" w:line="130" w:lineRule="exact"/>
              <w:rPr>
                <w:sz w:val="20"/>
                <w:szCs w:val="20"/>
                <w:color w:val="auto"/>
              </w:rPr>
            </w:pPr>
            <w:r>
              <w:rPr>
                <w:rFonts w:ascii="Arial" w:cs="Arial" w:eastAsia="Arial" w:hAnsi="Arial"/>
                <w:sz w:val="14"/>
                <w:szCs w:val="14"/>
                <w:color w:val="auto"/>
              </w:rPr>
              <w:t>Unrealized holding (losses)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ind w:left="620"/>
              <w:spacing w:after="0"/>
              <w:rPr>
                <w:sz w:val="20"/>
                <w:szCs w:val="20"/>
                <w:color w:val="auto"/>
              </w:rPr>
            </w:pPr>
            <w:r>
              <w:rPr>
                <w:rFonts w:ascii="Arial" w:cs="Arial" w:eastAsia="Arial" w:hAnsi="Arial"/>
                <w:sz w:val="14"/>
                <w:szCs w:val="14"/>
                <w:color w:val="auto"/>
              </w:rPr>
              <w:t>gains arising during period</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(10,779)</w:t>
            </w:r>
          </w:p>
        </w:tc>
        <w:tc>
          <w:tcPr>
            <w:tcW w:w="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4,004</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(6,775)</w:t>
            </w: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12,550</w:t>
            </w: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(4,676)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7,874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(22,421)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8,475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(13,946)</w:t>
            </w: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F0FFFF"/>
          </w:tcPr>
          <w:p>
            <w:pPr>
              <w:ind w:left="500"/>
              <w:spacing w:after="0" w:line="130" w:lineRule="exact"/>
              <w:rPr>
                <w:sz w:val="20"/>
                <w:szCs w:val="20"/>
                <w:color w:val="auto"/>
              </w:rPr>
            </w:pPr>
            <w:r>
              <w:rPr>
                <w:rFonts w:ascii="Arial" w:cs="Arial" w:eastAsia="Arial" w:hAnsi="Arial"/>
                <w:sz w:val="14"/>
                <w:szCs w:val="14"/>
                <w:color w:val="auto"/>
              </w:rPr>
              <w:t>Reclassification of securities</w:t>
            </w: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620"/>
              <w:spacing w:after="0" w:line="149" w:lineRule="exact"/>
              <w:rPr>
                <w:sz w:val="20"/>
                <w:szCs w:val="20"/>
                <w:color w:val="auto"/>
              </w:rPr>
            </w:pPr>
            <w:r>
              <w:rPr>
                <w:rFonts w:ascii="Arial" w:cs="Arial" w:eastAsia="Arial" w:hAnsi="Arial"/>
                <w:sz w:val="14"/>
                <w:szCs w:val="14"/>
                <w:color w:val="auto"/>
              </w:rPr>
              <w:t>from available-for-sale to</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F0FFFF"/>
          </w:tcPr>
          <w:p>
            <w:pPr>
              <w:ind w:left="620"/>
              <w:spacing w:after="0"/>
              <w:rPr>
                <w:sz w:val="20"/>
                <w:szCs w:val="20"/>
                <w:color w:val="auto"/>
              </w:rPr>
            </w:pPr>
            <w:r>
              <w:rPr>
                <w:rFonts w:ascii="Arial" w:cs="Arial" w:eastAsia="Arial" w:hAnsi="Arial"/>
                <w:sz w:val="14"/>
                <w:szCs w:val="14"/>
                <w:color w:val="auto"/>
              </w:rPr>
              <w:t>held-to-maturity</w:t>
            </w:r>
          </w:p>
        </w:tc>
        <w:tc>
          <w:tcPr>
            <w:tcW w:w="80" w:type="dxa"/>
            <w:vAlign w:val="bottom"/>
            <w:shd w:val="clear" w:color="auto" w:fill="F0FFFF"/>
          </w:tcPr>
          <w:p>
            <w:pPr>
              <w:spacing w:after="0"/>
              <w:rPr>
                <w:sz w:val="14"/>
                <w:szCs w:val="14"/>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8,306</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(3,119)</w:t>
            </w:r>
          </w:p>
        </w:tc>
        <w:tc>
          <w:tcPr>
            <w:tcW w:w="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5,187</w:t>
            </w:r>
          </w:p>
        </w:tc>
        <w:tc>
          <w:tcPr>
            <w:tcW w:w="8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gridSpan w:val="2"/>
          </w:tcPr>
          <w:p>
            <w:pPr>
              <w:ind w:left="500"/>
              <w:spacing w:after="0" w:line="130" w:lineRule="exact"/>
              <w:rPr>
                <w:sz w:val="20"/>
                <w:szCs w:val="20"/>
                <w:color w:val="auto"/>
              </w:rPr>
            </w:pPr>
            <w:r>
              <w:rPr>
                <w:rFonts w:ascii="Arial" w:cs="Arial" w:eastAsia="Arial" w:hAnsi="Arial"/>
                <w:sz w:val="14"/>
                <w:szCs w:val="14"/>
                <w:color w:val="auto"/>
              </w:rPr>
              <w:t>Reclassification adjustment</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for gains included in net</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ind w:left="620"/>
              <w:spacing w:after="0"/>
              <w:rPr>
                <w:sz w:val="20"/>
                <w:szCs w:val="20"/>
                <w:color w:val="auto"/>
              </w:rPr>
            </w:pPr>
            <w:r>
              <w:rPr>
                <w:rFonts w:ascii="Arial" w:cs="Arial" w:eastAsia="Arial" w:hAnsi="Arial"/>
                <w:sz w:val="14"/>
                <w:szCs w:val="14"/>
                <w:color w:val="auto"/>
              </w:rPr>
              <w:t>income</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(2,255)</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862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(1,393)</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(4,871)</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(2,969)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F0FFFF"/>
          </w:tcPr>
          <w:p>
            <w:pPr>
              <w:ind w:left="500"/>
              <w:spacing w:after="0" w:line="130" w:lineRule="exact"/>
              <w:rPr>
                <w:sz w:val="20"/>
                <w:szCs w:val="20"/>
                <w:color w:val="auto"/>
              </w:rPr>
            </w:pPr>
            <w:r>
              <w:rPr>
                <w:rFonts w:ascii="Arial" w:cs="Arial" w:eastAsia="Arial" w:hAnsi="Arial"/>
                <w:sz w:val="14"/>
                <w:szCs w:val="14"/>
                <w:color w:val="auto"/>
              </w:rPr>
              <w:t>Adjustment of valuation</w:t>
            </w: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620"/>
              <w:spacing w:after="0" w:line="149" w:lineRule="exact"/>
              <w:rPr>
                <w:sz w:val="20"/>
                <w:szCs w:val="20"/>
                <w:color w:val="auto"/>
              </w:rPr>
            </w:pPr>
            <w:r>
              <w:rPr>
                <w:rFonts w:ascii="Arial" w:cs="Arial" w:eastAsia="Arial" w:hAnsi="Arial"/>
                <w:sz w:val="14"/>
                <w:szCs w:val="14"/>
                <w:color w:val="auto"/>
              </w:rPr>
              <w:t>allowance for the change</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620"/>
              <w:spacing w:after="0" w:line="149" w:lineRule="exact"/>
              <w:rPr>
                <w:sz w:val="20"/>
                <w:szCs w:val="20"/>
                <w:color w:val="auto"/>
              </w:rPr>
            </w:pPr>
            <w:r>
              <w:rPr>
                <w:rFonts w:ascii="Arial" w:cs="Arial" w:eastAsia="Arial" w:hAnsi="Arial"/>
                <w:sz w:val="14"/>
                <w:szCs w:val="14"/>
                <w:color w:val="auto"/>
              </w:rPr>
              <w:t>in deferred taxes</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F0FFFF"/>
          </w:tcPr>
          <w:p>
            <w:pPr>
              <w:ind w:left="620"/>
              <w:spacing w:after="0" w:line="149" w:lineRule="exact"/>
              <w:rPr>
                <w:sz w:val="20"/>
                <w:szCs w:val="20"/>
                <w:color w:val="auto"/>
              </w:rPr>
            </w:pPr>
            <w:r>
              <w:rPr>
                <w:rFonts w:ascii="Arial" w:cs="Arial" w:eastAsia="Arial" w:hAnsi="Arial"/>
                <w:sz w:val="14"/>
                <w:szCs w:val="14"/>
                <w:color w:val="auto"/>
                <w:w w:val="92"/>
              </w:rPr>
              <w:t>arising</w:t>
            </w:r>
          </w:p>
        </w:tc>
        <w:tc>
          <w:tcPr>
            <w:tcW w:w="128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from unrealized</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620"/>
              <w:spacing w:after="0" w:line="149" w:lineRule="exact"/>
              <w:rPr>
                <w:sz w:val="20"/>
                <w:szCs w:val="20"/>
                <w:color w:val="auto"/>
              </w:rPr>
            </w:pPr>
            <w:r>
              <w:rPr>
                <w:rFonts w:ascii="Arial" w:cs="Arial" w:eastAsia="Arial" w:hAnsi="Arial"/>
                <w:sz w:val="14"/>
                <w:szCs w:val="14"/>
                <w:color w:val="auto"/>
              </w:rPr>
              <w:t>gains and losses on</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620"/>
              <w:spacing w:after="0" w:line="149" w:lineRule="exact"/>
              <w:rPr>
                <w:sz w:val="20"/>
                <w:szCs w:val="20"/>
                <w:color w:val="auto"/>
              </w:rPr>
            </w:pPr>
            <w:r>
              <w:rPr>
                <w:rFonts w:ascii="Arial" w:cs="Arial" w:eastAsia="Arial" w:hAnsi="Arial"/>
                <w:sz w:val="14"/>
                <w:szCs w:val="14"/>
                <w:color w:val="auto"/>
              </w:rPr>
              <w:t>available-for-sale</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620"/>
              <w:spacing w:after="0" w:line="149" w:lineRule="exact"/>
              <w:rPr>
                <w:sz w:val="20"/>
                <w:szCs w:val="20"/>
                <w:color w:val="auto"/>
              </w:rPr>
            </w:pPr>
            <w:r>
              <w:rPr>
                <w:rFonts w:ascii="Arial" w:cs="Arial" w:eastAsia="Arial" w:hAnsi="Arial"/>
                <w:sz w:val="14"/>
                <w:szCs w:val="14"/>
                <w:color w:val="auto"/>
              </w:rPr>
              <w:t>securities and release of</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300" w:type="dxa"/>
            <w:vAlign w:val="bottom"/>
            <w:gridSpan w:val="2"/>
            <w:shd w:val="clear" w:color="auto" w:fill="F0FFFF"/>
          </w:tcPr>
          <w:p>
            <w:pPr>
              <w:ind w:left="620"/>
              <w:spacing w:after="0"/>
              <w:rPr>
                <w:sz w:val="20"/>
                <w:szCs w:val="20"/>
                <w:color w:val="auto"/>
              </w:rPr>
            </w:pPr>
            <w:r>
              <w:rPr>
                <w:rFonts w:ascii="Arial" w:cs="Arial" w:eastAsia="Arial" w:hAnsi="Arial"/>
                <w:sz w:val="14"/>
                <w:szCs w:val="14"/>
                <w:color w:val="auto"/>
              </w:rPr>
              <w:t>valuation allowance</w:t>
            </w:r>
          </w:p>
        </w:tc>
        <w:tc>
          <w:tcPr>
            <w:tcW w:w="80" w:type="dxa"/>
            <w:vAlign w:val="bottom"/>
            <w:shd w:val="clear" w:color="auto" w:fill="F0FFFF"/>
          </w:tcPr>
          <w:p>
            <w:pPr>
              <w:spacing w:after="0"/>
              <w:rPr>
                <w:sz w:val="17"/>
                <w:szCs w:val="17"/>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(2,963)</w:t>
            </w:r>
          </w:p>
        </w:tc>
        <w:tc>
          <w:tcPr>
            <w:tcW w:w="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82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(2,963)</w:t>
            </w:r>
          </w:p>
        </w:tc>
        <w:tc>
          <w:tcPr>
            <w:tcW w:w="0" w:type="dxa"/>
            <w:vAlign w:val="bottom"/>
          </w:tcPr>
          <w:p>
            <w:pPr>
              <w:spacing w:after="0"/>
              <w:rPr>
                <w:sz w:val="1"/>
                <w:szCs w:val="1"/>
                <w:color w:val="auto"/>
              </w:rPr>
            </w:pPr>
          </w:p>
        </w:tc>
      </w:tr>
      <w:tr>
        <w:trPr>
          <w:trHeight w:val="136"/>
        </w:trPr>
        <w:tc>
          <w:tcPr>
            <w:tcW w:w="2300" w:type="dxa"/>
            <w:vAlign w:val="bottom"/>
            <w:tcBorders>
              <w:top w:val="single" w:sz="8" w:color="F0FFFF"/>
            </w:tcBorders>
            <w:gridSpan w:val="2"/>
          </w:tcPr>
          <w:p>
            <w:pPr>
              <w:ind w:left="500"/>
              <w:spacing w:after="0" w:line="136" w:lineRule="exact"/>
              <w:rPr>
                <w:sz w:val="20"/>
                <w:szCs w:val="20"/>
                <w:color w:val="auto"/>
              </w:rPr>
            </w:pPr>
            <w:r>
              <w:rPr>
                <w:rFonts w:ascii="Arial" w:cs="Arial" w:eastAsia="Arial" w:hAnsi="Arial"/>
                <w:sz w:val="14"/>
                <w:szCs w:val="14"/>
                <w:color w:val="auto"/>
                <w:w w:val="98"/>
              </w:rPr>
              <w:t>Net unrealized (losses) gains</w:t>
            </w: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(13,034)</w:t>
            </w:r>
          </w:p>
        </w:tc>
        <w:tc>
          <w:tcPr>
            <w:tcW w:w="24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4,866</w:t>
            </w:r>
          </w:p>
        </w:tc>
        <w:tc>
          <w:tcPr>
            <w:tcW w:w="26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(8,168)</w:t>
            </w:r>
          </w:p>
        </w:tc>
        <w:tc>
          <w:tcPr>
            <w:tcW w:w="24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7,679</w:t>
            </w:r>
          </w:p>
        </w:tc>
        <w:tc>
          <w:tcPr>
            <w:tcW w:w="24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(2,774)</w:t>
            </w: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4,905</w:t>
            </w: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(14,301)</w:t>
            </w: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2,465</w:t>
            </w:r>
          </w:p>
        </w:tc>
        <w:tc>
          <w:tcPr>
            <w:tcW w:w="200" w:type="dxa"/>
            <w:vAlign w:val="bottom"/>
            <w:tcBorders>
              <w:top w:val="single" w:sz="8" w:color="F0FFFF"/>
            </w:tcBorders>
          </w:tcPr>
          <w:p>
            <w:pPr>
              <w:spacing w:after="0"/>
              <w:rPr>
                <w:sz w:val="11"/>
                <w:szCs w:val="11"/>
                <w:color w:val="auto"/>
              </w:rPr>
            </w:pPr>
          </w:p>
        </w:tc>
        <w:tc>
          <w:tcPr>
            <w:tcW w:w="20" w:type="dxa"/>
            <w:vAlign w:val="bottom"/>
            <w:tcBorders>
              <w:top w:val="single" w:sz="8" w:color="F0FFFF"/>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(11,836)</w:t>
            </w:r>
          </w:p>
        </w:tc>
        <w:tc>
          <w:tcPr>
            <w:tcW w:w="100" w:type="dxa"/>
            <w:vAlign w:val="bottom"/>
            <w:tcBorders>
              <w:top w:val="single" w:sz="8" w:color="F0FF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F0FFFF"/>
          </w:tcPr>
          <w:p>
            <w:pPr>
              <w:ind w:left="180"/>
              <w:spacing w:after="0" w:line="130" w:lineRule="exact"/>
              <w:rPr>
                <w:sz w:val="20"/>
                <w:szCs w:val="20"/>
                <w:color w:val="auto"/>
              </w:rPr>
            </w:pPr>
            <w:r>
              <w:rPr>
                <w:rFonts w:ascii="Arial" w:cs="Arial" w:eastAsia="Arial" w:hAnsi="Arial"/>
                <w:sz w:val="14"/>
                <w:szCs w:val="14"/>
                <w:color w:val="auto"/>
              </w:rPr>
              <w:t>Amortization of losses (gains)</w:t>
            </w: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shd w:val="clear" w:color="auto" w:fill="F0FFFF"/>
          </w:tcPr>
          <w:p>
            <w:pPr>
              <w:ind w:left="300"/>
              <w:spacing w:after="0" w:line="149" w:lineRule="exact"/>
              <w:rPr>
                <w:sz w:val="20"/>
                <w:szCs w:val="20"/>
                <w:color w:val="auto"/>
              </w:rPr>
            </w:pPr>
            <w:r>
              <w:rPr>
                <w:rFonts w:ascii="Arial" w:cs="Arial" w:eastAsia="Arial" w:hAnsi="Arial"/>
                <w:sz w:val="14"/>
                <w:szCs w:val="14"/>
                <w:color w:val="auto"/>
              </w:rPr>
              <w:t>included in</w:t>
            </w:r>
          </w:p>
        </w:tc>
        <w:tc>
          <w:tcPr>
            <w:tcW w:w="12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net income on</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available-for-sale securities</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F0FFFF"/>
          </w:tcPr>
          <w:p>
            <w:pPr>
              <w:ind w:left="300"/>
              <w:spacing w:after="0"/>
              <w:rPr>
                <w:sz w:val="20"/>
                <w:szCs w:val="20"/>
                <w:color w:val="auto"/>
              </w:rPr>
            </w:pPr>
            <w:r>
              <w:rPr>
                <w:rFonts w:ascii="Arial" w:cs="Arial" w:eastAsia="Arial" w:hAnsi="Arial"/>
                <w:sz w:val="14"/>
                <w:szCs w:val="14"/>
                <w:color w:val="auto"/>
              </w:rPr>
              <w:t>transferred to held to maturity</w:t>
            </w:r>
          </w:p>
        </w:tc>
        <w:tc>
          <w:tcPr>
            <w:tcW w:w="8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1,702</w:t>
            </w:r>
          </w:p>
        </w:tc>
        <w:tc>
          <w:tcPr>
            <w:tcW w:w="8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(638)</w:t>
            </w:r>
          </w:p>
        </w:tc>
        <w:tc>
          <w:tcPr>
            <w:tcW w:w="8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1,064</w:t>
            </w:r>
          </w:p>
        </w:tc>
        <w:tc>
          <w:tcPr>
            <w:tcW w:w="8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1,656</w:t>
            </w:r>
          </w:p>
        </w:tc>
        <w:tc>
          <w:tcPr>
            <w:tcW w:w="8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1,034</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(731)</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282</w:t>
            </w:r>
          </w:p>
        </w:tc>
        <w:tc>
          <w:tcPr>
            <w:tcW w:w="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2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r>
        <w:trPr>
          <w:trHeight w:val="130"/>
        </w:trPr>
        <w:tc>
          <w:tcPr>
            <w:tcW w:w="230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Reclassification of securities from</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available-for-sale to held-to-</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300"/>
              <w:spacing w:after="0"/>
              <w:rPr>
                <w:sz w:val="20"/>
                <w:szCs w:val="20"/>
                <w:color w:val="auto"/>
              </w:rPr>
            </w:pPr>
            <w:r>
              <w:rPr>
                <w:rFonts w:ascii="Arial" w:cs="Arial" w:eastAsia="Arial" w:hAnsi="Arial"/>
                <w:sz w:val="14"/>
                <w:szCs w:val="14"/>
                <w:color w:val="auto"/>
              </w:rPr>
              <w:t>maturity</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(8,306)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3,119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color w:val="auto"/>
              </w:rPr>
              <w:t>(5,187)</w:t>
            </w: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F0FFFF"/>
          </w:tcPr>
          <w:p>
            <w:pPr>
              <w:ind w:left="180"/>
              <w:spacing w:after="0" w:line="130" w:lineRule="exact"/>
              <w:rPr>
                <w:sz w:val="20"/>
                <w:szCs w:val="20"/>
                <w:color w:val="auto"/>
              </w:rPr>
            </w:pPr>
            <w:r>
              <w:rPr>
                <w:rFonts w:ascii="Arial" w:cs="Arial" w:eastAsia="Arial" w:hAnsi="Arial"/>
                <w:sz w:val="14"/>
                <w:szCs w:val="14"/>
                <w:color w:val="auto"/>
              </w:rPr>
              <w:t>Adjustment of valuation</w:t>
            </w: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allowance for the change in</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deferred taxes arising from the</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amortization of gains included</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in net income on available-for-</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sale securities transferred to</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held-to-maturity and release of</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300" w:type="dxa"/>
            <w:vAlign w:val="bottom"/>
            <w:gridSpan w:val="2"/>
            <w:shd w:val="clear" w:color="auto" w:fill="F0FFFF"/>
          </w:tcPr>
          <w:p>
            <w:pPr>
              <w:ind w:left="300"/>
              <w:spacing w:after="0"/>
              <w:rPr>
                <w:sz w:val="20"/>
                <w:szCs w:val="20"/>
                <w:color w:val="auto"/>
              </w:rPr>
            </w:pPr>
            <w:r>
              <w:rPr>
                <w:rFonts w:ascii="Arial" w:cs="Arial" w:eastAsia="Arial" w:hAnsi="Arial"/>
                <w:sz w:val="14"/>
                <w:szCs w:val="14"/>
                <w:color w:val="auto"/>
              </w:rPr>
              <w:t>valuation allowance</w:t>
            </w:r>
          </w:p>
        </w:tc>
        <w:tc>
          <w:tcPr>
            <w:tcW w:w="80" w:type="dxa"/>
            <w:vAlign w:val="bottom"/>
            <w:shd w:val="clear" w:color="auto" w:fill="F0FFFF"/>
          </w:tcPr>
          <w:p>
            <w:pPr>
              <w:spacing w:after="0"/>
              <w:rPr>
                <w:sz w:val="17"/>
                <w:szCs w:val="17"/>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1,293</w:t>
            </w:r>
          </w:p>
        </w:tc>
        <w:tc>
          <w:tcPr>
            <w:tcW w:w="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1,293</w:t>
            </w: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300" w:type="dxa"/>
            <w:vAlign w:val="bottom"/>
            <w:tcBorders>
              <w:top w:val="single" w:sz="8" w:color="F0FFFF"/>
            </w:tcBorders>
            <w:gridSpan w:val="2"/>
          </w:tcPr>
          <w:p>
            <w:pPr>
              <w:ind w:left="500"/>
              <w:spacing w:after="0" w:line="149" w:lineRule="exact"/>
              <w:rPr>
                <w:sz w:val="20"/>
                <w:szCs w:val="20"/>
                <w:color w:val="auto"/>
              </w:rPr>
            </w:pPr>
            <w:r>
              <w:rPr>
                <w:rFonts w:ascii="Arial" w:cs="Arial" w:eastAsia="Arial" w:hAnsi="Arial"/>
                <w:sz w:val="14"/>
                <w:szCs w:val="14"/>
                <w:color w:val="auto"/>
                <w:w w:val="98"/>
              </w:rPr>
              <w:t>Net unrealized gains (losses)</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1,702</w:t>
            </w:r>
          </w:p>
        </w:tc>
        <w:tc>
          <w:tcPr>
            <w:tcW w:w="24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(638)</w:t>
            </w:r>
          </w:p>
        </w:tc>
        <w:tc>
          <w:tcPr>
            <w:tcW w:w="26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1,064</w:t>
            </w:r>
          </w:p>
        </w:tc>
        <w:tc>
          <w:tcPr>
            <w:tcW w:w="24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1,656</w:t>
            </w:r>
          </w:p>
        </w:tc>
        <w:tc>
          <w:tcPr>
            <w:tcW w:w="24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(622)</w:t>
            </w:r>
          </w:p>
        </w:tc>
        <w:tc>
          <w:tcPr>
            <w:tcW w:w="1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1,034</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(9,037)</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4,694</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(4,343)</w:t>
            </w:r>
          </w:p>
        </w:tc>
        <w:tc>
          <w:tcPr>
            <w:tcW w:w="100" w:type="dxa"/>
            <w:vAlign w:val="bottom"/>
            <w:tcBorders>
              <w:top w:val="single" w:sz="8" w:color="F0FF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F0FFFF"/>
          </w:tcPr>
          <w:p>
            <w:pPr>
              <w:ind w:left="180"/>
              <w:spacing w:after="0" w:line="130" w:lineRule="exact"/>
              <w:rPr>
                <w:sz w:val="20"/>
                <w:szCs w:val="20"/>
                <w:color w:val="auto"/>
              </w:rPr>
            </w:pPr>
            <w:r>
              <w:rPr>
                <w:rFonts w:ascii="Arial" w:cs="Arial" w:eastAsia="Arial" w:hAnsi="Arial"/>
                <w:sz w:val="14"/>
                <w:szCs w:val="14"/>
                <w:color w:val="auto"/>
              </w:rPr>
              <w:t>Amounts reclassified into net</w:t>
            </w: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F0FFFF"/>
          </w:tcPr>
          <w:p>
            <w:pPr>
              <w:ind w:left="300"/>
              <w:spacing w:after="0"/>
              <w:rPr>
                <w:sz w:val="20"/>
                <w:szCs w:val="20"/>
                <w:color w:val="auto"/>
              </w:rPr>
            </w:pPr>
            <w:r>
              <w:rPr>
                <w:rFonts w:ascii="Arial" w:cs="Arial" w:eastAsia="Arial" w:hAnsi="Arial"/>
                <w:sz w:val="14"/>
                <w:szCs w:val="14"/>
                <w:color w:val="auto"/>
              </w:rPr>
              <w:t>income on cash flow hedges</w:t>
            </w:r>
          </w:p>
        </w:tc>
        <w:tc>
          <w:tcPr>
            <w:tcW w:w="8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1,936</w:t>
            </w:r>
          </w:p>
        </w:tc>
        <w:tc>
          <w:tcPr>
            <w:tcW w:w="8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(753)</w:t>
            </w:r>
          </w:p>
        </w:tc>
        <w:tc>
          <w:tcPr>
            <w:tcW w:w="8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1,183</w:t>
            </w:r>
          </w:p>
        </w:tc>
        <w:tc>
          <w:tcPr>
            <w:tcW w:w="8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1,228</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(904)</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352</w:t>
            </w:r>
          </w:p>
        </w:tc>
        <w:tc>
          <w:tcPr>
            <w:tcW w:w="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20" w:type="dxa"/>
            <w:vAlign w:val="bottom"/>
            <w:gridSpan w:val="3"/>
            <w:shd w:val="clear" w:color="auto" w:fill="F0FFFF"/>
          </w:tcPr>
          <w:p>
            <w:pPr>
              <w:jc w:val="right"/>
              <w:ind w:right="60"/>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130"/>
        </w:trPr>
        <w:tc>
          <w:tcPr>
            <w:tcW w:w="230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Unrealized (losses) gains on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derivative financial instruments</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accounted for as cash flow</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20" w:type="dxa"/>
            <w:vAlign w:val="bottom"/>
          </w:tcPr>
          <w:p>
            <w:pPr>
              <w:ind w:left="300"/>
              <w:spacing w:after="0"/>
              <w:rPr>
                <w:sz w:val="20"/>
                <w:szCs w:val="20"/>
                <w:color w:val="auto"/>
              </w:rPr>
            </w:pPr>
            <w:r>
              <w:rPr>
                <w:rFonts w:ascii="Arial" w:cs="Arial" w:eastAsia="Arial" w:hAnsi="Arial"/>
                <w:sz w:val="14"/>
                <w:szCs w:val="14"/>
                <w:color w:val="auto"/>
              </w:rPr>
              <w:t>hedges</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(471)</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(8,437)</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3,282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(5,155)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10,084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(3,923)</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6,161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F0FFFF"/>
          </w:tcPr>
          <w:p>
            <w:pPr>
              <w:ind w:left="180"/>
              <w:spacing w:after="0" w:line="130" w:lineRule="exact"/>
              <w:rPr>
                <w:sz w:val="20"/>
                <w:szCs w:val="20"/>
                <w:color w:val="auto"/>
              </w:rPr>
            </w:pPr>
            <w:r>
              <w:rPr>
                <w:rFonts w:ascii="Arial" w:cs="Arial" w:eastAsia="Arial" w:hAnsi="Arial"/>
                <w:sz w:val="14"/>
                <w:szCs w:val="14"/>
                <w:color w:val="auto"/>
              </w:rPr>
              <w:t>Adjustment of valuation</w:t>
            </w: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allowance for the change in</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deferred taxes arising from</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w w:val="98"/>
              </w:rPr>
              <w:t>unrealized gains and losses and</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amortization of gains included</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in net income on cash flow</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w w:val="99"/>
              </w:rPr>
              <w:t>hedges and release of valuation</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020" w:type="dxa"/>
            <w:vAlign w:val="bottom"/>
            <w:shd w:val="clear" w:color="auto" w:fill="F0FFFF"/>
          </w:tcPr>
          <w:p>
            <w:pPr>
              <w:ind w:left="300"/>
              <w:spacing w:after="0"/>
              <w:rPr>
                <w:sz w:val="20"/>
                <w:szCs w:val="20"/>
                <w:color w:val="auto"/>
              </w:rPr>
            </w:pPr>
            <w:r>
              <w:rPr>
                <w:rFonts w:ascii="Arial" w:cs="Arial" w:eastAsia="Arial" w:hAnsi="Arial"/>
                <w:sz w:val="14"/>
                <w:szCs w:val="14"/>
                <w:color w:val="auto"/>
              </w:rPr>
              <w:t>allowance</w:t>
            </w:r>
          </w:p>
        </w:tc>
        <w:tc>
          <w:tcPr>
            <w:tcW w:w="12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13,698</w:t>
            </w:r>
          </w:p>
        </w:tc>
        <w:tc>
          <w:tcPr>
            <w:tcW w:w="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13,698</w:t>
            </w: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300" w:type="dxa"/>
            <w:vAlign w:val="bottom"/>
            <w:tcBorders>
              <w:top w:val="single" w:sz="8" w:color="F0FFFF"/>
            </w:tcBorders>
            <w:gridSpan w:val="2"/>
          </w:tcPr>
          <w:p>
            <w:pPr>
              <w:ind w:left="500"/>
              <w:spacing w:after="0" w:line="149" w:lineRule="exact"/>
              <w:rPr>
                <w:sz w:val="20"/>
                <w:szCs w:val="20"/>
                <w:color w:val="auto"/>
              </w:rPr>
            </w:pPr>
            <w:r>
              <w:rPr>
                <w:rFonts w:ascii="Arial" w:cs="Arial" w:eastAsia="Arial" w:hAnsi="Arial"/>
                <w:sz w:val="14"/>
                <w:szCs w:val="14"/>
                <w:color w:val="auto"/>
              </w:rPr>
              <w:t>Net cash flow hedge activity</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1,465</w:t>
            </w:r>
          </w:p>
        </w:tc>
        <w:tc>
          <w:tcPr>
            <w:tcW w:w="24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(570)</w:t>
            </w:r>
          </w:p>
        </w:tc>
        <w:tc>
          <w:tcPr>
            <w:tcW w:w="26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895</w:t>
            </w:r>
          </w:p>
        </w:tc>
        <w:tc>
          <w:tcPr>
            <w:tcW w:w="24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(6,427)</w:t>
            </w:r>
          </w:p>
        </w:tc>
        <w:tc>
          <w:tcPr>
            <w:tcW w:w="24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2,500</w:t>
            </w:r>
          </w:p>
        </w:tc>
        <w:tc>
          <w:tcPr>
            <w:tcW w:w="12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(3,927)</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9,180</w:t>
            </w:r>
          </w:p>
        </w:tc>
        <w:tc>
          <w:tcPr>
            <w:tcW w:w="1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10,127</w:t>
            </w:r>
          </w:p>
        </w:tc>
        <w:tc>
          <w:tcPr>
            <w:tcW w:w="200" w:type="dxa"/>
            <w:vAlign w:val="bottom"/>
            <w:tcBorders>
              <w:top w:val="single" w:sz="8" w:color="F0FFFF"/>
            </w:tcBorders>
          </w:tcPr>
          <w:p>
            <w:pPr>
              <w:spacing w:after="0"/>
              <w:rPr>
                <w:sz w:val="12"/>
                <w:szCs w:val="12"/>
                <w:color w:val="auto"/>
              </w:rPr>
            </w:pPr>
          </w:p>
        </w:tc>
        <w:tc>
          <w:tcPr>
            <w:tcW w:w="20" w:type="dxa"/>
            <w:vAlign w:val="bottom"/>
            <w:tcBorders>
              <w:top w:val="single" w:sz="8" w:color="F0FFFF"/>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19,307</w:t>
            </w:r>
          </w:p>
        </w:tc>
        <w:tc>
          <w:tcPr>
            <w:tcW w:w="20" w:type="dxa"/>
            <w:vAlign w:val="bottom"/>
            <w:tcBorders>
              <w:top w:val="single" w:sz="8" w:color="F0FFFF"/>
            </w:tcBorders>
          </w:tcPr>
          <w:p>
            <w:pPr>
              <w:spacing w:after="0"/>
              <w:rPr>
                <w:sz w:val="12"/>
                <w:szCs w:val="12"/>
                <w:color w:val="auto"/>
              </w:rPr>
            </w:pPr>
          </w:p>
        </w:tc>
        <w:tc>
          <w:tcPr>
            <w:tcW w:w="8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F0FFFF"/>
          </w:tcPr>
          <w:p>
            <w:pPr>
              <w:ind w:left="180"/>
              <w:spacing w:after="0" w:line="130" w:lineRule="exact"/>
              <w:rPr>
                <w:sz w:val="20"/>
                <w:szCs w:val="20"/>
                <w:color w:val="auto"/>
              </w:rPr>
            </w:pPr>
            <w:r>
              <w:rPr>
                <w:rFonts w:ascii="Arial" w:cs="Arial" w:eastAsia="Arial" w:hAnsi="Arial"/>
                <w:sz w:val="14"/>
                <w:szCs w:val="14"/>
                <w:color w:val="auto"/>
              </w:rPr>
              <w:t>Amendments to defined benefit</w:t>
            </w: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shd w:val="clear" w:color="auto" w:fill="F0FFFF"/>
          </w:tcPr>
          <w:p>
            <w:pPr>
              <w:ind w:left="300"/>
              <w:spacing w:after="0"/>
              <w:rPr>
                <w:sz w:val="20"/>
                <w:szCs w:val="20"/>
                <w:color w:val="auto"/>
              </w:rPr>
            </w:pPr>
            <w:r>
              <w:rPr>
                <w:rFonts w:ascii="Arial" w:cs="Arial" w:eastAsia="Arial" w:hAnsi="Arial"/>
                <w:sz w:val="14"/>
                <w:szCs w:val="14"/>
                <w:color w:val="auto"/>
              </w:rPr>
              <w:t>pension plan</w:t>
            </w:r>
          </w:p>
        </w:tc>
        <w:tc>
          <w:tcPr>
            <w:tcW w:w="8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(1,353)</w:t>
            </w:r>
          </w:p>
        </w:tc>
        <w:tc>
          <w:tcPr>
            <w:tcW w:w="80" w:type="dxa"/>
            <w:vAlign w:val="bottom"/>
            <w:shd w:val="clear" w:color="auto" w:fill="F0FFFF"/>
          </w:tcPr>
          <w:p>
            <w:pPr>
              <w:spacing w:after="0"/>
              <w:rPr>
                <w:sz w:val="14"/>
                <w:szCs w:val="14"/>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526</w:t>
            </w:r>
          </w:p>
        </w:tc>
        <w:tc>
          <w:tcPr>
            <w:tcW w:w="26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6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(827)</w:t>
            </w:r>
          </w:p>
        </w:tc>
        <w:tc>
          <w:tcPr>
            <w:tcW w:w="80" w:type="dxa"/>
            <w:vAlign w:val="bottom"/>
            <w:shd w:val="clear" w:color="auto" w:fill="F0FFFF"/>
          </w:tcPr>
          <w:p>
            <w:pPr>
              <w:spacing w:after="0"/>
              <w:rPr>
                <w:sz w:val="14"/>
                <w:szCs w:val="14"/>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gridSpan w:val="2"/>
          </w:tcPr>
          <w:p>
            <w:pPr>
              <w:ind w:left="180"/>
              <w:spacing w:after="0" w:line="130" w:lineRule="exact"/>
              <w:rPr>
                <w:sz w:val="20"/>
                <w:szCs w:val="20"/>
                <w:color w:val="auto"/>
              </w:rPr>
            </w:pPr>
            <w:r>
              <w:rPr>
                <w:rFonts w:ascii="Arial" w:cs="Arial" w:eastAsia="Arial" w:hAnsi="Arial"/>
                <w:sz w:val="14"/>
                <w:szCs w:val="14"/>
                <w:color w:val="auto"/>
              </w:rPr>
              <w:t>Net actuarial gain (loss) on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00" w:type="dxa"/>
            <w:vAlign w:val="bottom"/>
            <w:gridSpan w:val="2"/>
          </w:tcPr>
          <w:p>
            <w:pPr>
              <w:ind w:left="300"/>
              <w:spacing w:after="0"/>
              <w:rPr>
                <w:sz w:val="20"/>
                <w:szCs w:val="20"/>
                <w:color w:val="auto"/>
              </w:rPr>
            </w:pPr>
            <w:r>
              <w:rPr>
                <w:rFonts w:ascii="Arial" w:cs="Arial" w:eastAsia="Arial" w:hAnsi="Arial"/>
                <w:sz w:val="14"/>
                <w:szCs w:val="14"/>
                <w:color w:val="auto"/>
              </w:rPr>
              <w:t>defined benefit pension plan</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(1,933)</w:t>
            </w: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(1,181)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561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(218)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00" w:type="dxa"/>
            <w:vAlign w:val="bottom"/>
            <w:gridSpan w:val="2"/>
            <w:shd w:val="clear" w:color="auto" w:fill="F0FFFF"/>
          </w:tcPr>
          <w:p>
            <w:pPr>
              <w:ind w:left="180"/>
              <w:spacing w:after="0" w:line="130" w:lineRule="exact"/>
              <w:rPr>
                <w:sz w:val="20"/>
                <w:szCs w:val="20"/>
                <w:color w:val="auto"/>
              </w:rPr>
            </w:pPr>
            <w:r>
              <w:rPr>
                <w:rFonts w:ascii="Arial" w:cs="Arial" w:eastAsia="Arial" w:hAnsi="Arial"/>
                <w:sz w:val="14"/>
                <w:szCs w:val="14"/>
                <w:color w:val="auto"/>
              </w:rPr>
              <w:t>Amortization of prior service cost</w:t>
            </w: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6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and actuarial losses included in</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00" w:type="dxa"/>
            <w:vAlign w:val="bottom"/>
            <w:gridSpan w:val="2"/>
            <w:shd w:val="clear" w:color="auto" w:fill="F0FFFF"/>
          </w:tcPr>
          <w:p>
            <w:pPr>
              <w:ind w:left="300"/>
              <w:spacing w:after="0" w:line="149" w:lineRule="exact"/>
              <w:rPr>
                <w:sz w:val="20"/>
                <w:szCs w:val="20"/>
                <w:color w:val="auto"/>
              </w:rPr>
            </w:pPr>
            <w:r>
              <w:rPr>
                <w:rFonts w:ascii="Arial" w:cs="Arial" w:eastAsia="Arial" w:hAnsi="Arial"/>
                <w:sz w:val="14"/>
                <w:szCs w:val="14"/>
                <w:color w:val="auto"/>
              </w:rPr>
              <w:t>net periodic pension cost for</w:t>
            </w: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6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20" w:type="dxa"/>
            <w:vAlign w:val="bottom"/>
            <w:shd w:val="clear" w:color="auto" w:fill="F0FFFF"/>
          </w:tcPr>
          <w:p>
            <w:pPr>
              <w:spacing w:after="0"/>
              <w:rPr>
                <w:sz w:val="12"/>
                <w:szCs w:val="12"/>
                <w:color w:val="auto"/>
              </w:rPr>
            </w:pPr>
          </w:p>
        </w:tc>
        <w:tc>
          <w:tcPr>
            <w:tcW w:w="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300" w:type="dxa"/>
            <w:vAlign w:val="bottom"/>
            <w:gridSpan w:val="2"/>
            <w:shd w:val="clear" w:color="auto" w:fill="F0FFFF"/>
          </w:tcPr>
          <w:p>
            <w:pPr>
              <w:ind w:left="300"/>
              <w:spacing w:after="0"/>
              <w:rPr>
                <w:sz w:val="20"/>
                <w:szCs w:val="20"/>
                <w:color w:val="auto"/>
              </w:rPr>
            </w:pPr>
            <w:r>
              <w:rPr>
                <w:rFonts w:ascii="Arial" w:cs="Arial" w:eastAsia="Arial" w:hAnsi="Arial"/>
                <w:sz w:val="14"/>
                <w:szCs w:val="14"/>
                <w:color w:val="auto"/>
              </w:rPr>
              <w:t>defined benefit pension plan</w:t>
            </w:r>
          </w:p>
        </w:tc>
        <w:tc>
          <w:tcPr>
            <w:tcW w:w="80" w:type="dxa"/>
            <w:vAlign w:val="bottom"/>
            <w:shd w:val="clear" w:color="auto" w:fill="F0FFFF"/>
          </w:tcPr>
          <w:p>
            <w:pPr>
              <w:spacing w:after="0"/>
              <w:rPr>
                <w:sz w:val="17"/>
                <w:szCs w:val="17"/>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736</w:t>
            </w:r>
          </w:p>
        </w:tc>
        <w:tc>
          <w:tcPr>
            <w:tcW w:w="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(286)</w:t>
            </w: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450</w:t>
            </w:r>
          </w:p>
        </w:tc>
        <w:tc>
          <w:tcPr>
            <w:tcW w:w="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365</w:t>
            </w:r>
          </w:p>
        </w:tc>
        <w:tc>
          <w:tcPr>
            <w:tcW w:w="2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223</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532</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4"/>
                <w:szCs w:val="14"/>
                <w:color w:val="auto"/>
              </w:rPr>
              <w:t>(207)</w:t>
            </w:r>
          </w:p>
        </w:tc>
        <w:tc>
          <w:tcPr>
            <w:tcW w:w="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740" w:type="dxa"/>
            <w:vAlign w:val="bottom"/>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325</w:t>
            </w: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300" w:type="dxa"/>
            <w:vAlign w:val="bottom"/>
            <w:tcBorders>
              <w:top w:val="single" w:sz="8" w:color="F0FFFF"/>
            </w:tcBorders>
            <w:gridSpan w:val="2"/>
          </w:tcPr>
          <w:p>
            <w:pPr>
              <w:ind w:left="500"/>
              <w:spacing w:after="0" w:line="104" w:lineRule="exact"/>
              <w:rPr>
                <w:sz w:val="20"/>
                <w:szCs w:val="20"/>
                <w:color w:val="auto"/>
              </w:rPr>
            </w:pPr>
            <w:r>
              <w:rPr>
                <w:rFonts w:ascii="Arial" w:cs="Arial" w:eastAsia="Arial" w:hAnsi="Arial"/>
                <w:sz w:val="11"/>
                <w:szCs w:val="11"/>
                <w:color w:val="auto"/>
              </w:rPr>
              <w:t>Net defined benefit pension</w:t>
            </w: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6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4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F0FFFF"/>
            </w:tcBorders>
          </w:tcPr>
          <w:p>
            <w:pPr>
              <w:spacing w:after="0"/>
              <w:rPr>
                <w:sz w:val="8"/>
                <w:szCs w:val="8"/>
                <w:color w:val="auto"/>
              </w:rPr>
            </w:pPr>
          </w:p>
        </w:tc>
        <w:tc>
          <w:tcPr>
            <w:tcW w:w="100" w:type="dxa"/>
            <w:vAlign w:val="bottom"/>
            <w:tcBorders>
              <w:top w:val="single" w:sz="8" w:color="F0FF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Borders>
              <w:top w:val="single" w:sz="8" w:color="F0FFFF"/>
            </w:tcBorders>
          </w:tcPr>
          <w:p>
            <w:pPr>
              <w:spacing w:after="0"/>
              <w:rPr>
                <w:sz w:val="8"/>
                <w:szCs w:val="8"/>
                <w:color w:val="auto"/>
              </w:rPr>
            </w:pPr>
          </w:p>
        </w:tc>
        <w:tc>
          <w:tcPr>
            <w:tcW w:w="80" w:type="dxa"/>
            <w:vAlign w:val="bottom"/>
            <w:tcBorders>
              <w:top w:val="single" w:sz="8" w:color="F0FFFF"/>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Borders>
              <w:top w:val="single" w:sz="8" w:color="F0FFFF"/>
            </w:tcBorders>
          </w:tcPr>
          <w:p>
            <w:pPr>
              <w:spacing w:after="0"/>
              <w:rPr>
                <w:sz w:val="8"/>
                <w:szCs w:val="8"/>
                <w:color w:val="auto"/>
              </w:rPr>
            </w:pPr>
          </w:p>
        </w:tc>
        <w:tc>
          <w:tcPr>
            <w:tcW w:w="80" w:type="dxa"/>
            <w:vAlign w:val="bottom"/>
            <w:tcBorders>
              <w:top w:val="single" w:sz="8" w:color="F0FFFF"/>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0" w:type="dxa"/>
            <w:vAlign w:val="bottom"/>
            <w:tcBorders>
              <w:top w:val="single" w:sz="8" w:color="F0FFFF"/>
            </w:tcBorders>
          </w:tcPr>
          <w:p>
            <w:pPr>
              <w:spacing w:after="0"/>
              <w:rPr>
                <w:sz w:val="8"/>
                <w:szCs w:val="8"/>
                <w:color w:val="auto"/>
              </w:rPr>
            </w:pPr>
          </w:p>
        </w:tc>
        <w:tc>
          <w:tcPr>
            <w:tcW w:w="20" w:type="dxa"/>
            <w:vAlign w:val="bottom"/>
            <w:tcBorders>
              <w:top w:val="single" w:sz="8" w:color="F0FF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0" w:type="dxa"/>
            <w:vAlign w:val="bottom"/>
            <w:tcBorders>
              <w:top w:val="single" w:sz="8" w:color="F0FFFF"/>
            </w:tcBorders>
          </w:tcPr>
          <w:p>
            <w:pPr>
              <w:spacing w:after="0"/>
              <w:rPr>
                <w:sz w:val="8"/>
                <w:szCs w:val="8"/>
                <w:color w:val="auto"/>
              </w:rPr>
            </w:pPr>
          </w:p>
        </w:tc>
        <w:tc>
          <w:tcPr>
            <w:tcW w:w="80" w:type="dxa"/>
            <w:vAlign w:val="bottom"/>
            <w:tcBorders>
              <w:top w:val="single" w:sz="8" w:color="F0FFFF"/>
            </w:tcBorders>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300" w:type="dxa"/>
            <w:vAlign w:val="bottom"/>
            <w:gridSpan w:val="2"/>
          </w:tcPr>
          <w:p>
            <w:pPr>
              <w:ind w:left="620"/>
              <w:spacing w:after="0"/>
              <w:rPr>
                <w:sz w:val="20"/>
                <w:szCs w:val="20"/>
                <w:color w:val="auto"/>
              </w:rPr>
            </w:pPr>
            <w:r>
              <w:rPr>
                <w:rFonts w:ascii="Arial" w:cs="Arial" w:eastAsia="Arial" w:hAnsi="Arial"/>
                <w:sz w:val="14"/>
                <w:szCs w:val="14"/>
                <w:color w:val="auto"/>
              </w:rPr>
              <w:t>plan activity</w:t>
            </w:r>
          </w:p>
        </w:tc>
        <w:tc>
          <w:tcPr>
            <w:tcW w:w="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(742)</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289</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(453)</w:t>
            </w:r>
          </w:p>
        </w:tc>
        <w:tc>
          <w:tcPr>
            <w:tcW w:w="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(1,568)</w:t>
            </w:r>
          </w:p>
        </w:tc>
        <w:tc>
          <w:tcPr>
            <w:tcW w:w="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(958)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1,093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(425)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668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20" w:type="dxa"/>
            <w:vAlign w:val="bottom"/>
            <w:tcBorders>
              <w:top w:val="single" w:sz="8" w:color="F0FFFF"/>
            </w:tcBorders>
            <w:shd w:val="clear" w:color="auto" w:fill="F0FFFF"/>
          </w:tcPr>
          <w:p>
            <w:pPr>
              <w:spacing w:after="0"/>
              <w:rPr>
                <w:sz w:val="12"/>
                <w:szCs w:val="12"/>
                <w:color w:val="auto"/>
              </w:rPr>
            </w:pPr>
          </w:p>
        </w:tc>
        <w:tc>
          <w:tcPr>
            <w:tcW w:w="12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4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4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0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gridSpan w:val="2"/>
          </w:tcPr>
          <w:p>
            <w:pPr>
              <w:ind w:left="500"/>
              <w:spacing w:after="0" w:line="130" w:lineRule="exact"/>
              <w:rPr>
                <w:sz w:val="20"/>
                <w:szCs w:val="20"/>
                <w:color w:val="auto"/>
              </w:rPr>
            </w:pPr>
            <w:r>
              <w:rPr>
                <w:rFonts w:ascii="Arial" w:cs="Arial" w:eastAsia="Arial" w:hAnsi="Arial"/>
                <w:sz w:val="14"/>
                <w:szCs w:val="14"/>
                <w:color w:val="auto"/>
              </w:rPr>
              <w:t>Total other comprehensive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300" w:type="dxa"/>
            <w:vAlign w:val="bottom"/>
            <w:gridSpan w:val="2"/>
          </w:tcPr>
          <w:p>
            <w:pPr>
              <w:ind w:left="620"/>
              <w:spacing w:after="0"/>
              <w:rPr>
                <w:sz w:val="20"/>
                <w:szCs w:val="20"/>
                <w:color w:val="auto"/>
              </w:rPr>
            </w:pPr>
            <w:r>
              <w:rPr>
                <w:rFonts w:ascii="Arial" w:cs="Arial" w:eastAsia="Arial" w:hAnsi="Arial"/>
                <w:sz w:val="14"/>
                <w:szCs w:val="14"/>
                <w:color w:val="auto"/>
              </w:rPr>
              <w:t>income (loss)</w:t>
            </w:r>
          </w:p>
        </w:tc>
        <w:tc>
          <w:tcPr>
            <w:tcW w:w="8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(10,609)</w:t>
            </w:r>
          </w:p>
        </w:tc>
        <w:tc>
          <w:tcPr>
            <w:tcW w:w="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3,947</w:t>
            </w:r>
          </w:p>
        </w:tc>
        <w:tc>
          <w:tcPr>
            <w:tcW w:w="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(6,662)</w:t>
            </w:r>
          </w:p>
        </w:tc>
        <w:tc>
          <w:tcPr>
            <w:tcW w:w="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1,340</w:t>
            </w:r>
          </w:p>
        </w:tc>
        <w:tc>
          <w:tcPr>
            <w:tcW w:w="80" w:type="dxa"/>
            <w:vAlign w:val="bottom"/>
          </w:tcPr>
          <w:p>
            <w:pPr>
              <w:spacing w:after="0"/>
              <w:rPr>
                <w:sz w:val="16"/>
                <w:szCs w:val="16"/>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1,054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(13,065)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16,861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3,796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020" w:type="dxa"/>
            <w:vAlign w:val="bottom"/>
            <w:tcBorders>
              <w:top w:val="single" w:sz="8" w:color="F0FFFF"/>
            </w:tcBorders>
            <w:shd w:val="clear" w:color="auto" w:fill="F0FFFF"/>
          </w:tcPr>
          <w:p>
            <w:pPr>
              <w:spacing w:after="0"/>
              <w:rPr>
                <w:sz w:val="12"/>
                <w:szCs w:val="12"/>
                <w:color w:val="auto"/>
              </w:rPr>
            </w:pPr>
          </w:p>
        </w:tc>
        <w:tc>
          <w:tcPr>
            <w:tcW w:w="12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4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6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40" w:type="dxa"/>
            <w:vAlign w:val="bottom"/>
            <w:tcBorders>
              <w:top w:val="single" w:sz="8" w:color="auto"/>
            </w:tcBorders>
            <w:shd w:val="clear" w:color="auto" w:fill="F0FFFF"/>
          </w:tcPr>
          <w:p>
            <w:pPr>
              <w:spacing w:after="0"/>
              <w:rPr>
                <w:sz w:val="12"/>
                <w:szCs w:val="12"/>
                <w:color w:val="auto"/>
              </w:rPr>
            </w:pPr>
          </w:p>
        </w:tc>
        <w:tc>
          <w:tcPr>
            <w:tcW w:w="24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00" w:type="dxa"/>
            <w:vAlign w:val="bottom"/>
            <w:tcBorders>
              <w:top w:val="single" w:sz="8" w:color="F0FFFF"/>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auto"/>
            </w:tcBorders>
            <w:shd w:val="clear" w:color="auto" w:fill="F0FFFF"/>
          </w:tcPr>
          <w:p>
            <w:pPr>
              <w:spacing w:after="0"/>
              <w:rPr>
                <w:sz w:val="12"/>
                <w:szCs w:val="12"/>
                <w:color w:val="auto"/>
              </w:rPr>
            </w:pPr>
          </w:p>
        </w:tc>
        <w:tc>
          <w:tcPr>
            <w:tcW w:w="720" w:type="dxa"/>
            <w:vAlign w:val="bottom"/>
            <w:tcBorders>
              <w:top w:val="single" w:sz="8" w:color="auto"/>
            </w:tcBorders>
            <w:shd w:val="clear" w:color="auto" w:fill="F0FFFF"/>
          </w:tcPr>
          <w:p>
            <w:pPr>
              <w:spacing w:after="0"/>
              <w:rPr>
                <w:sz w:val="12"/>
                <w:szCs w:val="12"/>
                <w:color w:val="auto"/>
              </w:rPr>
            </w:pPr>
          </w:p>
        </w:tc>
        <w:tc>
          <w:tcPr>
            <w:tcW w:w="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00" w:type="dxa"/>
            <w:vAlign w:val="bottom"/>
            <w:gridSpan w:val="2"/>
          </w:tcPr>
          <w:p>
            <w:pPr>
              <w:ind w:left="660"/>
              <w:spacing w:after="0" w:line="130" w:lineRule="exact"/>
              <w:rPr>
                <w:sz w:val="20"/>
                <w:szCs w:val="20"/>
                <w:color w:val="auto"/>
              </w:rPr>
            </w:pPr>
            <w:r>
              <w:rPr>
                <w:rFonts w:ascii="Arial" w:cs="Arial" w:eastAsia="Arial" w:hAnsi="Arial"/>
                <w:sz w:val="14"/>
                <w:szCs w:val="14"/>
                <w:color w:val="auto"/>
              </w:rPr>
              <w:t>Comprehensive income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300" w:type="dxa"/>
            <w:vAlign w:val="bottom"/>
            <w:gridSpan w:val="2"/>
          </w:tcPr>
          <w:p>
            <w:pPr>
              <w:ind w:left="780"/>
              <w:spacing w:after="0"/>
              <w:rPr>
                <w:sz w:val="20"/>
                <w:szCs w:val="20"/>
                <w:color w:val="auto"/>
              </w:rPr>
            </w:pPr>
            <w:r>
              <w:rPr>
                <w:rFonts w:ascii="Arial" w:cs="Arial" w:eastAsia="Arial" w:hAnsi="Arial"/>
                <w:sz w:val="14"/>
                <w:szCs w:val="14"/>
                <w:color w:val="auto"/>
              </w:rPr>
              <w:t>(loss)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104,405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0"/>
              <w:spacing w:after="0" w:line="194" w:lineRule="exact"/>
              <w:rPr>
                <w:sz w:val="20"/>
                <w:szCs w:val="20"/>
                <w:color w:val="auto"/>
              </w:rPr>
            </w:pPr>
            <w:r>
              <w:rPr>
                <w:rFonts w:ascii="Arial" w:cs="Arial" w:eastAsia="Arial" w:hAnsi="Arial"/>
                <w:sz w:val="12"/>
                <w:szCs w:val="12"/>
                <w:color w:val="auto"/>
              </w:rPr>
              <w:t>(39,489</w:t>
            </w:r>
            <w:r>
              <w:rPr>
                <w:rFonts w:ascii="Arial" w:cs="Arial" w:eastAsia="Arial" w:hAnsi="Arial"/>
                <w:sz w:val="22"/>
                <w:szCs w:val="22"/>
                <w:color w:val="auto"/>
                <w:vertAlign w:val="superscript"/>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64,916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108,410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line="194" w:lineRule="exact"/>
              <w:rPr>
                <w:sz w:val="20"/>
                <w:szCs w:val="20"/>
                <w:color w:val="auto"/>
              </w:rPr>
            </w:pPr>
            <w:r>
              <w:rPr>
                <w:rFonts w:ascii="Arial" w:cs="Arial" w:eastAsia="Arial" w:hAnsi="Arial"/>
                <w:sz w:val="12"/>
                <w:szCs w:val="12"/>
                <w:color w:val="auto"/>
              </w:rPr>
              <w:t>(39,736</w:t>
            </w:r>
            <w:r>
              <w:rPr>
                <w:rFonts w:ascii="Arial" w:cs="Arial" w:eastAsia="Arial" w:hAnsi="Arial"/>
                <w:sz w:val="22"/>
                <w:szCs w:val="22"/>
                <w:color w:val="auto"/>
                <w:vertAlign w:val="superscript"/>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68,674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21,887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255,049</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276,936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580" w:type="dxa"/>
            <w:vAlign w:val="bottom"/>
            <w:tcBorders>
              <w:bottom w:val="single" w:sz="8" w:color="F0FFFF"/>
            </w:tcBorders>
          </w:tcPr>
          <w:p>
            <w:pPr>
              <w:spacing w:after="0"/>
              <w:rPr>
                <w:sz w:val="15"/>
                <w:szCs w:val="15"/>
                <w:color w:val="auto"/>
              </w:rPr>
            </w:pPr>
          </w:p>
        </w:tc>
        <w:tc>
          <w:tcPr>
            <w:tcW w:w="1160" w:type="dxa"/>
            <w:vAlign w:val="bottom"/>
            <w:tcBorders>
              <w:bottom w:val="single" w:sz="8" w:color="F0FFFF"/>
            </w:tcBorders>
          </w:tcPr>
          <w:p>
            <w:pPr>
              <w:spacing w:after="0"/>
              <w:rPr>
                <w:sz w:val="15"/>
                <w:szCs w:val="15"/>
                <w:color w:val="auto"/>
              </w:rPr>
            </w:pPr>
          </w:p>
        </w:tc>
        <w:tc>
          <w:tcPr>
            <w:tcW w:w="480" w:type="dxa"/>
            <w:vAlign w:val="bottom"/>
            <w:tcBorders>
              <w:bottom w:val="single" w:sz="8" w:color="F0FFFF"/>
            </w:tcBorders>
          </w:tcPr>
          <w:p>
            <w:pPr>
              <w:spacing w:after="0"/>
              <w:rPr>
                <w:sz w:val="15"/>
                <w:szCs w:val="15"/>
                <w:color w:val="auto"/>
              </w:rPr>
            </w:pPr>
          </w:p>
        </w:tc>
        <w:tc>
          <w:tcPr>
            <w:tcW w:w="1160" w:type="dxa"/>
            <w:vAlign w:val="bottom"/>
            <w:tcBorders>
              <w:bottom w:val="single" w:sz="8" w:color="F0FFFF"/>
            </w:tcBorders>
          </w:tcPr>
          <w:p>
            <w:pPr>
              <w:spacing w:after="0"/>
              <w:rPr>
                <w:sz w:val="15"/>
                <w:szCs w:val="15"/>
                <w:color w:val="auto"/>
              </w:rPr>
            </w:pPr>
          </w:p>
        </w:tc>
        <w:tc>
          <w:tcPr>
            <w:tcW w:w="2640" w:type="dxa"/>
            <w:vAlign w:val="bottom"/>
            <w:tcBorders>
              <w:bottom w:val="single" w:sz="8" w:color="F0FFFF"/>
            </w:tcBorders>
          </w:tcPr>
          <w:p>
            <w:pPr>
              <w:spacing w:after="0"/>
              <w:rPr>
                <w:sz w:val="15"/>
                <w:szCs w:val="15"/>
                <w:color w:val="auto"/>
              </w:rPr>
            </w:pPr>
          </w:p>
        </w:tc>
        <w:tc>
          <w:tcPr>
            <w:tcW w:w="80" w:type="dxa"/>
            <w:vAlign w:val="bottom"/>
            <w:tcBorders>
              <w:bottom w:val="single" w:sz="8" w:color="F0FF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F0FFFF"/>
            </w:tcBorders>
          </w:tcPr>
          <w:p>
            <w:pPr>
              <w:spacing w:after="0"/>
              <w:rPr>
                <w:sz w:val="15"/>
                <w:szCs w:val="15"/>
                <w:color w:val="auto"/>
              </w:rPr>
            </w:pPr>
          </w:p>
        </w:tc>
        <w:tc>
          <w:tcPr>
            <w:tcW w:w="80" w:type="dxa"/>
            <w:vAlign w:val="bottom"/>
            <w:tcBorders>
              <w:bottom w:val="single" w:sz="8" w:color="F0FF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shd w:val="clear" w:color="auto" w:fill="F0FFFF"/>
          </w:tcPr>
          <w:p>
            <w:pPr>
              <w:spacing w:after="0"/>
              <w:rPr>
                <w:sz w:val="17"/>
                <w:szCs w:val="17"/>
                <w:color w:val="auto"/>
              </w:rPr>
            </w:pPr>
          </w:p>
        </w:tc>
        <w:tc>
          <w:tcPr>
            <w:tcW w:w="5440" w:type="dxa"/>
            <w:vAlign w:val="bottom"/>
            <w:gridSpan w:val="4"/>
            <w:shd w:val="clear" w:color="auto" w:fill="F0FFFF"/>
          </w:tcPr>
          <w:p>
            <w:pPr>
              <w:jc w:val="center"/>
              <w:ind w:right="2640"/>
              <w:spacing w:after="0" w:line="176" w:lineRule="exact"/>
              <w:rPr>
                <w:sz w:val="20"/>
                <w:szCs w:val="20"/>
                <w:color w:val="auto"/>
              </w:rPr>
            </w:pPr>
            <w:r>
              <w:rPr>
                <w:rFonts w:ascii="Arial" w:cs="Arial" w:eastAsia="Arial" w:hAnsi="Arial"/>
                <w:sz w:val="18"/>
                <w:szCs w:val="18"/>
                <w:b w:val="1"/>
                <w:bCs w:val="1"/>
                <w:color w:val="auto"/>
                <w:w w:val="81"/>
              </w:rPr>
              <w:t>Assets</w:t>
            </w:r>
          </w:p>
        </w:tc>
        <w:tc>
          <w:tcPr>
            <w:tcW w:w="8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F0FFFF"/>
            </w:tcBorders>
          </w:tcPr>
          <w:p>
            <w:pPr>
              <w:spacing w:after="0"/>
              <w:rPr>
                <w:sz w:val="18"/>
                <w:szCs w:val="18"/>
                <w:color w:val="auto"/>
              </w:rPr>
            </w:pPr>
          </w:p>
        </w:tc>
        <w:tc>
          <w:tcPr>
            <w:tcW w:w="1160" w:type="dxa"/>
            <w:vAlign w:val="bottom"/>
            <w:tcBorders>
              <w:top w:val="single" w:sz="8" w:color="F0FF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60" w:type="dxa"/>
            <w:vAlign w:val="bottom"/>
            <w:tcBorders>
              <w:top w:val="single" w:sz="8" w:color="F0FFFF"/>
            </w:tcBorders>
          </w:tcPr>
          <w:p>
            <w:pPr>
              <w:spacing w:after="0"/>
              <w:rPr>
                <w:sz w:val="18"/>
                <w:szCs w:val="18"/>
                <w:color w:val="auto"/>
              </w:rPr>
            </w:pPr>
          </w:p>
        </w:tc>
        <w:tc>
          <w:tcPr>
            <w:tcW w:w="26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60" w:type="dxa"/>
            <w:vAlign w:val="bottom"/>
            <w:tcBorders>
              <w:top w:val="single" w:sz="8" w:color="F0FFFF"/>
            </w:tcBorders>
          </w:tcPr>
          <w:p>
            <w:pPr>
              <w:spacing w:after="0"/>
              <w:rPr>
                <w:sz w:val="18"/>
                <w:szCs w:val="18"/>
                <w:color w:val="auto"/>
              </w:rPr>
            </w:pPr>
          </w:p>
        </w:tc>
        <w:tc>
          <w:tcPr>
            <w:tcW w:w="114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40" w:type="dxa"/>
            <w:vAlign w:val="bottom"/>
            <w:tcBorders>
              <w:top w:val="single" w:sz="8" w:color="F0FFFF"/>
            </w:tcBorders>
          </w:tcPr>
          <w:p>
            <w:pPr>
              <w:spacing w:after="0"/>
              <w:rPr>
                <w:sz w:val="18"/>
                <w:szCs w:val="18"/>
                <w:color w:val="auto"/>
              </w:rPr>
            </w:pPr>
          </w:p>
        </w:tc>
        <w:tc>
          <w:tcPr>
            <w:tcW w:w="1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Cash and due from banks</w:t>
            </w:r>
          </w:p>
        </w:tc>
        <w:tc>
          <w:tcPr>
            <w:tcW w:w="4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86,912</w:t>
            </w:r>
          </w:p>
        </w:tc>
        <w:tc>
          <w:tcPr>
            <w:tcW w:w="4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Interest-bearing deposits in banks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153,451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89,074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2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F0FFFF"/>
          </w:tcPr>
          <w:p>
            <w:pPr>
              <w:spacing w:after="0"/>
              <w:rPr>
                <w:sz w:val="21"/>
                <w:szCs w:val="21"/>
                <w:color w:val="auto"/>
              </w:rPr>
            </w:pPr>
          </w:p>
        </w:tc>
        <w:tc>
          <w:tcPr>
            <w:tcW w:w="36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20" w:type="dxa"/>
            <w:vAlign w:val="bottom"/>
            <w:tcBorders>
              <w:top w:val="single" w:sz="8" w:color="F0FFFF"/>
            </w:tcBorders>
            <w:gridSpan w:val="5"/>
          </w:tcPr>
          <w:p>
            <w:pPr>
              <w:ind w:left="160"/>
              <w:spacing w:after="0" w:line="203" w:lineRule="exact"/>
              <w:rPr>
                <w:sz w:val="20"/>
                <w:szCs w:val="20"/>
                <w:color w:val="auto"/>
              </w:rPr>
            </w:pPr>
            <w:r>
              <w:rPr>
                <w:rFonts w:ascii="Arial" w:cs="Arial" w:eastAsia="Arial" w:hAnsi="Arial"/>
                <w:sz w:val="18"/>
                <w:szCs w:val="18"/>
                <w:color w:val="auto"/>
              </w:rPr>
              <w:t>Cash and cash equivalents</w:t>
            </w:r>
          </w:p>
        </w:tc>
        <w:tc>
          <w:tcPr>
            <w:tcW w:w="80" w:type="dxa"/>
            <w:vAlign w:val="bottom"/>
            <w:tcBorders>
              <w:top w:val="single" w:sz="8" w:color="F0FF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240,363</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192,655</w:t>
            </w: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6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Securities available-for-sale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2,291,511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1,782,734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Securities held-to-maturity (fair value $371,658 and $425,233)</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364,696</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Mortgage loans held for sale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24,231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Loans, net of unearned income</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5,995,441</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4,672,119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gridSpan w:val="5"/>
          </w:tcPr>
          <w:p>
            <w:pPr>
              <w:ind w:left="160"/>
              <w:spacing w:after="0"/>
              <w:rPr>
                <w:sz w:val="20"/>
                <w:szCs w:val="20"/>
                <w:color w:val="auto"/>
              </w:rPr>
            </w:pPr>
            <w:r>
              <w:rPr>
                <w:rFonts w:ascii="Arial" w:cs="Arial" w:eastAsia="Arial" w:hAnsi="Arial"/>
                <w:sz w:val="18"/>
                <w:szCs w:val="18"/>
                <w:color w:val="auto"/>
              </w:rPr>
              <w:t>Less allowance for loan losses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(68,448)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top w:val="single" w:sz="8" w:color="F0FFFF"/>
            </w:tcBorders>
            <w:gridSpan w:val="5"/>
            <w:shd w:val="clear" w:color="auto" w:fill="F0FFFF"/>
          </w:tcPr>
          <w:p>
            <w:pPr>
              <w:ind w:left="320"/>
              <w:spacing w:after="0"/>
              <w:rPr>
                <w:sz w:val="20"/>
                <w:szCs w:val="20"/>
                <w:color w:val="auto"/>
              </w:rPr>
            </w:pPr>
            <w:r>
              <w:rPr>
                <w:rFonts w:ascii="Arial" w:cs="Arial" w:eastAsia="Arial" w:hAnsi="Arial"/>
                <w:sz w:val="18"/>
                <w:szCs w:val="18"/>
                <w:color w:val="auto"/>
              </w:rPr>
              <w:t>Loans, net</w:t>
            </w:r>
          </w:p>
        </w:tc>
        <w:tc>
          <w:tcPr>
            <w:tcW w:w="8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5,926,993</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4,600,500</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Premises and equipment, net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178,165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Bank owned life insurance</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105,493</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Accrued interest receivable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25,786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Net deferred tax asset</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197,613</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215,503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20,082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Goodwill and other intangible assets</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147,420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103,755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F0FFFF"/>
            </w:tcBorders>
            <w:shd w:val="clear" w:color="auto" w:fill="F0FFFF"/>
          </w:tcPr>
          <w:p>
            <w:pPr>
              <w:spacing w:after="0"/>
              <w:rPr>
                <w:sz w:val="18"/>
                <w:szCs w:val="18"/>
                <w:color w:val="auto"/>
              </w:rPr>
            </w:pPr>
          </w:p>
        </w:tc>
        <w:tc>
          <w:tcPr>
            <w:tcW w:w="1160" w:type="dxa"/>
            <w:vAlign w:val="bottom"/>
            <w:tcBorders>
              <w:top w:val="single" w:sz="8" w:color="F0FFFF"/>
            </w:tcBorders>
            <w:shd w:val="clear" w:color="auto" w:fill="F0FFFF"/>
          </w:tcPr>
          <w:p>
            <w:pPr>
              <w:spacing w:after="0"/>
              <w:rPr>
                <w:sz w:val="18"/>
                <w:szCs w:val="18"/>
                <w:color w:val="auto"/>
              </w:rPr>
            </w:pPr>
          </w:p>
        </w:tc>
        <w:tc>
          <w:tcPr>
            <w:tcW w:w="480" w:type="dxa"/>
            <w:vAlign w:val="bottom"/>
            <w:tcBorders>
              <w:top w:val="single" w:sz="8" w:color="F0FFFF"/>
            </w:tcBorders>
            <w:shd w:val="clear" w:color="auto" w:fill="F0FFFF"/>
          </w:tcPr>
          <w:p>
            <w:pPr>
              <w:spacing w:after="0"/>
              <w:rPr>
                <w:sz w:val="18"/>
                <w:szCs w:val="18"/>
                <w:color w:val="auto"/>
              </w:rPr>
            </w:pPr>
          </w:p>
        </w:tc>
        <w:tc>
          <w:tcPr>
            <w:tcW w:w="1160" w:type="dxa"/>
            <w:vAlign w:val="bottom"/>
            <w:tcBorders>
              <w:top w:val="single" w:sz="8" w:color="F0FFFF"/>
            </w:tcBorders>
            <w:shd w:val="clear" w:color="auto" w:fill="F0FFFF"/>
          </w:tcPr>
          <w:p>
            <w:pPr>
              <w:spacing w:after="0"/>
              <w:rPr>
                <w:sz w:val="18"/>
                <w:szCs w:val="18"/>
                <w:color w:val="auto"/>
              </w:rPr>
            </w:pPr>
          </w:p>
        </w:tc>
        <w:tc>
          <w:tcPr>
            <w:tcW w:w="26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20" w:type="dxa"/>
            <w:vAlign w:val="bottom"/>
            <w:gridSpan w:val="5"/>
          </w:tcPr>
          <w:p>
            <w:pPr>
              <w:ind w:left="48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9,626,108</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7,566,986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bottom w:val="single" w:sz="8" w:color="F0FFFF"/>
            </w:tcBorders>
          </w:tcPr>
          <w:p>
            <w:pPr>
              <w:spacing w:after="0" w:line="20" w:lineRule="exact"/>
              <w:rPr>
                <w:sz w:val="1"/>
                <w:szCs w:val="1"/>
                <w:color w:val="auto"/>
              </w:rPr>
            </w:pPr>
          </w:p>
        </w:tc>
        <w:tc>
          <w:tcPr>
            <w:tcW w:w="1160" w:type="dxa"/>
            <w:vAlign w:val="bottom"/>
            <w:tcBorders>
              <w:bottom w:val="single" w:sz="8" w:color="F0FFFF"/>
            </w:tcBorders>
          </w:tcPr>
          <w:p>
            <w:pPr>
              <w:spacing w:after="0" w:line="20" w:lineRule="exact"/>
              <w:rPr>
                <w:sz w:val="1"/>
                <w:szCs w:val="1"/>
                <w:color w:val="auto"/>
              </w:rPr>
            </w:pPr>
          </w:p>
        </w:tc>
        <w:tc>
          <w:tcPr>
            <w:tcW w:w="480" w:type="dxa"/>
            <w:vAlign w:val="bottom"/>
            <w:tcBorders>
              <w:bottom w:val="single" w:sz="8" w:color="F0FFFF"/>
            </w:tcBorders>
          </w:tcPr>
          <w:p>
            <w:pPr>
              <w:spacing w:after="0" w:line="20" w:lineRule="exact"/>
              <w:rPr>
                <w:sz w:val="1"/>
                <w:szCs w:val="1"/>
                <w:color w:val="auto"/>
              </w:rPr>
            </w:pPr>
          </w:p>
        </w:tc>
        <w:tc>
          <w:tcPr>
            <w:tcW w:w="1160" w:type="dxa"/>
            <w:vAlign w:val="bottom"/>
            <w:tcBorders>
              <w:bottom w:val="single" w:sz="8" w:color="F0FFFF"/>
            </w:tcBorders>
          </w:tcPr>
          <w:p>
            <w:pPr>
              <w:spacing w:after="0" w:line="20" w:lineRule="exact"/>
              <w:rPr>
                <w:sz w:val="1"/>
                <w:szCs w:val="1"/>
                <w:color w:val="auto"/>
              </w:rPr>
            </w:pPr>
          </w:p>
        </w:tc>
        <w:tc>
          <w:tcPr>
            <w:tcW w:w="26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6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20" w:type="dxa"/>
            <w:vAlign w:val="bottom"/>
            <w:gridSpan w:val="5"/>
          </w:tcPr>
          <w:p>
            <w:pPr>
              <w:jc w:val="center"/>
              <w:ind w:right="60"/>
              <w:spacing w:after="0" w:line="176" w:lineRule="exact"/>
              <w:rPr>
                <w:sz w:val="20"/>
                <w:szCs w:val="20"/>
                <w:color w:val="auto"/>
              </w:rPr>
            </w:pPr>
            <w:r>
              <w:rPr>
                <w:rFonts w:ascii="Arial" w:cs="Arial" w:eastAsia="Arial" w:hAnsi="Arial"/>
                <w:sz w:val="18"/>
                <w:szCs w:val="18"/>
                <w:b w:val="1"/>
                <w:bCs w:val="1"/>
                <w:color w:val="auto"/>
                <w:w w:val="91"/>
              </w:rPr>
              <w:t>Liabilities and Shareholders’ Equity</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Liabilities:</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16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F0FFFF"/>
          </w:tcPr>
          <w:p>
            <w:pPr>
              <w:ind w:left="320"/>
              <w:spacing w:after="0"/>
              <w:rPr>
                <w:sz w:val="20"/>
                <w:szCs w:val="20"/>
                <w:color w:val="auto"/>
              </w:rPr>
            </w:pPr>
            <w:r>
              <w:rPr>
                <w:rFonts w:ascii="Arial" w:cs="Arial" w:eastAsia="Arial" w:hAnsi="Arial"/>
                <w:sz w:val="18"/>
                <w:szCs w:val="18"/>
                <w:color w:val="auto"/>
              </w:rPr>
              <w:t>Demand</w:t>
            </w:r>
          </w:p>
        </w:tc>
        <w:tc>
          <w:tcPr>
            <w:tcW w:w="4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2,204,755</w:t>
            </w:r>
          </w:p>
        </w:tc>
        <w:tc>
          <w:tcPr>
            <w:tcW w:w="4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1,574,317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320"/>
              <w:spacing w:after="0"/>
              <w:rPr>
                <w:sz w:val="20"/>
                <w:szCs w:val="20"/>
                <w:color w:val="auto"/>
              </w:rPr>
            </w:pPr>
            <w:r>
              <w:rPr>
                <w:rFonts w:ascii="Arial" w:cs="Arial" w:eastAsia="Arial" w:hAnsi="Arial"/>
                <w:sz w:val="18"/>
                <w:szCs w:val="18"/>
                <w:color w:val="auto"/>
              </w:rPr>
              <w:t>NOW</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1,975,884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F0FFFF"/>
          </w:tcPr>
          <w:p>
            <w:pPr>
              <w:ind w:left="320"/>
              <w:spacing w:after="0"/>
              <w:rPr>
                <w:sz w:val="20"/>
                <w:szCs w:val="20"/>
                <w:color w:val="auto"/>
              </w:rPr>
            </w:pPr>
            <w:r>
              <w:rPr>
                <w:rFonts w:ascii="Arial" w:cs="Arial" w:eastAsia="Arial" w:hAnsi="Arial"/>
                <w:sz w:val="18"/>
                <w:szCs w:val="18"/>
                <w:color w:val="auto"/>
              </w:rPr>
              <w:t>Money market</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1,599,637</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1,273,283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320"/>
              <w:spacing w:after="0"/>
              <w:rPr>
                <w:sz w:val="20"/>
                <w:szCs w:val="20"/>
                <w:color w:val="auto"/>
              </w:rPr>
            </w:pPr>
            <w:r>
              <w:rPr>
                <w:rFonts w:ascii="Arial" w:cs="Arial" w:eastAsia="Arial" w:hAnsi="Arial"/>
                <w:sz w:val="18"/>
                <w:szCs w:val="18"/>
                <w:color w:val="auto"/>
              </w:rPr>
              <w:t>Savings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471,129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292,308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F0FFFF"/>
          </w:tcPr>
          <w:p>
            <w:pPr>
              <w:ind w:left="320"/>
              <w:spacing w:after="0"/>
              <w:rPr>
                <w:sz w:val="20"/>
                <w:szCs w:val="20"/>
                <w:color w:val="auto"/>
              </w:rPr>
            </w:pPr>
            <w:r>
              <w:rPr>
                <w:rFonts w:ascii="Arial" w:cs="Arial" w:eastAsia="Arial" w:hAnsi="Arial"/>
                <w:sz w:val="18"/>
                <w:szCs w:val="18"/>
                <w:color w:val="auto"/>
              </w:rPr>
              <w:t>Time</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1,282,803</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1,256,706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gridSpan w:val="5"/>
          </w:tcPr>
          <w:p>
            <w:pPr>
              <w:ind w:left="320"/>
              <w:spacing w:after="0"/>
              <w:rPr>
                <w:sz w:val="20"/>
                <w:szCs w:val="20"/>
                <w:color w:val="auto"/>
              </w:rPr>
            </w:pPr>
            <w:r>
              <w:rPr>
                <w:rFonts w:ascii="Arial" w:cs="Arial" w:eastAsia="Arial" w:hAnsi="Arial"/>
                <w:sz w:val="18"/>
                <w:szCs w:val="18"/>
                <w:color w:val="auto"/>
              </w:rPr>
              <w:t>Brokered</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346,881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425,011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top w:val="single" w:sz="8" w:color="F0FFFF"/>
            </w:tcBorders>
            <w:gridSpan w:val="5"/>
            <w:shd w:val="clear" w:color="auto" w:fill="F0FFFF"/>
          </w:tcPr>
          <w:p>
            <w:pPr>
              <w:ind w:left="480"/>
              <w:spacing w:after="0"/>
              <w:rPr>
                <w:sz w:val="20"/>
                <w:szCs w:val="20"/>
                <w:color w:val="auto"/>
              </w:rPr>
            </w:pPr>
            <w:r>
              <w:rPr>
                <w:rFonts w:ascii="Arial" w:cs="Arial" w:eastAsia="Arial" w:hAnsi="Arial"/>
                <w:sz w:val="18"/>
                <w:szCs w:val="18"/>
                <w:color w:val="auto"/>
              </w:rPr>
              <w:t>Total deposits</w:t>
            </w:r>
          </w:p>
        </w:tc>
        <w:tc>
          <w:tcPr>
            <w:tcW w:w="8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7,881,089</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6,326,512</w:t>
            </w: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Repurchase agreements</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16,640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Federal Home Loan Bank advances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430,125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165,620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129,865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Derivative financial instruments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28,825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Unsettled securities purchases</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5,425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Accrued expenses and other liabilities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85,524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F0FFFF"/>
            </w:tcBorders>
            <w:shd w:val="clear" w:color="auto" w:fill="F0FFFF"/>
          </w:tcPr>
          <w:p>
            <w:pPr>
              <w:spacing w:after="0"/>
              <w:rPr>
                <w:sz w:val="18"/>
                <w:szCs w:val="18"/>
                <w:color w:val="auto"/>
              </w:rPr>
            </w:pPr>
          </w:p>
        </w:tc>
        <w:tc>
          <w:tcPr>
            <w:tcW w:w="1160" w:type="dxa"/>
            <w:vAlign w:val="bottom"/>
            <w:tcBorders>
              <w:top w:val="single" w:sz="8" w:color="F0FFFF"/>
            </w:tcBorders>
            <w:shd w:val="clear" w:color="auto" w:fill="F0FFFF"/>
          </w:tcPr>
          <w:p>
            <w:pPr>
              <w:spacing w:after="0"/>
              <w:rPr>
                <w:sz w:val="18"/>
                <w:szCs w:val="18"/>
                <w:color w:val="auto"/>
              </w:rPr>
            </w:pPr>
          </w:p>
        </w:tc>
        <w:tc>
          <w:tcPr>
            <w:tcW w:w="480" w:type="dxa"/>
            <w:vAlign w:val="bottom"/>
            <w:tcBorders>
              <w:top w:val="single" w:sz="8" w:color="F0FFFF"/>
            </w:tcBorders>
            <w:shd w:val="clear" w:color="auto" w:fill="F0FFFF"/>
          </w:tcPr>
          <w:p>
            <w:pPr>
              <w:spacing w:after="0"/>
              <w:rPr>
                <w:sz w:val="18"/>
                <w:szCs w:val="18"/>
                <w:color w:val="auto"/>
              </w:rPr>
            </w:pPr>
          </w:p>
        </w:tc>
        <w:tc>
          <w:tcPr>
            <w:tcW w:w="1160" w:type="dxa"/>
            <w:vAlign w:val="bottom"/>
            <w:tcBorders>
              <w:top w:val="single" w:sz="8" w:color="F0FFFF"/>
            </w:tcBorders>
            <w:shd w:val="clear" w:color="auto" w:fill="F0FFFF"/>
          </w:tcPr>
          <w:p>
            <w:pPr>
              <w:spacing w:after="0"/>
              <w:rPr>
                <w:sz w:val="18"/>
                <w:szCs w:val="18"/>
                <w:color w:val="auto"/>
              </w:rPr>
            </w:pPr>
          </w:p>
        </w:tc>
        <w:tc>
          <w:tcPr>
            <w:tcW w:w="26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gridSpan w:val="5"/>
          </w:tcPr>
          <w:p>
            <w:pPr>
              <w:ind w:left="480"/>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8,607,823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6,827,409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tcBorders>
              <w:top w:val="single" w:sz="8" w:color="F0FFFF"/>
            </w:tcBorders>
            <w:shd w:val="clear" w:color="auto" w:fill="F0FFFF"/>
          </w:tcPr>
          <w:p>
            <w:pPr>
              <w:spacing w:after="0"/>
              <w:rPr>
                <w:sz w:val="18"/>
                <w:szCs w:val="18"/>
                <w:color w:val="auto"/>
              </w:rPr>
            </w:pPr>
          </w:p>
        </w:tc>
        <w:tc>
          <w:tcPr>
            <w:tcW w:w="1160" w:type="dxa"/>
            <w:vAlign w:val="bottom"/>
            <w:tcBorders>
              <w:top w:val="single" w:sz="8" w:color="F0FFFF"/>
            </w:tcBorders>
            <w:shd w:val="clear" w:color="auto" w:fill="F0FFFF"/>
          </w:tcPr>
          <w:p>
            <w:pPr>
              <w:spacing w:after="0"/>
              <w:rPr>
                <w:sz w:val="18"/>
                <w:szCs w:val="18"/>
                <w:color w:val="auto"/>
              </w:rPr>
            </w:pPr>
          </w:p>
        </w:tc>
        <w:tc>
          <w:tcPr>
            <w:tcW w:w="480" w:type="dxa"/>
            <w:vAlign w:val="bottom"/>
            <w:tcBorders>
              <w:top w:val="single" w:sz="8" w:color="F0FFFF"/>
            </w:tcBorders>
            <w:shd w:val="clear" w:color="auto" w:fill="F0FFFF"/>
          </w:tcPr>
          <w:p>
            <w:pPr>
              <w:spacing w:after="0"/>
              <w:rPr>
                <w:sz w:val="18"/>
                <w:szCs w:val="18"/>
                <w:color w:val="auto"/>
              </w:rPr>
            </w:pPr>
          </w:p>
        </w:tc>
        <w:tc>
          <w:tcPr>
            <w:tcW w:w="1160" w:type="dxa"/>
            <w:vAlign w:val="bottom"/>
            <w:tcBorders>
              <w:top w:val="single" w:sz="8" w:color="F0FFFF"/>
            </w:tcBorders>
            <w:shd w:val="clear" w:color="auto" w:fill="F0FFFF"/>
          </w:tcPr>
          <w:p>
            <w:pPr>
              <w:spacing w:after="0"/>
              <w:rPr>
                <w:sz w:val="18"/>
                <w:szCs w:val="18"/>
                <w:color w:val="auto"/>
              </w:rPr>
            </w:pPr>
          </w:p>
        </w:tc>
        <w:tc>
          <w:tcPr>
            <w:tcW w:w="26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480" w:type="dxa"/>
            <w:vAlign w:val="bottom"/>
            <w:shd w:val="clear" w:color="auto" w:fill="F0FFFF"/>
          </w:tcPr>
          <w:p>
            <w:pPr>
              <w:spacing w:after="0"/>
              <w:rPr>
                <w:sz w:val="18"/>
                <w:szCs w:val="18"/>
                <w:color w:val="auto"/>
              </w:rPr>
            </w:pPr>
          </w:p>
        </w:tc>
        <w:tc>
          <w:tcPr>
            <w:tcW w:w="1160" w:type="dxa"/>
            <w:vAlign w:val="bottom"/>
            <w:shd w:val="clear" w:color="auto" w:fill="F0FFFF"/>
          </w:tcPr>
          <w:p>
            <w:pPr>
              <w:spacing w:after="0"/>
              <w:rPr>
                <w:sz w:val="18"/>
                <w:szCs w:val="18"/>
                <w:color w:val="auto"/>
              </w:rPr>
            </w:pPr>
          </w:p>
        </w:tc>
        <w:tc>
          <w:tcPr>
            <w:tcW w:w="26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5"/>
            <w:shd w:val="clear" w:color="auto" w:fill="F0FFFF"/>
          </w:tcPr>
          <w:p>
            <w:pPr>
              <w:ind w:left="160"/>
              <w:spacing w:after="0" w:line="201" w:lineRule="exact"/>
              <w:rPr>
                <w:sz w:val="20"/>
                <w:szCs w:val="20"/>
                <w:color w:val="auto"/>
              </w:rPr>
            </w:pPr>
            <w:r>
              <w:rPr>
                <w:rFonts w:ascii="Arial" w:cs="Arial" w:eastAsia="Arial" w:hAnsi="Arial"/>
                <w:sz w:val="18"/>
                <w:szCs w:val="18"/>
                <w:color w:val="auto"/>
                <w:w w:val="94"/>
              </w:rPr>
              <w:t>Preferred stock, $1 par value; 10,000,000 shares authorized; Series H, $1,000 stated value; 9,992 and 0</w:t>
            </w:r>
          </w:p>
        </w:tc>
        <w:tc>
          <w:tcPr>
            <w:tcW w:w="8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5"/>
            <w:shd w:val="clear" w:color="auto" w:fill="F0FFFF"/>
          </w:tcPr>
          <w:p>
            <w:pPr>
              <w:ind w:left="280"/>
              <w:spacing w:after="0"/>
              <w:rPr>
                <w:sz w:val="20"/>
                <w:szCs w:val="20"/>
                <w:color w:val="auto"/>
              </w:rPr>
            </w:pPr>
            <w:r>
              <w:rPr>
                <w:rFonts w:ascii="Arial" w:cs="Arial" w:eastAsia="Arial" w:hAnsi="Arial"/>
                <w:sz w:val="18"/>
                <w:szCs w:val="18"/>
                <w:color w:val="auto"/>
              </w:rPr>
              <w:t>shares issued and outstanding</w:t>
            </w:r>
          </w:p>
        </w:tc>
        <w:tc>
          <w:tcPr>
            <w:tcW w:w="8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9,992</w:t>
            </w:r>
          </w:p>
        </w:tc>
        <w:tc>
          <w:tcPr>
            <w:tcW w:w="8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0"/>
              </w:rPr>
              <w:t>Common stock, $1 par value; 100,000,000 shares authorized; 66,198,477 and 50,178,605 shares issued and</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5"/>
          </w:tcPr>
          <w:p>
            <w:pPr>
              <w:ind w:left="280"/>
              <w:spacing w:after="0"/>
              <w:rPr>
                <w:sz w:val="20"/>
                <w:szCs w:val="20"/>
                <w:color w:val="auto"/>
              </w:rPr>
            </w:pPr>
            <w:r>
              <w:rPr>
                <w:rFonts w:ascii="Arial" w:cs="Arial" w:eastAsia="Arial" w:hAnsi="Arial"/>
                <w:sz w:val="18"/>
                <w:szCs w:val="18"/>
                <w:color w:val="auto"/>
              </w:rPr>
              <w:t>outstanding</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66,198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50,178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5"/>
            <w:shd w:val="clear" w:color="auto" w:fill="F0FFFF"/>
          </w:tcPr>
          <w:p>
            <w:pPr>
              <w:ind w:left="160"/>
              <w:spacing w:after="0" w:line="201" w:lineRule="exact"/>
              <w:rPr>
                <w:sz w:val="20"/>
                <w:szCs w:val="20"/>
                <w:color w:val="auto"/>
              </w:rPr>
            </w:pPr>
            <w:r>
              <w:rPr>
                <w:rFonts w:ascii="Arial" w:cs="Arial" w:eastAsia="Arial" w:hAnsi="Arial"/>
                <w:sz w:val="18"/>
                <w:szCs w:val="18"/>
                <w:color w:val="auto"/>
                <w:w w:val="92"/>
              </w:rPr>
              <w:t>Common stock, non-voting, $1 par value; 26,000,000 shares authorized; 5,285,516 and 10,080,787 shares</w:t>
            </w:r>
          </w:p>
        </w:tc>
        <w:tc>
          <w:tcPr>
            <w:tcW w:w="8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gridSpan w:val="5"/>
            <w:shd w:val="clear" w:color="auto" w:fill="F0FFFF"/>
          </w:tcPr>
          <w:p>
            <w:pPr>
              <w:ind w:left="280"/>
              <w:spacing w:after="0"/>
              <w:rPr>
                <w:sz w:val="20"/>
                <w:szCs w:val="20"/>
                <w:color w:val="auto"/>
              </w:rPr>
            </w:pPr>
            <w:r>
              <w:rPr>
                <w:rFonts w:ascii="Arial" w:cs="Arial" w:eastAsia="Arial" w:hAnsi="Arial"/>
                <w:sz w:val="18"/>
                <w:szCs w:val="18"/>
                <w:color w:val="auto"/>
              </w:rPr>
              <w:t>issued and outstanding</w:t>
            </w:r>
          </w:p>
        </w:tc>
        <w:tc>
          <w:tcPr>
            <w:tcW w:w="8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5,286</w:t>
            </w:r>
          </w:p>
        </w:tc>
        <w:tc>
          <w:tcPr>
            <w:tcW w:w="8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160"/>
              <w:spacing w:after="0"/>
              <w:rPr>
                <w:sz w:val="20"/>
                <w:szCs w:val="20"/>
                <w:color w:val="auto"/>
              </w:rPr>
            </w:pPr>
            <w:r>
              <w:rPr>
                <w:rFonts w:ascii="Arial" w:cs="Arial" w:eastAsia="Arial" w:hAnsi="Arial"/>
                <w:sz w:val="18"/>
                <w:szCs w:val="18"/>
                <w:color w:val="auto"/>
              </w:rPr>
              <w:t>Common stock issuable; 458,953 and 357,983 shares</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6,779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F0FFFF"/>
          </w:tcPr>
          <w:p>
            <w:pPr>
              <w:ind w:left="160"/>
              <w:spacing w:after="0"/>
              <w:rPr>
                <w:sz w:val="20"/>
                <w:szCs w:val="20"/>
                <w:color w:val="auto"/>
              </w:rPr>
            </w:pPr>
            <w:r>
              <w:rPr>
                <w:rFonts w:ascii="Arial" w:cs="Arial" w:eastAsia="Arial" w:hAnsi="Arial"/>
                <w:sz w:val="18"/>
                <w:szCs w:val="18"/>
                <w:color w:val="auto"/>
              </w:rPr>
              <w:t>Capital surplus</w:t>
            </w:r>
          </w:p>
        </w:tc>
        <w:tc>
          <w:tcPr>
            <w:tcW w:w="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1,286,361</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1,080,508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(330,879)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(387,568)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gridSpan w:val="5"/>
            <w:shd w:val="clear" w:color="auto" w:fill="F0FF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1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(25,452)</w:t>
            </w:r>
          </w:p>
        </w:tc>
        <w:tc>
          <w:tcPr>
            <w:tcW w:w="8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F0FFFF"/>
            </w:tcBorders>
          </w:tcPr>
          <w:p>
            <w:pPr>
              <w:spacing w:after="0"/>
              <w:rPr>
                <w:sz w:val="18"/>
                <w:szCs w:val="18"/>
                <w:color w:val="auto"/>
              </w:rPr>
            </w:pPr>
          </w:p>
        </w:tc>
        <w:tc>
          <w:tcPr>
            <w:tcW w:w="1160" w:type="dxa"/>
            <w:vAlign w:val="bottom"/>
            <w:tcBorders>
              <w:top w:val="single" w:sz="8" w:color="F0FFFF"/>
            </w:tcBorders>
          </w:tcPr>
          <w:p>
            <w:pPr>
              <w:spacing w:after="0"/>
              <w:rPr>
                <w:sz w:val="18"/>
                <w:szCs w:val="18"/>
                <w:color w:val="auto"/>
              </w:rPr>
            </w:pPr>
          </w:p>
        </w:tc>
        <w:tc>
          <w:tcPr>
            <w:tcW w:w="480" w:type="dxa"/>
            <w:vAlign w:val="bottom"/>
            <w:tcBorders>
              <w:top w:val="single" w:sz="8" w:color="F0FFFF"/>
            </w:tcBorders>
          </w:tcPr>
          <w:p>
            <w:pPr>
              <w:spacing w:after="0"/>
              <w:rPr>
                <w:sz w:val="18"/>
                <w:szCs w:val="18"/>
                <w:color w:val="auto"/>
              </w:rPr>
            </w:pPr>
          </w:p>
        </w:tc>
        <w:tc>
          <w:tcPr>
            <w:tcW w:w="1160" w:type="dxa"/>
            <w:vAlign w:val="bottom"/>
            <w:tcBorders>
              <w:top w:val="single" w:sz="8" w:color="F0FFFF"/>
            </w:tcBorders>
          </w:tcPr>
          <w:p>
            <w:pPr>
              <w:spacing w:after="0"/>
              <w:rPr>
                <w:sz w:val="18"/>
                <w:szCs w:val="18"/>
                <w:color w:val="auto"/>
              </w:rPr>
            </w:pPr>
          </w:p>
        </w:tc>
        <w:tc>
          <w:tcPr>
            <w:tcW w:w="26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gridSpan w:val="5"/>
            <w:shd w:val="clear" w:color="auto" w:fill="F0FFFF"/>
          </w:tcPr>
          <w:p>
            <w:pPr>
              <w:ind w:left="480"/>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shd w:val="clear" w:color="auto" w:fill="F0FFFF"/>
          </w:tcPr>
          <w:p>
            <w:pPr>
              <w:spacing w:after="0"/>
              <w:rPr>
                <w:sz w:val="20"/>
                <w:szCs w:val="20"/>
                <w:color w:val="auto"/>
              </w:rPr>
            </w:pPr>
          </w:p>
        </w:tc>
        <w:tc>
          <w:tcPr>
            <w:tcW w:w="360" w:type="dxa"/>
            <w:vAlign w:val="bottom"/>
            <w:shd w:val="clear" w:color="auto" w:fill="F0FFFF"/>
          </w:tcPr>
          <w:p>
            <w:pPr>
              <w:spacing w:after="0"/>
              <w:rPr>
                <w:sz w:val="20"/>
                <w:szCs w:val="20"/>
                <w:color w:val="auto"/>
              </w:rPr>
            </w:pP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1,018,285</w:t>
            </w:r>
          </w:p>
        </w:tc>
        <w:tc>
          <w:tcPr>
            <w:tcW w:w="8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739,577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top w:val="single" w:sz="8" w:color="F0FFFF"/>
            </w:tcBorders>
          </w:tcPr>
          <w:p>
            <w:pPr>
              <w:spacing w:after="0"/>
              <w:rPr>
                <w:sz w:val="18"/>
                <w:szCs w:val="18"/>
                <w:color w:val="auto"/>
              </w:rPr>
            </w:pPr>
          </w:p>
        </w:tc>
        <w:tc>
          <w:tcPr>
            <w:tcW w:w="1160" w:type="dxa"/>
            <w:vAlign w:val="bottom"/>
            <w:tcBorders>
              <w:top w:val="single" w:sz="8" w:color="F0FFFF"/>
            </w:tcBorders>
          </w:tcPr>
          <w:p>
            <w:pPr>
              <w:spacing w:after="0"/>
              <w:rPr>
                <w:sz w:val="18"/>
                <w:szCs w:val="18"/>
                <w:color w:val="auto"/>
              </w:rPr>
            </w:pPr>
          </w:p>
        </w:tc>
        <w:tc>
          <w:tcPr>
            <w:tcW w:w="480" w:type="dxa"/>
            <w:vAlign w:val="bottom"/>
            <w:tcBorders>
              <w:top w:val="single" w:sz="8" w:color="F0FFFF"/>
            </w:tcBorders>
          </w:tcPr>
          <w:p>
            <w:pPr>
              <w:spacing w:after="0"/>
              <w:rPr>
                <w:sz w:val="18"/>
                <w:szCs w:val="18"/>
                <w:color w:val="auto"/>
              </w:rPr>
            </w:pPr>
          </w:p>
        </w:tc>
        <w:tc>
          <w:tcPr>
            <w:tcW w:w="1160" w:type="dxa"/>
            <w:vAlign w:val="bottom"/>
            <w:tcBorders>
              <w:top w:val="single" w:sz="8" w:color="F0FFFF"/>
            </w:tcBorders>
          </w:tcPr>
          <w:p>
            <w:pPr>
              <w:spacing w:after="0"/>
              <w:rPr>
                <w:sz w:val="18"/>
                <w:szCs w:val="18"/>
                <w:color w:val="auto"/>
              </w:rPr>
            </w:pPr>
          </w:p>
        </w:tc>
        <w:tc>
          <w:tcPr>
            <w:tcW w:w="26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20" w:type="dxa"/>
            <w:vAlign w:val="bottom"/>
            <w:gridSpan w:val="5"/>
            <w:shd w:val="clear" w:color="auto" w:fill="F0FFFF"/>
          </w:tcPr>
          <w:p>
            <w:pPr>
              <w:ind w:left="480"/>
              <w:spacing w:after="0"/>
              <w:rPr>
                <w:sz w:val="20"/>
                <w:szCs w:val="20"/>
                <w:color w:val="auto"/>
              </w:rPr>
            </w:pPr>
            <w:r>
              <w:rPr>
                <w:rFonts w:ascii="Arial" w:cs="Arial" w:eastAsia="Arial" w:hAnsi="Arial"/>
                <w:sz w:val="18"/>
                <w:szCs w:val="18"/>
                <w:b w:val="1"/>
                <w:bCs w:val="1"/>
                <w:color w:val="auto"/>
              </w:rPr>
              <w:t>Total liabilities and shareholders’ equity</w:t>
            </w:r>
          </w:p>
        </w:tc>
        <w:tc>
          <w:tcPr>
            <w:tcW w:w="4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9,626,108</w:t>
            </w:r>
          </w:p>
        </w:tc>
        <w:tc>
          <w:tcPr>
            <w:tcW w:w="4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7,566,986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F0FFFF"/>
            </w:tcBorders>
          </w:tcPr>
          <w:p>
            <w:pPr>
              <w:spacing w:after="0" w:line="20" w:lineRule="exact"/>
              <w:rPr>
                <w:sz w:val="1"/>
                <w:szCs w:val="1"/>
                <w:color w:val="auto"/>
              </w:rPr>
            </w:pPr>
          </w:p>
        </w:tc>
        <w:tc>
          <w:tcPr>
            <w:tcW w:w="5440" w:type="dxa"/>
            <w:vAlign w:val="bottom"/>
            <w:tcBorders>
              <w:top w:val="single" w:sz="8" w:color="F0FFFF"/>
              <w:bottom w:val="single" w:sz="8" w:color="F0FFFF"/>
            </w:tcBorders>
            <w:gridSpan w:val="4"/>
            <w:vMerge w:val="restart"/>
          </w:tcPr>
          <w:p>
            <w:pPr>
              <w:ind w:left="900"/>
              <w:spacing w:after="0"/>
              <w:rPr>
                <w:sz w:val="20"/>
                <w:szCs w:val="20"/>
                <w:color w:val="auto"/>
              </w:rPr>
            </w:pPr>
            <w:r>
              <w:rPr>
                <w:rFonts w:ascii="Arial" w:cs="Arial" w:eastAsia="Arial" w:hAnsi="Arial"/>
                <w:sz w:val="18"/>
                <w:szCs w:val="18"/>
                <w:color w:val="auto"/>
                <w:w w:val="90"/>
              </w:rPr>
              <w:t>See accompanying notes to consolidated financial statements.</w:t>
            </w:r>
          </w:p>
        </w:tc>
        <w:tc>
          <w:tcPr>
            <w:tcW w:w="8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44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98" w:gutter="0" w:footer="0" w:header="0"/>
        </w:sectPr>
      </w:pPr>
    </w:p>
    <w:bookmarkStart w:id="64" w:name="page65"/>
    <w:bookmarkEnd w:id="64"/>
    <w:p>
      <w:pPr>
        <w:jc w:val="center"/>
        <w:ind w:right="-4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4"/>
            <w:vMerge w:val="restart"/>
          </w:tcPr>
          <w:p>
            <w:pPr>
              <w:jc w:val="center"/>
              <w:ind w:right="80"/>
              <w:spacing w:after="0"/>
              <w:rPr>
                <w:sz w:val="20"/>
                <w:szCs w:val="20"/>
                <w:color w:val="auto"/>
              </w:rPr>
            </w:pPr>
            <w:r>
              <w:rPr>
                <w:rFonts w:ascii="Arial" w:cs="Arial" w:eastAsia="Arial" w:hAnsi="Arial"/>
                <w:sz w:val="14"/>
                <w:szCs w:val="14"/>
                <w:b w:val="1"/>
                <w:bCs w:val="1"/>
                <w:color w:val="auto"/>
                <w:w w:val="92"/>
              </w:rPr>
              <w:t>Non-Voting</w:t>
            </w: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Retained</w:t>
            </w:r>
          </w:p>
        </w:tc>
        <w:tc>
          <w:tcPr>
            <w:tcW w:w="6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Earnings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Preferred Stock</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6"/>
                <w:szCs w:val="16"/>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(Accumulated</w:t>
            </w:r>
          </w:p>
        </w:tc>
        <w:tc>
          <w:tcPr>
            <w:tcW w:w="11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Series A</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Series B</w:t>
            </w: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Series D</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Series H</w:t>
            </w:r>
          </w:p>
        </w:tc>
        <w:tc>
          <w:tcPr>
            <w:tcW w:w="1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Issuable</w:t>
            </w:r>
          </w:p>
        </w:tc>
        <w:tc>
          <w:tcPr>
            <w:tcW w:w="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6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(Loss) Income</w:t>
            </w:r>
          </w:p>
        </w:tc>
        <w:tc>
          <w:tcPr>
            <w:tcW w:w="80" w:type="dxa"/>
            <w:vAlign w:val="bottom"/>
          </w:tcPr>
          <w:p>
            <w:pPr>
              <w:spacing w:after="0"/>
              <w:rPr>
                <w:sz w:val="14"/>
                <w:szCs w:val="1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80" w:type="dxa"/>
            <w:vAlign w:val="bottom"/>
            <w:tcBorders>
              <w:top w:val="single" w:sz="8" w:color="F0FFFF"/>
            </w:tcBorders>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Balance, December 31, 2012</w:t>
            </w:r>
          </w:p>
        </w:tc>
        <w:tc>
          <w:tcPr>
            <w:tcW w:w="6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217</w:t>
            </w:r>
          </w:p>
        </w:tc>
        <w:tc>
          <w:tcPr>
            <w:tcW w:w="200" w:type="dxa"/>
            <w:vAlign w:val="bottom"/>
            <w:tcBorders>
              <w:top w:val="single" w:sz="8" w:color="F0FFFF"/>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90"/>
              </w:rPr>
              <w:t>$  178,557</w:t>
            </w:r>
          </w:p>
        </w:tc>
        <w:tc>
          <w:tcPr>
            <w:tcW w:w="200" w:type="dxa"/>
            <w:vAlign w:val="bottom"/>
            <w:tcBorders>
              <w:top w:val="single" w:sz="8" w:color="F0FFFF"/>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95"/>
              </w:rPr>
              <w:t>$ 16,613</w:t>
            </w:r>
          </w:p>
        </w:tc>
        <w:tc>
          <w:tcPr>
            <w:tcW w:w="20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F0FFFF"/>
            </w:tcBorders>
            <w:shd w:val="clear" w:color="auto" w:fill="F0FFFF"/>
          </w:tcPr>
          <w:p>
            <w:pPr>
              <w:spacing w:after="0"/>
              <w:rPr>
                <w:sz w:val="12"/>
                <w:szCs w:val="12"/>
                <w:color w:val="auto"/>
              </w:rPr>
            </w:pPr>
          </w:p>
        </w:tc>
        <w:tc>
          <w:tcPr>
            <w:tcW w:w="5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92"/>
              </w:rPr>
              <w:t>$  42,424</w:t>
            </w: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15,317</w:t>
            </w:r>
          </w:p>
        </w:tc>
        <w:tc>
          <w:tcPr>
            <w:tcW w:w="180" w:type="dxa"/>
            <w:vAlign w:val="bottom"/>
            <w:tcBorders>
              <w:top w:val="single" w:sz="8" w:color="F0FFFF"/>
            </w:tcBorders>
            <w:shd w:val="clear" w:color="auto" w:fill="F0FFFF"/>
          </w:tcPr>
          <w:p>
            <w:pPr>
              <w:spacing w:after="0"/>
              <w:rPr>
                <w:sz w:val="12"/>
                <w:szCs w:val="12"/>
                <w:color w:val="auto"/>
              </w:rPr>
            </w:pPr>
          </w:p>
        </w:tc>
        <w:tc>
          <w:tcPr>
            <w:tcW w:w="5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   3,119</w:t>
            </w:r>
          </w:p>
        </w:tc>
        <w:tc>
          <w:tcPr>
            <w:tcW w:w="12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91"/>
              </w:rPr>
              <w:t>$ 1,057,951</w:t>
            </w:r>
          </w:p>
        </w:tc>
        <w:tc>
          <w:tcPr>
            <w:tcW w:w="1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(709,153)</w:t>
            </w:r>
          </w:p>
        </w:tc>
        <w:tc>
          <w:tcPr>
            <w:tcW w:w="12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(23,640)</w:t>
            </w: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w w:val="99"/>
              </w:rPr>
              <w:t>$  581,405</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273,140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273,140</w:t>
            </w: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3,796</w:t>
            </w:r>
          </w:p>
        </w:tc>
        <w:tc>
          <w:tcPr>
            <w:tcW w:w="860" w:type="dxa"/>
            <w:vAlign w:val="bottom"/>
            <w:gridSpan w:val="3"/>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3,796</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8"/>
              </w:rPr>
              <w:t>Redemption of Series A preferred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stock (21,700 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(217)</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30"/>
        </w:trPr>
        <w:tc>
          <w:tcPr>
            <w:tcW w:w="2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w w:val="98"/>
              </w:rPr>
              <w:t>Redemption of Series B preferred</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40"/>
              <w:spacing w:after="0"/>
              <w:rPr>
                <w:sz w:val="20"/>
                <w:szCs w:val="20"/>
                <w:color w:val="auto"/>
              </w:rPr>
            </w:pPr>
            <w:r>
              <w:rPr>
                <w:rFonts w:ascii="Arial" w:cs="Arial" w:eastAsia="Arial" w:hAnsi="Arial"/>
                <w:sz w:val="14"/>
                <w:szCs w:val="14"/>
                <w:color w:val="auto"/>
              </w:rPr>
              <w:t>stock (75,000 shares)</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82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(75,000)</w:t>
            </w:r>
          </w:p>
        </w:tc>
        <w:tc>
          <w:tcPr>
            <w:tcW w:w="5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(75,000)</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7"/>
              </w:rPr>
              <w:t>Common stock issued to Dividend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rPr>
              <w:t>Reinvestment Plan and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w w:val="98"/>
              </w:rPr>
              <w:t>employee benefit plans (62,978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common 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733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w w:val="96"/>
              </w:rPr>
              <w:t>Conversion of non-voting common</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stock to voting common stock</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40"/>
              <w:spacing w:after="0"/>
              <w:rPr>
                <w:sz w:val="20"/>
                <w:szCs w:val="20"/>
                <w:color w:val="auto"/>
              </w:rPr>
            </w:pPr>
            <w:r>
              <w:rPr>
                <w:rFonts w:ascii="Arial" w:cs="Arial" w:eastAsia="Arial" w:hAnsi="Arial"/>
                <w:sz w:val="14"/>
                <w:szCs w:val="14"/>
                <w:color w:val="auto"/>
              </w:rPr>
              <w:t>(2,128,588 shares)</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2,129</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(2,129)</w:t>
            </w: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Warrant exercise (1,551,126</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1,551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17,838</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19,389</w:t>
            </w:r>
          </w:p>
        </w:tc>
        <w:tc>
          <w:tcPr>
            <w:tcW w:w="0" w:type="dxa"/>
            <w:vAlign w:val="bottom"/>
          </w:tcPr>
          <w:p>
            <w:pPr>
              <w:spacing w:after="0"/>
              <w:rPr>
                <w:sz w:val="1"/>
                <w:szCs w:val="1"/>
                <w:color w:val="auto"/>
              </w:rPr>
            </w:pPr>
          </w:p>
        </w:tc>
      </w:tr>
      <w:tr>
        <w:trPr>
          <w:trHeight w:val="130"/>
        </w:trPr>
        <w:tc>
          <w:tcPr>
            <w:tcW w:w="2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w w:val="99"/>
              </w:rPr>
              <w:t>Amortization of stock options and</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40"/>
              <w:spacing w:after="0"/>
              <w:rPr>
                <w:sz w:val="20"/>
                <w:szCs w:val="20"/>
                <w:color w:val="auto"/>
              </w:rPr>
            </w:pPr>
            <w:r>
              <w:rPr>
                <w:rFonts w:ascii="Arial" w:cs="Arial" w:eastAsia="Arial" w:hAnsi="Arial"/>
                <w:sz w:val="14"/>
                <w:szCs w:val="14"/>
                <w:color w:val="auto"/>
              </w:rPr>
              <w:t>restricted stock</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40" w:type="dxa"/>
            <w:vAlign w:val="bottom"/>
            <w:gridSpan w:val="3"/>
            <w:shd w:val="clear" w:color="auto" w:fill="F0FFFF"/>
          </w:tcPr>
          <w:p>
            <w:pPr>
              <w:jc w:val="right"/>
              <w:ind w:right="180"/>
              <w:spacing w:after="0"/>
              <w:rPr>
                <w:sz w:val="20"/>
                <w:szCs w:val="20"/>
                <w:color w:val="auto"/>
              </w:rPr>
            </w:pPr>
            <w:r>
              <w:rPr>
                <w:rFonts w:ascii="Arial" w:cs="Arial" w:eastAsia="Arial" w:hAnsi="Arial"/>
                <w:sz w:val="14"/>
                <w:szCs w:val="14"/>
                <w:color w:val="auto"/>
              </w:rPr>
              <w:t>3,045</w:t>
            </w: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gridSpan w:val="3"/>
            <w:shd w:val="clear" w:color="auto" w:fill="F0FFFF"/>
          </w:tcPr>
          <w:p>
            <w:pPr>
              <w:jc w:val="right"/>
              <w:ind w:right="100"/>
              <w:spacing w:after="0"/>
              <w:rPr>
                <w:sz w:val="20"/>
                <w:szCs w:val="20"/>
                <w:color w:val="auto"/>
              </w:rPr>
            </w:pPr>
            <w:r>
              <w:rPr>
                <w:rFonts w:ascii="Arial" w:cs="Arial" w:eastAsia="Arial" w:hAnsi="Arial"/>
                <w:sz w:val="14"/>
                <w:szCs w:val="14"/>
                <w:color w:val="auto"/>
              </w:rPr>
              <w:t>3,045</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6"/>
              </w:rPr>
              <w:t>Vesting of restricted stock awards,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rPr>
              <w:t>net of shares surrendered to</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rPr>
              <w:t>cover payroll taxes (55,328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w w:val="94"/>
              </w:rPr>
              <w:t>common shares issued, 115,664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common shares deferred)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1,693</w:t>
            </w: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(1,929)</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Deferred compensation plan, net</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177</w:t>
            </w: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177</w:t>
            </w: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Shares issued from deferred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rPr>
              <w:t>compensation plan (21,455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common 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4"/>
                <w:szCs w:val="14"/>
                <w:color w:val="auto"/>
              </w:rPr>
              <w:t>(1,059)</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Preferred stock dividends:</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Series A</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80"/>
              <w:spacing w:after="0" w:line="149" w:lineRule="exact"/>
              <w:rPr>
                <w:sz w:val="20"/>
                <w:szCs w:val="20"/>
                <w:color w:val="auto"/>
              </w:rPr>
            </w:pPr>
            <w:r>
              <w:rPr>
                <w:rFonts w:ascii="Arial" w:cs="Arial" w:eastAsia="Arial" w:hAnsi="Arial"/>
                <w:sz w:val="14"/>
                <w:szCs w:val="14"/>
                <w:color w:val="auto"/>
              </w:rPr>
              <w:t>Series B, including accretion</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1,443</w:t>
            </w: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(10,401)</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60" w:type="dxa"/>
            <w:vAlign w:val="bottom"/>
            <w:gridSpan w:val="3"/>
            <w:shd w:val="clear" w:color="auto" w:fill="F0FFFF"/>
          </w:tcPr>
          <w:p>
            <w:pPr>
              <w:jc w:val="right"/>
              <w:ind w:right="40"/>
              <w:spacing w:after="0" w:line="149" w:lineRule="exact"/>
              <w:rPr>
                <w:sz w:val="20"/>
                <w:szCs w:val="20"/>
                <w:color w:val="auto"/>
              </w:rPr>
            </w:pPr>
            <w:r>
              <w:rPr>
                <w:rFonts w:ascii="Arial" w:cs="Arial" w:eastAsia="Arial" w:hAnsi="Arial"/>
                <w:sz w:val="14"/>
                <w:szCs w:val="14"/>
                <w:color w:val="auto"/>
              </w:rPr>
              <w:t>(8,958)</w:t>
            </w:r>
          </w:p>
        </w:tc>
        <w:tc>
          <w:tcPr>
            <w:tcW w:w="0" w:type="dxa"/>
            <w:vAlign w:val="bottom"/>
          </w:tcPr>
          <w:p>
            <w:pPr>
              <w:spacing w:after="0"/>
              <w:rPr>
                <w:sz w:val="1"/>
                <w:szCs w:val="1"/>
                <w:color w:val="auto"/>
              </w:rPr>
            </w:pPr>
          </w:p>
        </w:tc>
      </w:tr>
      <w:tr>
        <w:trPr>
          <w:trHeight w:val="169"/>
        </w:trPr>
        <w:tc>
          <w:tcPr>
            <w:tcW w:w="2080" w:type="dxa"/>
            <w:vAlign w:val="bottom"/>
          </w:tcPr>
          <w:p>
            <w:pPr>
              <w:ind w:left="180"/>
              <w:spacing w:after="0"/>
              <w:rPr>
                <w:sz w:val="20"/>
                <w:szCs w:val="20"/>
                <w:color w:val="auto"/>
              </w:rPr>
            </w:pPr>
            <w:r>
              <w:rPr>
                <w:rFonts w:ascii="Arial" w:cs="Arial" w:eastAsia="Arial" w:hAnsi="Arial"/>
                <w:sz w:val="14"/>
                <w:szCs w:val="14"/>
                <w:color w:val="auto"/>
              </w:rPr>
              <w:t>Series 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(1,665)</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49"/>
        </w:trPr>
        <w:tc>
          <w:tcPr>
            <w:tcW w:w="2080" w:type="dxa"/>
            <w:vAlign w:val="bottom"/>
            <w:tcBorders>
              <w:top w:val="single" w:sz="8" w:color="F0FFFF"/>
            </w:tcBorders>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Balance, December 31, 2013</w:t>
            </w:r>
          </w:p>
        </w:tc>
        <w:tc>
          <w:tcPr>
            <w:tcW w:w="6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3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F0FFFF"/>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105,000</w:t>
            </w:r>
          </w:p>
        </w:tc>
        <w:tc>
          <w:tcPr>
            <w:tcW w:w="200" w:type="dxa"/>
            <w:vAlign w:val="bottom"/>
            <w:tcBorders>
              <w:top w:val="single" w:sz="8" w:color="F0FFFF"/>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16,613</w:t>
            </w:r>
          </w:p>
        </w:tc>
        <w:tc>
          <w:tcPr>
            <w:tcW w:w="200" w:type="dxa"/>
            <w:vAlign w:val="bottom"/>
            <w:tcBorders>
              <w:top w:val="single" w:sz="8" w:color="F0FFFF"/>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4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F0FFFF"/>
            </w:tcBorders>
            <w:shd w:val="clear" w:color="auto" w:fill="F0FFFF"/>
          </w:tcPr>
          <w:p>
            <w:pPr>
              <w:spacing w:after="0"/>
              <w:rPr>
                <w:sz w:val="12"/>
                <w:szCs w:val="12"/>
                <w:color w:val="auto"/>
              </w:rPr>
            </w:pPr>
          </w:p>
        </w:tc>
        <w:tc>
          <w:tcPr>
            <w:tcW w:w="5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46,243</w:t>
            </w: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5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13,188</w:t>
            </w:r>
          </w:p>
        </w:tc>
        <w:tc>
          <w:tcPr>
            <w:tcW w:w="180" w:type="dxa"/>
            <w:vAlign w:val="bottom"/>
            <w:tcBorders>
              <w:top w:val="single" w:sz="8" w:color="F0FFFF"/>
            </w:tcBorders>
            <w:shd w:val="clear" w:color="auto" w:fill="F0FFFF"/>
          </w:tcPr>
          <w:p>
            <w:pPr>
              <w:spacing w:after="0"/>
              <w:rPr>
                <w:sz w:val="12"/>
                <w:szCs w:val="12"/>
                <w:color w:val="auto"/>
              </w:rPr>
            </w:pPr>
          </w:p>
        </w:tc>
        <w:tc>
          <w:tcPr>
            <w:tcW w:w="5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3,930</w:t>
            </w:r>
          </w:p>
        </w:tc>
        <w:tc>
          <w:tcPr>
            <w:tcW w:w="12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1,078,676</w:t>
            </w:r>
          </w:p>
        </w:tc>
        <w:tc>
          <w:tcPr>
            <w:tcW w:w="18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(448,091)</w:t>
            </w:r>
          </w:p>
        </w:tc>
        <w:tc>
          <w:tcPr>
            <w:tcW w:w="120" w:type="dxa"/>
            <w:vAlign w:val="bottom"/>
            <w:tcBorders>
              <w:top w:val="single" w:sz="8" w:color="F0FFFF"/>
            </w:tcBorders>
            <w:shd w:val="clear" w:color="auto" w:fill="F0FFFF"/>
          </w:tcPr>
          <w:p>
            <w:pPr>
              <w:spacing w:after="0"/>
              <w:rPr>
                <w:sz w:val="12"/>
                <w:szCs w:val="12"/>
                <w:color w:val="auto"/>
              </w:rPr>
            </w:pPr>
          </w:p>
        </w:tc>
        <w:tc>
          <w:tcPr>
            <w:tcW w:w="60" w:type="dxa"/>
            <w:vAlign w:val="bottom"/>
            <w:tcBorders>
              <w:top w:val="single" w:sz="8" w:color="F0FFFF"/>
            </w:tcBorders>
            <w:shd w:val="clear" w:color="auto" w:fill="F0FFFF"/>
          </w:tcPr>
          <w:p>
            <w:pPr>
              <w:spacing w:after="0"/>
              <w:rPr>
                <w:sz w:val="12"/>
                <w:szCs w:val="12"/>
                <w:color w:val="auto"/>
              </w:rPr>
            </w:pPr>
          </w:p>
        </w:tc>
        <w:tc>
          <w:tcPr>
            <w:tcW w:w="180" w:type="dxa"/>
            <w:vAlign w:val="bottom"/>
            <w:tcBorders>
              <w:top w:val="single" w:sz="8" w:color="auto"/>
            </w:tcBorders>
            <w:shd w:val="clear" w:color="auto" w:fill="F0FFFF"/>
          </w:tcPr>
          <w:p>
            <w:pPr>
              <w:spacing w:after="0"/>
              <w:rPr>
                <w:sz w:val="12"/>
                <w:szCs w:val="12"/>
                <w:color w:val="auto"/>
              </w:rPr>
            </w:pPr>
          </w:p>
        </w:tc>
        <w:tc>
          <w:tcPr>
            <w:tcW w:w="7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(19,844)</w:t>
            </w: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795,715</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67,620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67,620</w:t>
            </w: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1,054</w:t>
            </w:r>
          </w:p>
        </w:tc>
        <w:tc>
          <w:tcPr>
            <w:tcW w:w="860" w:type="dxa"/>
            <w:vAlign w:val="bottom"/>
            <w:gridSpan w:val="3"/>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8"/>
              </w:rPr>
              <w:t>Redemption of Series B preferred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stock (105,000 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(105,000)</w:t>
            </w: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(105,000)</w:t>
            </w:r>
          </w:p>
        </w:tc>
        <w:tc>
          <w:tcPr>
            <w:tcW w:w="0" w:type="dxa"/>
            <w:vAlign w:val="bottom"/>
          </w:tcPr>
          <w:p>
            <w:pPr>
              <w:spacing w:after="0"/>
              <w:rPr>
                <w:sz w:val="1"/>
                <w:szCs w:val="1"/>
                <w:color w:val="auto"/>
              </w:rPr>
            </w:pPr>
          </w:p>
        </w:tc>
      </w:tr>
      <w:tr>
        <w:trPr>
          <w:trHeight w:val="130"/>
        </w:trPr>
        <w:tc>
          <w:tcPr>
            <w:tcW w:w="2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w w:val="98"/>
              </w:rPr>
              <w:t>Redemption of Series D preferred</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40"/>
              <w:spacing w:after="0"/>
              <w:rPr>
                <w:sz w:val="20"/>
                <w:szCs w:val="20"/>
                <w:color w:val="auto"/>
              </w:rPr>
            </w:pPr>
            <w:r>
              <w:rPr>
                <w:rFonts w:ascii="Arial" w:cs="Arial" w:eastAsia="Arial" w:hAnsi="Arial"/>
                <w:sz w:val="14"/>
                <w:szCs w:val="14"/>
                <w:color w:val="auto"/>
              </w:rPr>
              <w:t>stock (16,613 shares)</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40" w:type="dxa"/>
            <w:vAlign w:val="bottom"/>
            <w:gridSpan w:val="2"/>
            <w:shd w:val="clear" w:color="auto" w:fill="F0FFFF"/>
          </w:tcPr>
          <w:p>
            <w:pPr>
              <w:jc w:val="right"/>
              <w:ind w:right="140"/>
              <w:spacing w:after="0"/>
              <w:rPr>
                <w:sz w:val="20"/>
                <w:szCs w:val="20"/>
                <w:color w:val="auto"/>
              </w:rPr>
            </w:pPr>
            <w:r>
              <w:rPr>
                <w:rFonts w:ascii="Arial" w:cs="Arial" w:eastAsia="Arial" w:hAnsi="Arial"/>
                <w:sz w:val="14"/>
                <w:szCs w:val="14"/>
                <w:color w:val="auto"/>
              </w:rPr>
              <w:t>(16,613)</w:t>
            </w:r>
          </w:p>
        </w:tc>
        <w:tc>
          <w:tcPr>
            <w:tcW w:w="14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(16,613)</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Common stock issued at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market(640,000 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11,566</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12,206</w:t>
            </w:r>
          </w:p>
        </w:tc>
        <w:tc>
          <w:tcPr>
            <w:tcW w:w="0" w:type="dxa"/>
            <w:vAlign w:val="bottom"/>
          </w:tcPr>
          <w:p>
            <w:pPr>
              <w:spacing w:after="0"/>
              <w:rPr>
                <w:sz w:val="1"/>
                <w:szCs w:val="1"/>
                <w:color w:val="auto"/>
              </w:rPr>
            </w:pPr>
          </w:p>
        </w:tc>
      </w:tr>
      <w:tr>
        <w:trPr>
          <w:trHeight w:val="130"/>
        </w:trPr>
        <w:tc>
          <w:tcPr>
            <w:tcW w:w="2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w w:val="97"/>
              </w:rPr>
              <w:t>Common stock issued to Dividend</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Reinvestment Plan and</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w w:val="98"/>
              </w:rPr>
              <w:t>employee benefit plans (28,070</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common shares)</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441</w:t>
            </w:r>
          </w:p>
        </w:tc>
        <w:tc>
          <w:tcPr>
            <w:tcW w:w="1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6"/>
              </w:rPr>
              <w:t>Conversion of non-voting common</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rPr>
              <w:t>stock to voting common stock</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(3,107,419 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3,107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(3,107)</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Warrant repurchase at fair value</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40" w:type="dxa"/>
            <w:vAlign w:val="bottom"/>
            <w:gridSpan w:val="3"/>
            <w:shd w:val="clear" w:color="auto" w:fill="F0FFFF"/>
          </w:tcPr>
          <w:p>
            <w:pPr>
              <w:jc w:val="right"/>
              <w:ind w:right="140"/>
              <w:spacing w:after="0" w:line="149" w:lineRule="exact"/>
              <w:rPr>
                <w:sz w:val="20"/>
                <w:szCs w:val="20"/>
                <w:color w:val="auto"/>
              </w:rPr>
            </w:pPr>
            <w:r>
              <w:rPr>
                <w:rFonts w:ascii="Arial" w:cs="Arial" w:eastAsia="Arial" w:hAnsi="Arial"/>
                <w:sz w:val="14"/>
                <w:szCs w:val="14"/>
                <w:color w:val="auto"/>
              </w:rPr>
              <w:t>(12,000)</w:t>
            </w: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60" w:type="dxa"/>
            <w:vAlign w:val="bottom"/>
            <w:gridSpan w:val="3"/>
            <w:shd w:val="clear" w:color="auto" w:fill="F0FFFF"/>
          </w:tcPr>
          <w:p>
            <w:pPr>
              <w:jc w:val="right"/>
              <w:ind w:right="40"/>
              <w:spacing w:after="0" w:line="149" w:lineRule="exact"/>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9"/>
              </w:rPr>
              <w:t>Amortization of stock options and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restricted 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4,304</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4,304</w:t>
            </w:r>
          </w:p>
        </w:tc>
        <w:tc>
          <w:tcPr>
            <w:tcW w:w="0" w:type="dxa"/>
            <w:vAlign w:val="bottom"/>
          </w:tcPr>
          <w:p>
            <w:pPr>
              <w:spacing w:after="0"/>
              <w:rPr>
                <w:sz w:val="1"/>
                <w:szCs w:val="1"/>
                <w:color w:val="auto"/>
              </w:rPr>
            </w:pPr>
          </w:p>
        </w:tc>
      </w:tr>
      <w:tr>
        <w:trPr>
          <w:trHeight w:val="130"/>
        </w:trPr>
        <w:tc>
          <w:tcPr>
            <w:tcW w:w="2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w w:val="96"/>
              </w:rPr>
              <w:t>Vesting of restricted stock awards,</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net of shares surrendered to</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cover payroll taxes (146,548</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w w:val="94"/>
              </w:rPr>
              <w:t>common shares issued, 115,609</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common shares deferred)</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1,274</w:t>
            </w:r>
          </w:p>
        </w:tc>
        <w:tc>
          <w:tcPr>
            <w:tcW w:w="94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(2,736)</w:t>
            </w: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(1,315)</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9"/>
              </w:rPr>
              <w:t>Deferred compensation plan, net,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including dividend equivalents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Shares issued from deferred</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compensation plan (13,223</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common shares)</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13</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(270)</w:t>
            </w: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257</w:t>
            </w:r>
          </w:p>
        </w:tc>
        <w:tc>
          <w:tcPr>
            <w:tcW w:w="1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5"/>
              </w:rPr>
              <w:t>Common stock dividends ($.11 per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share)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(6,658)</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(6,658)</w:t>
            </w: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Preferred stock dividends:</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80"/>
              <w:spacing w:after="0" w:line="149" w:lineRule="exact"/>
              <w:rPr>
                <w:sz w:val="20"/>
                <w:szCs w:val="20"/>
                <w:color w:val="auto"/>
              </w:rPr>
            </w:pPr>
            <w:r>
              <w:rPr>
                <w:rFonts w:ascii="Arial" w:cs="Arial" w:eastAsia="Arial" w:hAnsi="Arial"/>
                <w:sz w:val="14"/>
                <w:szCs w:val="14"/>
                <w:color w:val="auto"/>
              </w:rPr>
              <w:t>Series B</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2"/>
        </w:trPr>
        <w:tc>
          <w:tcPr>
            <w:tcW w:w="2080" w:type="dxa"/>
            <w:vAlign w:val="bottom"/>
            <w:shd w:val="clear" w:color="auto" w:fill="F0FFFF"/>
          </w:tcPr>
          <w:p>
            <w:pPr>
              <w:ind w:left="180"/>
              <w:spacing w:after="0"/>
              <w:rPr>
                <w:sz w:val="20"/>
                <w:szCs w:val="20"/>
                <w:color w:val="auto"/>
              </w:rPr>
            </w:pPr>
            <w:r>
              <w:rPr>
                <w:rFonts w:ascii="Arial" w:cs="Arial" w:eastAsia="Arial" w:hAnsi="Arial"/>
                <w:sz w:val="14"/>
                <w:szCs w:val="14"/>
                <w:color w:val="auto"/>
              </w:rPr>
              <w:t>Series D</w:t>
            </w:r>
          </w:p>
        </w:tc>
        <w:tc>
          <w:tcPr>
            <w:tcW w:w="6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6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4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(280)</w:t>
            </w:r>
          </w:p>
        </w:tc>
        <w:tc>
          <w:tcPr>
            <w:tcW w:w="6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6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36"/>
        </w:trPr>
        <w:tc>
          <w:tcPr>
            <w:tcW w:w="2080" w:type="dxa"/>
            <w:vAlign w:val="bottom"/>
            <w:tcBorders>
              <w:top w:val="single" w:sz="8" w:color="F0FFFF"/>
            </w:tcBorders>
          </w:tcPr>
          <w:p>
            <w:pPr>
              <w:spacing w:after="0" w:line="136" w:lineRule="exact"/>
              <w:rPr>
                <w:sz w:val="20"/>
                <w:szCs w:val="20"/>
                <w:color w:val="auto"/>
              </w:rPr>
            </w:pPr>
            <w:r>
              <w:rPr>
                <w:rFonts w:ascii="Arial" w:cs="Arial" w:eastAsia="Arial" w:hAnsi="Arial"/>
                <w:sz w:val="14"/>
                <w:szCs w:val="14"/>
                <w:b w:val="1"/>
                <w:bCs w:val="1"/>
                <w:color w:val="auto"/>
              </w:rPr>
              <w:t>Balance, December 31, 2014</w:t>
            </w:r>
          </w:p>
        </w:tc>
        <w:tc>
          <w:tcPr>
            <w:tcW w:w="6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F0FFFF"/>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F0FFFF"/>
            </w:tcBorders>
          </w:tcPr>
          <w:p>
            <w:pPr>
              <w:spacing w:after="0"/>
              <w:rPr>
                <w:sz w:val="11"/>
                <w:szCs w:val="11"/>
                <w:color w:val="auto"/>
              </w:rPr>
            </w:pPr>
          </w:p>
        </w:tc>
        <w:tc>
          <w:tcPr>
            <w:tcW w:w="5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F0FF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F0FFFF"/>
            </w:tcBorders>
          </w:tcPr>
          <w:p>
            <w:pPr>
              <w:spacing w:after="0"/>
              <w:rPr>
                <w:sz w:val="11"/>
                <w:szCs w:val="11"/>
                <w:color w:val="auto"/>
              </w:rPr>
            </w:pPr>
          </w:p>
        </w:tc>
        <w:tc>
          <w:tcPr>
            <w:tcW w:w="5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50,178</w:t>
            </w: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10,081</w:t>
            </w:r>
          </w:p>
        </w:tc>
        <w:tc>
          <w:tcPr>
            <w:tcW w:w="180" w:type="dxa"/>
            <w:vAlign w:val="bottom"/>
            <w:tcBorders>
              <w:top w:val="single" w:sz="8" w:color="F0FFFF"/>
            </w:tcBorders>
          </w:tcPr>
          <w:p>
            <w:pPr>
              <w:spacing w:after="0"/>
              <w:rPr>
                <w:sz w:val="11"/>
                <w:szCs w:val="11"/>
                <w:color w:val="auto"/>
              </w:rPr>
            </w:pPr>
          </w:p>
        </w:tc>
        <w:tc>
          <w:tcPr>
            <w:tcW w:w="5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5,168</w:t>
            </w:r>
          </w:p>
        </w:tc>
        <w:tc>
          <w:tcPr>
            <w:tcW w:w="120" w:type="dxa"/>
            <w:vAlign w:val="bottom"/>
            <w:tcBorders>
              <w:top w:val="single" w:sz="8" w:color="F0FFFF"/>
            </w:tcBorders>
          </w:tcPr>
          <w:p>
            <w:pPr>
              <w:spacing w:after="0"/>
              <w:rPr>
                <w:sz w:val="11"/>
                <w:szCs w:val="11"/>
                <w:color w:val="auto"/>
              </w:rPr>
            </w:pPr>
          </w:p>
        </w:tc>
        <w:tc>
          <w:tcPr>
            <w:tcW w:w="60" w:type="dxa"/>
            <w:vAlign w:val="bottom"/>
            <w:tcBorders>
              <w:top w:val="single" w:sz="8" w:color="F0FFFF"/>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1,080,508</w:t>
            </w:r>
          </w:p>
        </w:tc>
        <w:tc>
          <w:tcPr>
            <w:tcW w:w="18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(387,568)</w:t>
            </w:r>
          </w:p>
        </w:tc>
        <w:tc>
          <w:tcPr>
            <w:tcW w:w="120" w:type="dxa"/>
            <w:vAlign w:val="bottom"/>
            <w:tcBorders>
              <w:top w:val="single" w:sz="8" w:color="F0FFFF"/>
            </w:tcBorders>
          </w:tcPr>
          <w:p>
            <w:pPr>
              <w:spacing w:after="0"/>
              <w:rPr>
                <w:sz w:val="11"/>
                <w:szCs w:val="11"/>
                <w:color w:val="auto"/>
              </w:rPr>
            </w:pPr>
          </w:p>
        </w:tc>
        <w:tc>
          <w:tcPr>
            <w:tcW w:w="60" w:type="dxa"/>
            <w:vAlign w:val="bottom"/>
            <w:tcBorders>
              <w:top w:val="single" w:sz="8" w:color="F0FF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(18,790)</w:t>
            </w: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F0FFFF"/>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739,577</w:t>
            </w:r>
          </w:p>
        </w:tc>
        <w:tc>
          <w:tcPr>
            <w:tcW w:w="10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71,578</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60" w:type="dxa"/>
            <w:vAlign w:val="bottom"/>
            <w:gridSpan w:val="3"/>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71,578</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Other comprehensive income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(6,662)</w:t>
            </w:r>
          </w:p>
        </w:tc>
        <w:tc>
          <w:tcPr>
            <w:tcW w:w="8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(6,662)</w:t>
            </w:r>
          </w:p>
        </w:tc>
        <w:tc>
          <w:tcPr>
            <w:tcW w:w="0" w:type="dxa"/>
            <w:vAlign w:val="bottom"/>
          </w:tcPr>
          <w:p>
            <w:pPr>
              <w:spacing w:after="0"/>
              <w:rPr>
                <w:sz w:val="1"/>
                <w:szCs w:val="1"/>
                <w:color w:val="auto"/>
              </w:rPr>
            </w:pPr>
          </w:p>
        </w:tc>
      </w:tr>
      <w:tr>
        <w:trPr>
          <w:trHeight w:val="130"/>
        </w:trPr>
        <w:tc>
          <w:tcPr>
            <w:tcW w:w="2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w w:val="97"/>
              </w:rPr>
              <w:t>Common stock issued to Dividend</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Reinvestment Plan and</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w w:val="98"/>
              </w:rPr>
              <w:t>employee benefit plans (17,129</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common shares)</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286</w:t>
            </w:r>
          </w:p>
        </w:tc>
        <w:tc>
          <w:tcPr>
            <w:tcW w:w="1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303</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6"/>
              </w:rPr>
              <w:t>Conversion of non-voting common</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140"/>
              <w:spacing w:after="0" w:line="149" w:lineRule="exact"/>
              <w:rPr>
                <w:sz w:val="20"/>
                <w:szCs w:val="20"/>
                <w:color w:val="auto"/>
              </w:rPr>
            </w:pPr>
            <w:r>
              <w:rPr>
                <w:rFonts w:ascii="Arial" w:cs="Arial" w:eastAsia="Arial" w:hAnsi="Arial"/>
                <w:sz w:val="14"/>
                <w:szCs w:val="14"/>
                <w:color w:val="auto"/>
              </w:rPr>
              <w:t>stock to voting common stock</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(4,795,271 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4,795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(4,795)</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Common and preferred stock</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issued for acquisitions</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w w:val="93"/>
              </w:rPr>
              <w:t>(11,058,515 common shares and</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40"/>
              <w:spacing w:after="0"/>
              <w:rPr>
                <w:sz w:val="20"/>
                <w:szCs w:val="20"/>
                <w:color w:val="auto"/>
              </w:rPr>
            </w:pPr>
            <w:r>
              <w:rPr>
                <w:rFonts w:ascii="Arial" w:cs="Arial" w:eastAsia="Arial" w:hAnsi="Arial"/>
                <w:sz w:val="14"/>
                <w:szCs w:val="14"/>
                <w:color w:val="auto"/>
              </w:rPr>
              <w:t>9,992 preferred shares)</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60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9,992</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11,059</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40" w:type="dxa"/>
            <w:vAlign w:val="bottom"/>
            <w:gridSpan w:val="3"/>
            <w:shd w:val="clear" w:color="auto" w:fill="F0FFFF"/>
          </w:tcPr>
          <w:p>
            <w:pPr>
              <w:jc w:val="right"/>
              <w:ind w:right="180"/>
              <w:spacing w:after="0"/>
              <w:rPr>
                <w:sz w:val="20"/>
                <w:szCs w:val="20"/>
                <w:color w:val="auto"/>
              </w:rPr>
            </w:pPr>
            <w:r>
              <w:rPr>
                <w:rFonts w:ascii="Arial" w:cs="Arial" w:eastAsia="Arial" w:hAnsi="Arial"/>
                <w:sz w:val="14"/>
                <w:szCs w:val="14"/>
                <w:color w:val="auto"/>
              </w:rPr>
              <w:t>203,092</w:t>
            </w: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gridSpan w:val="3"/>
            <w:shd w:val="clear" w:color="auto" w:fill="F0FFFF"/>
          </w:tcPr>
          <w:p>
            <w:pPr>
              <w:jc w:val="right"/>
              <w:ind w:right="100"/>
              <w:spacing w:after="0"/>
              <w:rPr>
                <w:sz w:val="20"/>
                <w:szCs w:val="20"/>
                <w:color w:val="auto"/>
              </w:rPr>
            </w:pPr>
            <w:r>
              <w:rPr>
                <w:rFonts w:ascii="Arial" w:cs="Arial" w:eastAsia="Arial" w:hAnsi="Arial"/>
                <w:sz w:val="14"/>
                <w:szCs w:val="14"/>
                <w:color w:val="auto"/>
              </w:rPr>
              <w:t>224,143</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9"/>
              </w:rPr>
              <w:t>Amortization of stock options and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restricted stock</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4"/>
                <w:szCs w:val="14"/>
                <w:color w:val="auto"/>
              </w:rPr>
              <w:t>4,403</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4,403</w:t>
            </w:r>
          </w:p>
        </w:tc>
        <w:tc>
          <w:tcPr>
            <w:tcW w:w="0" w:type="dxa"/>
            <w:vAlign w:val="bottom"/>
          </w:tcPr>
          <w:p>
            <w:pPr>
              <w:spacing w:after="0"/>
              <w:rPr>
                <w:sz w:val="1"/>
                <w:szCs w:val="1"/>
                <w:color w:val="auto"/>
              </w:rPr>
            </w:pPr>
          </w:p>
        </w:tc>
      </w:tr>
      <w:tr>
        <w:trPr>
          <w:trHeight w:val="130"/>
        </w:trPr>
        <w:tc>
          <w:tcPr>
            <w:tcW w:w="2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w w:val="96"/>
              </w:rPr>
              <w:t>Vesting of restricted stock awards,</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net of shares surrendered to</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cover payroll taxes (120,692</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w w:val="94"/>
              </w:rPr>
              <w:t>common shares issued, 110,935</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40"/>
              <w:spacing w:after="0"/>
              <w:rPr>
                <w:sz w:val="20"/>
                <w:szCs w:val="20"/>
                <w:color w:val="auto"/>
              </w:rPr>
            </w:pPr>
            <w:r>
              <w:rPr>
                <w:rFonts w:ascii="Arial" w:cs="Arial" w:eastAsia="Arial" w:hAnsi="Arial"/>
                <w:sz w:val="14"/>
                <w:szCs w:val="14"/>
                <w:color w:val="auto"/>
              </w:rPr>
              <w:t>common shares deferred)</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1,509</w:t>
            </w:r>
          </w:p>
        </w:tc>
        <w:tc>
          <w:tcPr>
            <w:tcW w:w="940" w:type="dxa"/>
            <w:vAlign w:val="bottom"/>
            <w:gridSpan w:val="3"/>
            <w:shd w:val="clear" w:color="auto" w:fill="F0FFFF"/>
          </w:tcPr>
          <w:p>
            <w:pPr>
              <w:jc w:val="right"/>
              <w:ind w:right="140"/>
              <w:spacing w:after="0"/>
              <w:rPr>
                <w:sz w:val="20"/>
                <w:szCs w:val="20"/>
                <w:color w:val="auto"/>
              </w:rPr>
            </w:pPr>
            <w:r>
              <w:rPr>
                <w:rFonts w:ascii="Arial" w:cs="Arial" w:eastAsia="Arial" w:hAnsi="Arial"/>
                <w:sz w:val="14"/>
                <w:szCs w:val="14"/>
                <w:color w:val="auto"/>
              </w:rPr>
              <w:t>(3,113)</w:t>
            </w: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860" w:type="dxa"/>
            <w:vAlign w:val="bottom"/>
            <w:gridSpan w:val="3"/>
            <w:shd w:val="clear" w:color="auto" w:fill="F0FFFF"/>
          </w:tcPr>
          <w:p>
            <w:pPr>
              <w:jc w:val="right"/>
              <w:ind w:right="40"/>
              <w:spacing w:after="0"/>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9"/>
              </w:rPr>
              <w:t>Deferred compensation plan, net,</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including dividend equivalents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372</w:t>
            </w: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shd w:val="clear" w:color="auto" w:fill="F0FFFF"/>
          </w:tcPr>
          <w:p>
            <w:pPr>
              <w:spacing w:after="0" w:line="130" w:lineRule="exact"/>
              <w:rPr>
                <w:sz w:val="20"/>
                <w:szCs w:val="20"/>
                <w:color w:val="auto"/>
              </w:rPr>
            </w:pPr>
            <w:r>
              <w:rPr>
                <w:rFonts w:ascii="Arial" w:cs="Arial" w:eastAsia="Arial" w:hAnsi="Arial"/>
                <w:sz w:val="14"/>
                <w:szCs w:val="14"/>
                <w:color w:val="auto"/>
              </w:rPr>
              <w:t>Shares issued from deferred</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2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compensation plan (28,265</w:t>
            </w: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36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42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40"/>
              <w:spacing w:after="0"/>
              <w:rPr>
                <w:sz w:val="20"/>
                <w:szCs w:val="20"/>
                <w:color w:val="auto"/>
              </w:rPr>
            </w:pPr>
            <w:r>
              <w:rPr>
                <w:rFonts w:ascii="Arial" w:cs="Arial" w:eastAsia="Arial" w:hAnsi="Arial"/>
                <w:sz w:val="14"/>
                <w:szCs w:val="14"/>
                <w:color w:val="auto"/>
              </w:rPr>
              <w:t>shares)</w:t>
            </w: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3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2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54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42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(270)</w:t>
            </w: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242</w:t>
            </w:r>
          </w:p>
        </w:tc>
        <w:tc>
          <w:tcPr>
            <w:tcW w:w="1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6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5"/>
              </w:rPr>
              <w:t>Common stock dividends ($.22 per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40"/>
              <w:spacing w:after="0"/>
              <w:rPr>
                <w:sz w:val="20"/>
                <w:szCs w:val="20"/>
                <w:color w:val="auto"/>
              </w:rPr>
            </w:pPr>
            <w:r>
              <w:rPr>
                <w:rFonts w:ascii="Arial" w:cs="Arial" w:eastAsia="Arial" w:hAnsi="Arial"/>
                <w:sz w:val="14"/>
                <w:szCs w:val="14"/>
                <w:color w:val="auto"/>
              </w:rPr>
              <w:t>share)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(14,822)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4"/>
                <w:szCs w:val="14"/>
                <w:color w:val="auto"/>
              </w:rPr>
              <w:t>(14,822)</w:t>
            </w:r>
          </w:p>
        </w:tc>
        <w:tc>
          <w:tcPr>
            <w:tcW w:w="0" w:type="dxa"/>
            <w:vAlign w:val="bottom"/>
          </w:tcPr>
          <w:p>
            <w:pPr>
              <w:spacing w:after="0"/>
              <w:rPr>
                <w:sz w:val="1"/>
                <w:szCs w:val="1"/>
                <w:color w:val="auto"/>
              </w:rPr>
            </w:pPr>
          </w:p>
        </w:tc>
      </w:tr>
      <w:tr>
        <w:trPr>
          <w:trHeight w:val="124"/>
        </w:trPr>
        <w:tc>
          <w:tcPr>
            <w:tcW w:w="2080" w:type="dxa"/>
            <w:vAlign w:val="bottom"/>
            <w:shd w:val="clear" w:color="auto" w:fill="F0FFFF"/>
          </w:tcPr>
          <w:p>
            <w:pPr>
              <w:spacing w:after="0"/>
              <w:rPr>
                <w:sz w:val="10"/>
                <w:szCs w:val="10"/>
                <w:color w:val="auto"/>
              </w:rPr>
            </w:pPr>
          </w:p>
        </w:tc>
        <w:tc>
          <w:tcPr>
            <w:tcW w:w="6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36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62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54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42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56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5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74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0" w:type="dxa"/>
            <w:vAlign w:val="bottom"/>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76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8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10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shd w:val="clear" w:color="auto" w:fill="F0FFFF"/>
          </w:tcPr>
          <w:p>
            <w:pPr>
              <w:spacing w:after="0"/>
              <w:rPr>
                <w:sz w:val="20"/>
                <w:szCs w:val="20"/>
                <w:color w:val="auto"/>
              </w:rPr>
            </w:pPr>
            <w:r>
              <w:rPr>
                <w:rFonts w:ascii="Arial" w:cs="Arial" w:eastAsia="Arial" w:hAnsi="Arial"/>
                <w:sz w:val="14"/>
                <w:szCs w:val="14"/>
                <w:color w:val="auto"/>
              </w:rPr>
              <w:t>Tax on option exercise and</w:t>
            </w:r>
          </w:p>
        </w:tc>
        <w:tc>
          <w:tcPr>
            <w:tcW w:w="2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8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943</w:t>
            </w:r>
          </w:p>
        </w:tc>
        <w:tc>
          <w:tcPr>
            <w:tcW w:w="1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1540" w:type="dxa"/>
            <w:vAlign w:val="bottom"/>
            <w:gridSpan w:val="3"/>
            <w:shd w:val="clear" w:color="auto" w:fill="F0FF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F0FFFF"/>
          </w:tcPr>
          <w:p>
            <w:pPr>
              <w:spacing w:after="0"/>
              <w:rPr>
                <w:sz w:val="14"/>
                <w:szCs w:val="14"/>
                <w:color w:val="auto"/>
              </w:rPr>
            </w:pPr>
          </w:p>
        </w:tc>
      </w:tr>
      <w:tr>
        <w:trPr>
          <w:trHeight w:val="167"/>
        </w:trPr>
        <w:tc>
          <w:tcPr>
            <w:tcW w:w="21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restricted stock vesting</w:t>
            </w:r>
          </w:p>
        </w:tc>
        <w:tc>
          <w:tcPr>
            <w:tcW w:w="2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320" w:type="dxa"/>
            <w:vAlign w:val="bottom"/>
            <w:shd w:val="clear" w:color="auto" w:fill="F0FFFF"/>
          </w:tcPr>
          <w:p>
            <w:pPr>
              <w:spacing w:after="0"/>
              <w:rPr>
                <w:sz w:val="14"/>
                <w:szCs w:val="14"/>
                <w:color w:val="auto"/>
              </w:rPr>
            </w:pPr>
          </w:p>
        </w:tc>
        <w:tc>
          <w:tcPr>
            <w:tcW w:w="30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2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4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58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70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280" w:type="dxa"/>
            <w:vAlign w:val="bottom"/>
            <w:shd w:val="clear" w:color="auto" w:fill="F0FFFF"/>
          </w:tcPr>
          <w:p>
            <w:pPr>
              <w:spacing w:after="0"/>
              <w:rPr>
                <w:sz w:val="14"/>
                <w:szCs w:val="14"/>
                <w:color w:val="auto"/>
              </w:rPr>
            </w:pPr>
          </w:p>
        </w:tc>
        <w:tc>
          <w:tcPr>
            <w:tcW w:w="660" w:type="dxa"/>
            <w:vAlign w:val="bottom"/>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68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r>
      <w:tr>
        <w:trPr>
          <w:trHeight w:val="169"/>
        </w:trPr>
        <w:tc>
          <w:tcPr>
            <w:tcW w:w="2140" w:type="dxa"/>
            <w:vAlign w:val="bottom"/>
          </w:tcPr>
          <w:p>
            <w:pPr>
              <w:spacing w:after="0"/>
              <w:rPr>
                <w:sz w:val="20"/>
                <w:szCs w:val="20"/>
                <w:color w:val="auto"/>
              </w:rPr>
            </w:pPr>
            <w:r>
              <w:rPr>
                <w:rFonts w:ascii="Arial" w:cs="Arial" w:eastAsia="Arial" w:hAnsi="Arial"/>
                <w:sz w:val="14"/>
                <w:szCs w:val="14"/>
                <w:color w:val="auto"/>
                <w:w w:val="96"/>
              </w:rPr>
              <w:t>Preferred stock dividends, Series H</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(67)</w:t>
            </w:r>
          </w:p>
        </w:tc>
        <w:tc>
          <w:tcPr>
            <w:tcW w:w="280" w:type="dxa"/>
            <w:vAlign w:val="bottom"/>
          </w:tcPr>
          <w:p>
            <w:pPr>
              <w:spacing w:after="0"/>
              <w:rPr>
                <w:sz w:val="14"/>
                <w:szCs w:val="14"/>
                <w:color w:val="auto"/>
              </w:rPr>
            </w:pPr>
          </w:p>
        </w:tc>
        <w:tc>
          <w:tcPr>
            <w:tcW w:w="1640" w:type="dxa"/>
            <w:vAlign w:val="bottom"/>
            <w:gridSpan w:val="4"/>
          </w:tcPr>
          <w:p>
            <w:pPr>
              <w:jc w:val="right"/>
              <w:ind w:right="40"/>
              <w:spacing w:after="0"/>
              <w:rPr>
                <w:sz w:val="20"/>
                <w:szCs w:val="20"/>
                <w:color w:val="auto"/>
              </w:rPr>
            </w:pPr>
            <w:r>
              <w:rPr>
                <w:rFonts w:ascii="Arial" w:cs="Arial" w:eastAsia="Arial" w:hAnsi="Arial"/>
                <w:sz w:val="14"/>
                <w:szCs w:val="14"/>
                <w:color w:val="auto"/>
              </w:rPr>
              <w:t>(67)</w:t>
            </w:r>
          </w:p>
        </w:tc>
      </w:tr>
      <w:tr>
        <w:trPr>
          <w:trHeight w:val="187"/>
        </w:trPr>
        <w:tc>
          <w:tcPr>
            <w:tcW w:w="214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4"/>
                <w:szCs w:val="14"/>
                <w:b w:val="1"/>
                <w:bCs w:val="1"/>
                <w:color w:val="auto"/>
              </w:rPr>
              <w:t>Balance, December 31, 2015</w:t>
            </w:r>
          </w:p>
        </w:tc>
        <w:tc>
          <w:tcPr>
            <w:tcW w:w="280" w:type="dxa"/>
            <w:vAlign w:val="bottom"/>
            <w:tcBorders>
              <w:top w:val="single" w:sz="8" w:color="auto"/>
              <w:bottom w:val="single" w:sz="8" w:color="auto"/>
            </w:tcBorders>
            <w:shd w:val="clear" w:color="auto" w:fill="F0FFFF"/>
          </w:tcPr>
          <w:p>
            <w:pPr>
              <w:jc w:val="right"/>
              <w:ind w:right="128"/>
              <w:spacing w:after="0"/>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320" w:type="dxa"/>
            <w:vAlign w:val="bottom"/>
            <w:tcBorders>
              <w:top w:val="single" w:sz="8" w:color="auto"/>
              <w:bottom w:val="single" w:sz="8" w:color="auto"/>
            </w:tcBorders>
            <w:shd w:val="clear" w:color="auto" w:fill="F0FFFF"/>
          </w:tcPr>
          <w:p>
            <w:pPr>
              <w:jc w:val="right"/>
              <w:ind w:right="209"/>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280" w:type="dxa"/>
            <w:vAlign w:val="bottom"/>
            <w:tcBorders>
              <w:top w:val="single" w:sz="8" w:color="auto"/>
              <w:bottom w:val="single" w:sz="8" w:color="auto"/>
            </w:tcBorders>
            <w:shd w:val="clear" w:color="auto" w:fill="F0FFFF"/>
          </w:tcPr>
          <w:p>
            <w:pPr>
              <w:jc w:val="right"/>
              <w:ind w:right="169"/>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  9,992</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2"/>
              </w:rPr>
              <w:t>$  66,198</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220" w:type="dxa"/>
            <w:vAlign w:val="bottom"/>
            <w:tcBorders>
              <w:top w:val="single" w:sz="8" w:color="auto"/>
              <w:bottom w:val="single" w:sz="8" w:color="auto"/>
            </w:tcBorders>
            <w:shd w:val="clear" w:color="auto" w:fill="F0FFFF"/>
          </w:tcPr>
          <w:p>
            <w:pPr>
              <w:jc w:val="right"/>
              <w:ind w:right="10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5,286</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   6,779</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91"/>
              </w:rPr>
              <w:t>$ 1,286,361</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200" w:type="dxa"/>
            <w:vAlign w:val="bottom"/>
            <w:tcBorders>
              <w:top w:val="single" w:sz="8" w:color="auto"/>
              <w:bottom w:val="single" w:sz="8" w:color="auto"/>
            </w:tcBorders>
            <w:shd w:val="clear" w:color="auto" w:fill="F0FF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(330,879</w:t>
            </w:r>
          </w:p>
        </w:tc>
        <w:tc>
          <w:tcPr>
            <w:tcW w:w="180" w:type="dxa"/>
            <w:vAlign w:val="bottom"/>
            <w:tcBorders>
              <w:top w:val="single" w:sz="8" w:color="F0FFFF"/>
              <w:bottom w:val="single" w:sz="8" w:color="F0FFFF"/>
            </w:tcBorders>
            <w:shd w:val="clear" w:color="auto" w:fill="F0FFFF"/>
          </w:tcPr>
          <w:p>
            <w:pPr>
              <w:jc w:val="right"/>
              <w:ind w:right="99"/>
              <w:spacing w:after="0"/>
              <w:rPr>
                <w:sz w:val="20"/>
                <w:szCs w:val="20"/>
                <w:color w:val="auto"/>
              </w:rPr>
            </w:pPr>
            <w:r>
              <w:rPr>
                <w:rFonts w:ascii="Arial" w:cs="Arial" w:eastAsia="Arial" w:hAnsi="Arial"/>
                <w:sz w:val="8"/>
                <w:szCs w:val="8"/>
                <w:color w:val="auto"/>
                <w:w w:val="73"/>
              </w:rPr>
              <w:t>)</w:t>
            </w:r>
          </w:p>
        </w:tc>
        <w:tc>
          <w:tcPr>
            <w:tcW w:w="280" w:type="dxa"/>
            <w:vAlign w:val="bottom"/>
            <w:tcBorders>
              <w:top w:val="single" w:sz="8" w:color="auto"/>
              <w:bottom w:val="single" w:sz="8" w:color="auto"/>
            </w:tcBorders>
            <w:shd w:val="clear" w:color="auto" w:fill="F0FFFF"/>
          </w:tcPr>
          <w:p>
            <w:pPr>
              <w:jc w:val="right"/>
              <w:ind w:right="1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(25,452</w:t>
            </w:r>
          </w:p>
        </w:tc>
        <w:tc>
          <w:tcPr>
            <w:tcW w:w="200" w:type="dxa"/>
            <w:vAlign w:val="bottom"/>
            <w:tcBorders>
              <w:top w:val="single" w:sz="8" w:color="F0FFFF"/>
              <w:bottom w:val="single" w:sz="8" w:color="F0FFFF"/>
            </w:tcBorders>
            <w:shd w:val="clear" w:color="auto" w:fill="F0FFFF"/>
          </w:tcPr>
          <w:p>
            <w:pPr>
              <w:jc w:val="right"/>
              <w:ind w:right="68"/>
              <w:spacing w:after="0"/>
              <w:rPr>
                <w:sz w:val="20"/>
                <w:szCs w:val="20"/>
                <w:color w:val="auto"/>
              </w:rPr>
            </w:pPr>
            <w:r>
              <w:rPr>
                <w:rFonts w:ascii="Arial" w:cs="Arial" w:eastAsia="Arial" w:hAnsi="Arial"/>
                <w:sz w:val="14"/>
                <w:szCs w:val="14"/>
                <w:color w:val="auto"/>
                <w:w w:val="84"/>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89"/>
              </w:rPr>
              <w:t>$ 1,018,285</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r>
      <w:tr>
        <w:trPr>
          <w:trHeight w:val="20"/>
        </w:trPr>
        <w:tc>
          <w:tcPr>
            <w:tcW w:w="214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30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2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4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380" w:type="dxa"/>
            <w:vAlign w:val="bottom"/>
            <w:tcBorders>
              <w:bottom w:val="single" w:sz="8" w:color="F0FF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F0FFFF"/>
            </w:tcBorders>
          </w:tcPr>
          <w:p>
            <w:pPr>
              <w:spacing w:after="0"/>
              <w:rPr>
                <w:sz w:val="15"/>
                <w:szCs w:val="15"/>
                <w:color w:val="auto"/>
              </w:rPr>
            </w:pPr>
          </w:p>
        </w:tc>
        <w:tc>
          <w:tcPr>
            <w:tcW w:w="100" w:type="dxa"/>
            <w:vAlign w:val="bottom"/>
            <w:tcBorders>
              <w:bottom w:val="single" w:sz="8" w:color="F0FF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F0FFFF"/>
            </w:tcBorders>
          </w:tcPr>
          <w:p>
            <w:pPr>
              <w:spacing w:after="0"/>
              <w:rPr>
                <w:sz w:val="15"/>
                <w:szCs w:val="15"/>
                <w:color w:val="auto"/>
              </w:rPr>
            </w:pPr>
          </w:p>
        </w:tc>
        <w:tc>
          <w:tcPr>
            <w:tcW w:w="80" w:type="dxa"/>
            <w:vAlign w:val="bottom"/>
            <w:tcBorders>
              <w:bottom w:val="single" w:sz="8" w:color="F0FF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Operating activities:</w:t>
            </w:r>
          </w:p>
        </w:tc>
        <w:tc>
          <w:tcPr>
            <w:tcW w:w="3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71,578</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67,620</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273,140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3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22,652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19,952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26,388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3,700</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8,500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Fixed asset impairment charge</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5,969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Stock based compensation</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4,403</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4,304</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Deferred income tax expense (benefit)</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38,296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38,226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(241,655)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Securities gains, net</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(4,871)</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Losses on prepayment of borrowings</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4,446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Gains from sales of government guaranteed loans</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(6,276)</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(2,615)</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Net gains on sales of other assets</w:t>
            </w:r>
          </w:p>
        </w:tc>
        <w:tc>
          <w:tcPr>
            <w:tcW w:w="3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Net gains on sales and write downs of other real estate owned</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(638)</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(704)</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Change in assets and liabilities: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480"/>
              <w:spacing w:after="0"/>
              <w:rPr>
                <w:sz w:val="20"/>
                <w:szCs w:val="20"/>
                <w:color w:val="auto"/>
              </w:rPr>
            </w:pPr>
            <w:r>
              <w:rPr>
                <w:rFonts w:ascii="Arial" w:cs="Arial" w:eastAsia="Arial" w:hAnsi="Arial"/>
                <w:sz w:val="18"/>
                <w:szCs w:val="18"/>
                <w:color w:val="auto"/>
              </w:rPr>
              <w:t>Increase in other assets and accrued interest receivable</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(8,848)</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(16,776)</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(Decrease) increase in accrued expenses and other liabilities</w:t>
            </w:r>
          </w:p>
        </w:tc>
        <w:tc>
          <w:tcPr>
            <w:tcW w:w="3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(10,563)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(15,385)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42,505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shd w:val="clear" w:color="auto" w:fill="F0FFFF"/>
          </w:tcPr>
          <w:p>
            <w:pPr>
              <w:ind w:left="480"/>
              <w:spacing w:after="0"/>
              <w:rPr>
                <w:sz w:val="20"/>
                <w:szCs w:val="20"/>
                <w:color w:val="auto"/>
              </w:rPr>
            </w:pPr>
            <w:r>
              <w:rPr>
                <w:rFonts w:ascii="Arial" w:cs="Arial" w:eastAsia="Arial" w:hAnsi="Arial"/>
                <w:sz w:val="18"/>
                <w:szCs w:val="18"/>
                <w:color w:val="auto"/>
              </w:rPr>
              <w:t>(Increase) decrease in mortgage loans held for sale</w:t>
            </w:r>
          </w:p>
        </w:tc>
        <w:tc>
          <w:tcPr>
            <w:tcW w:w="36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(6,705)</w:t>
            </w:r>
          </w:p>
        </w:tc>
        <w:tc>
          <w:tcPr>
            <w:tcW w:w="10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(3,418)</w:t>
            </w:r>
          </w:p>
        </w:tc>
        <w:tc>
          <w:tcPr>
            <w:tcW w:w="8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F0FFFF"/>
              <w:bottom w:val="single" w:sz="8" w:color="F0FFFF"/>
            </w:tcBorders>
          </w:tcPr>
          <w:p>
            <w:pPr>
              <w:spacing w:after="0" w:line="203" w:lineRule="exact"/>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111,944</w:t>
            </w:r>
          </w:p>
        </w:tc>
        <w:tc>
          <w:tcPr>
            <w:tcW w:w="16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99,279</w:t>
            </w:r>
          </w:p>
        </w:tc>
        <w:tc>
          <w:tcPr>
            <w:tcW w:w="14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191,652</w:t>
            </w:r>
          </w:p>
        </w:tc>
        <w:tc>
          <w:tcPr>
            <w:tcW w:w="10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Investing activities: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Investment securities held-to-maturity:</w:t>
            </w:r>
          </w:p>
        </w:tc>
        <w:tc>
          <w:tcPr>
            <w:tcW w:w="3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Proceeds from maturities and calls</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70,962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64,791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63,985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480"/>
              <w:spacing w:after="0"/>
              <w:rPr>
                <w:sz w:val="20"/>
                <w:szCs w:val="20"/>
                <w:color w:val="auto"/>
              </w:rPr>
            </w:pPr>
            <w:r>
              <w:rPr>
                <w:rFonts w:ascii="Arial" w:cs="Arial" w:eastAsia="Arial" w:hAnsi="Arial"/>
                <w:sz w:val="18"/>
                <w:szCs w:val="18"/>
                <w:color w:val="auto"/>
              </w:rPr>
              <w:t>Purchases</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Investment securities available-for-sale: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480"/>
              <w:spacing w:after="0"/>
              <w:rPr>
                <w:sz w:val="20"/>
                <w:szCs w:val="20"/>
                <w:color w:val="auto"/>
              </w:rPr>
            </w:pPr>
            <w:r>
              <w:rPr>
                <w:rFonts w:ascii="Arial" w:cs="Arial" w:eastAsia="Arial" w:hAnsi="Arial"/>
                <w:sz w:val="18"/>
                <w:szCs w:val="18"/>
                <w:color w:val="auto"/>
              </w:rPr>
              <w:t>Proceeds from sales</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353,860</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419,201</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39,731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Proceeds from maturities and calls</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284,435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224,302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477,060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480"/>
              <w:spacing w:after="0"/>
              <w:rPr>
                <w:sz w:val="20"/>
                <w:szCs w:val="20"/>
                <w:color w:val="auto"/>
              </w:rPr>
            </w:pPr>
            <w:r>
              <w:rPr>
                <w:rFonts w:ascii="Arial" w:cs="Arial" w:eastAsia="Arial" w:hAnsi="Arial"/>
                <w:sz w:val="18"/>
                <w:szCs w:val="18"/>
                <w:color w:val="auto"/>
              </w:rPr>
              <w:t>Purchases</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(839,345)</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(603,384)</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(818,256)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increase in loans</w:t>
            </w:r>
          </w:p>
        </w:tc>
        <w:tc>
          <w:tcPr>
            <w:tcW w:w="3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(475,132)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(323,837)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(358,858)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loan sales</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190,111</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4,561</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cash received (paid) for acquisitions</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35,497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(31,261)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Funds (paid to) collected from FDIC under loss sharing agreements</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2,662</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5,882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3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(10,532)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5,546</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3,137</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3,946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sale of other real estate owned</w:t>
            </w:r>
          </w:p>
        </w:tc>
        <w:tc>
          <w:tcPr>
            <w:tcW w:w="36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10,175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28,430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(400,444</w:t>
            </w:r>
          </w:p>
        </w:tc>
        <w:tc>
          <w:tcPr>
            <w:tcW w:w="160" w:type="dxa"/>
            <w:vAlign w:val="bottom"/>
            <w:tcBorders>
              <w:top w:val="single" w:sz="8" w:color="F0FFFF"/>
              <w:bottom w:val="single" w:sz="8" w:color="F0FFFF"/>
            </w:tcBorders>
            <w:shd w:val="clear" w:color="auto" w:fill="F0FF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34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(234,880</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340" w:type="dxa"/>
            <w:vAlign w:val="bottom"/>
            <w:tcBorders>
              <w:top w:val="single" w:sz="8" w:color="auto"/>
              <w:bottom w:val="single" w:sz="8" w:color="auto"/>
            </w:tcBorders>
            <w:shd w:val="clear" w:color="auto" w:fill="F0FFFF"/>
          </w:tcPr>
          <w:p>
            <w:pPr>
              <w:spacing w:after="0"/>
              <w:rPr>
                <w:sz w:val="19"/>
                <w:szCs w:val="19"/>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(482,791</w:t>
            </w:r>
          </w:p>
        </w:tc>
        <w:tc>
          <w:tcPr>
            <w:tcW w:w="10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Financing activities:</w:t>
            </w:r>
          </w:p>
        </w:tc>
        <w:tc>
          <w:tcPr>
            <w:tcW w:w="3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Net increase in deposits</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195,881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125,007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increase (decrease) in short-term borrowings</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(18,437)</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(51,687)</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2,075,000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1,230,000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Repayment of Federal Home Loan Bank advances</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(1,937,070)</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(1,080,000)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(690,000)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3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(48,521)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83,924</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w w:val="94"/>
              </w:rPr>
              <w:t>Proceeds from issuance of common stock for dividend reinvestment and employee</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benefit plans</w:t>
            </w:r>
          </w:p>
        </w:tc>
        <w:tc>
          <w:tcPr>
            <w:tcW w:w="36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issuance of common stock, net of offering costs</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12,206</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Proceeds from warrant exercise</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Repurchase of outstanding warrant at fair value</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Retirement of preferred stock</w:t>
            </w:r>
          </w:p>
        </w:tc>
        <w:tc>
          <w:tcPr>
            <w:tcW w:w="3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(121,613)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(75,217)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on common stock</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(14,822)</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(1,810)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Cash dividends on preferred stock</w:t>
            </w:r>
          </w:p>
        </w:tc>
        <w:tc>
          <w:tcPr>
            <w:tcW w:w="36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(1,214)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Borders>
              <w:top w:val="single" w:sz="8" w:color="auto"/>
              <w:bottom w:val="single" w:sz="8" w:color="auto"/>
            </w:tcBorders>
            <w:shd w:val="clear" w:color="auto" w:fill="F0FFFF"/>
          </w:tcPr>
          <w:p>
            <w:pPr>
              <w:spacing w:after="0"/>
              <w:rPr>
                <w:sz w:val="19"/>
                <w:szCs w:val="19"/>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336,208</w:t>
            </w:r>
          </w:p>
        </w:tc>
        <w:tc>
          <w:tcPr>
            <w:tcW w:w="160" w:type="dxa"/>
            <w:vAlign w:val="bottom"/>
            <w:tcBorders>
              <w:top w:val="single" w:sz="8" w:color="F0FFFF"/>
              <w:bottom w:val="single" w:sz="8" w:color="F0FFFF"/>
            </w:tcBorders>
            <w:shd w:val="clear" w:color="auto" w:fill="F0FFFF"/>
          </w:tcPr>
          <w:p>
            <w:pPr>
              <w:spacing w:after="0"/>
              <w:rPr>
                <w:sz w:val="19"/>
                <w:szCs w:val="19"/>
                <w:color w:val="auto"/>
              </w:rPr>
            </w:pP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340" w:type="dxa"/>
            <w:vAlign w:val="bottom"/>
            <w:tcBorders>
              <w:top w:val="single" w:sz="8" w:color="auto"/>
              <w:bottom w:val="single" w:sz="8" w:color="auto"/>
            </w:tcBorders>
            <w:shd w:val="clear" w:color="auto" w:fill="F0FFFF"/>
          </w:tcPr>
          <w:p>
            <w:pPr>
              <w:spacing w:after="0"/>
              <w:rPr>
                <w:sz w:val="19"/>
                <w:szCs w:val="19"/>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99,358</w:t>
            </w:r>
          </w:p>
        </w:tc>
        <w:tc>
          <w:tcPr>
            <w:tcW w:w="140" w:type="dxa"/>
            <w:vAlign w:val="bottom"/>
            <w:tcBorders>
              <w:top w:val="single" w:sz="8" w:color="F0FFFF"/>
              <w:bottom w:val="single" w:sz="8" w:color="F0FFFF"/>
            </w:tcBorders>
            <w:shd w:val="clear" w:color="auto" w:fill="F0FFFF"/>
          </w:tcPr>
          <w:p>
            <w:pPr>
              <w:spacing w:after="0"/>
              <w:rPr>
                <w:sz w:val="19"/>
                <w:szCs w:val="19"/>
                <w:color w:val="auto"/>
              </w:rPr>
            </w:pPr>
          </w:p>
        </w:tc>
        <w:tc>
          <w:tcPr>
            <w:tcW w:w="80" w:type="dxa"/>
            <w:vAlign w:val="bottom"/>
            <w:tcBorders>
              <w:top w:val="single" w:sz="8" w:color="F0FFFF"/>
              <w:bottom w:val="single" w:sz="8" w:color="F0FFFF"/>
            </w:tcBorders>
            <w:shd w:val="clear" w:color="auto" w:fill="F0FFFF"/>
          </w:tcPr>
          <w:p>
            <w:pPr>
              <w:spacing w:after="0"/>
              <w:rPr>
                <w:sz w:val="19"/>
                <w:szCs w:val="19"/>
                <w:color w:val="auto"/>
              </w:rPr>
            </w:pPr>
          </w:p>
        </w:tc>
        <w:tc>
          <w:tcPr>
            <w:tcW w:w="340" w:type="dxa"/>
            <w:vAlign w:val="bottom"/>
            <w:tcBorders>
              <w:top w:val="single" w:sz="8" w:color="auto"/>
              <w:bottom w:val="single" w:sz="8" w:color="auto"/>
            </w:tcBorders>
            <w:shd w:val="clear" w:color="auto" w:fill="F0FFFF"/>
          </w:tcPr>
          <w:p>
            <w:pPr>
              <w:spacing w:after="0"/>
              <w:rPr>
                <w:sz w:val="19"/>
                <w:szCs w:val="19"/>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268,888</w:t>
            </w:r>
          </w:p>
        </w:tc>
        <w:tc>
          <w:tcPr>
            <w:tcW w:w="100" w:type="dxa"/>
            <w:vAlign w:val="bottom"/>
            <w:tcBorders>
              <w:top w:val="single" w:sz="8" w:color="F0FFFF"/>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3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47,708</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(36,243)</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(22,251)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at beginning of year</w:t>
            </w:r>
          </w:p>
        </w:tc>
        <w:tc>
          <w:tcPr>
            <w:tcW w:w="360" w:type="dxa"/>
            <w:vAlign w:val="bottom"/>
            <w:shd w:val="clear" w:color="auto" w:fill="F0FFFF"/>
          </w:tcPr>
          <w:p>
            <w:pPr>
              <w:spacing w:after="0"/>
              <w:rPr>
                <w:sz w:val="20"/>
                <w:szCs w:val="20"/>
                <w:color w:val="auto"/>
              </w:rPr>
            </w:pP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192,655</w:t>
            </w:r>
          </w:p>
        </w:tc>
        <w:tc>
          <w:tcPr>
            <w:tcW w:w="10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228,898</w:t>
            </w:r>
          </w:p>
        </w:tc>
        <w:tc>
          <w:tcPr>
            <w:tcW w:w="8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251,149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Borders>
              <w:top w:val="single" w:sz="8" w:color="F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360" w:type="dxa"/>
            <w:vAlign w:val="bottom"/>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240,363</w:t>
            </w:r>
          </w:p>
        </w:tc>
        <w:tc>
          <w:tcPr>
            <w:tcW w:w="4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192,655</w:t>
            </w:r>
          </w:p>
        </w:tc>
        <w:tc>
          <w:tcPr>
            <w:tcW w:w="4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228,898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F0FFFF"/>
          </w:tcPr>
          <w:p>
            <w:pPr>
              <w:ind w:left="48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F0FF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21,604</w:t>
            </w:r>
          </w:p>
        </w:tc>
        <w:tc>
          <w:tcPr>
            <w:tcW w:w="4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25,669</w:t>
            </w:r>
          </w:p>
        </w:tc>
        <w:tc>
          <w:tcPr>
            <w:tcW w:w="42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26,139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Income taxes paid</w:t>
            </w:r>
          </w:p>
        </w:tc>
        <w:tc>
          <w:tcPr>
            <w:tcW w:w="36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4,203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3,046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905" w:right="239" w:bottom="0" w:gutter="0" w:footer="0" w:header="0"/>
        </w:sectPr>
      </w:pPr>
    </w:p>
    <w:bookmarkStart w:id="68" w:name="page69"/>
    <w:bookmarkEnd w:id="68"/>
    <w:p>
      <w:pPr>
        <w:jc w:val="center"/>
        <w:ind w:right="-4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accounting principles followed by United Community Banks, Inc. (“United”) and its subsidiaries and the methods of applying these principles conform with accounting principles generally accepted in the United States of America (“GAAP”) and with general practices within the banking industry. The following is a description of the significant policies.</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Organization and Basis of Presentation</w:t>
      </w:r>
    </w:p>
    <w:p>
      <w:pPr>
        <w:spacing w:after="0" w:line="229" w:lineRule="exact"/>
        <w:rPr>
          <w:rFonts w:ascii="Arial" w:cs="Arial" w:eastAsia="Arial" w:hAnsi="Arial"/>
          <w:sz w:val="18"/>
          <w:szCs w:val="18"/>
          <w:b w:val="1"/>
          <w:bCs w:val="1"/>
          <w:color w:val="auto"/>
        </w:rPr>
      </w:pPr>
    </w:p>
    <w:p>
      <w:pPr>
        <w:jc w:val="both"/>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At December 31, 2015, United was a bank holding company subject to the regulation of the Board of Governors of the Federal Reserve System (the “Federal Reserve”) whose principal business was conducted by its wholly-owned commercial bank subsidiary, United Community Bank (the “Bank”). United is subject to regulation under the Bank Holding Company Act of 1956. The consolidated financial statements include the accounts of United, the Bank and other wholly-owned subsidiaries. All significant intercompany accounts and transactions have been eliminated in consolidation.</w:t>
      </w:r>
    </w:p>
    <w:p>
      <w:pPr>
        <w:spacing w:after="0" w:line="154"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Bank is a Georgia state chartered commercial bank that serves markets throughout north Georgia, coastal Georgia, the Atlanta-Sandy Springs-Roswell, Georgia and Gainesville, Georgia metropolitan statistical areas, western North Carolina, upstate South Carolina and east Tennessee and provides a full range of banking services. The Bank is insured and subject to the regulation of the Federal Deposit Insurance Corporation (“FDIC”) and is also subject to the regulation of the Georgia Department of Banking and Finance.</w:t>
      </w:r>
    </w:p>
    <w:p>
      <w:pPr>
        <w:spacing w:after="0" w:line="18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Estimates</w:t>
      </w:r>
    </w:p>
    <w:p>
      <w:pPr>
        <w:spacing w:after="0" w:line="229"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preparing the consolidated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allowance for loan losses, the valuation of real estate acquired in connection with foreclosures or in satisfaction of loans, the valuation of goodwill and separately identifiable intangible assets associated with mergers and acquisitions, and the valuation of deferred tax assets.</w:t>
      </w:r>
    </w:p>
    <w:p>
      <w:pPr>
        <w:spacing w:after="0" w:line="16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Segments</w:t>
      </w:r>
    </w:p>
    <w:p>
      <w:pPr>
        <w:spacing w:after="0" w:line="229"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United’s community banking operations are divided among geographic regions and local community banks within those regions, those regions and banks have similar economic characteristics and are therefore aggregated into one operating segment for purposes of segment reporting.</w:t>
      </w:r>
    </w:p>
    <w:p>
      <w:pPr>
        <w:spacing w:after="0" w:line="188" w:lineRule="exact"/>
        <w:rPr>
          <w:rFonts w:ascii="Arial" w:cs="Arial" w:eastAsia="Arial" w:hAnsi="Arial"/>
          <w:sz w:val="18"/>
          <w:szCs w:val="18"/>
          <w:b w:val="1"/>
          <w:bCs w:val="1"/>
          <w:color w:val="auto"/>
        </w:rPr>
      </w:pPr>
    </w:p>
    <w:p>
      <w:pPr>
        <w:jc w:val="both"/>
        <w:ind w:left="3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Additionally United assessed other operating units to determine if they should be classified and reported as segments. They include Mortgage, Advisory Services and Specialized Lending. Each was assessed for separate reporting on both a qualitative and a quantitative basis in accordance with Financial Accounting Standards Boards (“FASB”) Accounting Standards Codification Topic 280 Segment Reporting (“ASC 280”). Qualitatively, these business units are currently operating in the same geographic footprint as the community banks and face many of the same customers as the community banks. While the chief operating decision maker does have some separate financial information for these entities, they are currently viewed more as a product line extension of the community banks. However, management will continue to evaluate these business units for separate reporting as facts and circumstances change. On a quantitative basis, ASC 280 provides a threshold of 10% of Revenue, Net Income or Assets where a breach of any of these thresholds would trigger segment reporting. Under this requirement none of the entities reached the threshold.</w:t>
      </w:r>
    </w:p>
    <w:p>
      <w:pPr>
        <w:spacing w:after="0" w:line="16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Based on this analysis, United concluded that it has one operating and reportable segment.</w:t>
      </w:r>
    </w:p>
    <w:p>
      <w:pPr>
        <w:spacing w:after="0" w:line="2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and Cash Equivalents</w:t>
      </w:r>
    </w:p>
    <w:p>
      <w:pPr>
        <w:spacing w:after="0" w:line="229" w:lineRule="exact"/>
        <w:rPr>
          <w:rFonts w:ascii="Arial" w:cs="Arial" w:eastAsia="Arial" w:hAnsi="Arial"/>
          <w:sz w:val="18"/>
          <w:szCs w:val="18"/>
          <w:b w:val="1"/>
          <w:bCs w:val="1"/>
          <w:color w:val="auto"/>
        </w:rPr>
      </w:pPr>
    </w:p>
    <w:p>
      <w:pPr>
        <w:jc w:val="both"/>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Cash equivalents include amounts due from banks, interest-bearing deposits in banks, federal funds sold, commercial paper, reverse repurchase agreements and short-term investments and are carried at cost. Federal funds are generally sold for one-day periods, interest-bearing deposits in banks are available on demand and commercial paper investments and reverse repurchase agreements mature within a period of less than 90 days. A portion of the cash on hand and on deposit with the Federal Reserve Bank of Atlanta was required to meet regulatory reserve requirements.</w:t>
      </w:r>
    </w:p>
    <w:p>
      <w:pPr>
        <w:spacing w:after="0" w:line="15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 Securities</w:t>
      </w:r>
    </w:p>
    <w:p>
      <w:pPr>
        <w:spacing w:after="0" w:line="22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United classifies its securities in one of three categories: trading, held-to-maturity or available-for-sale. United does not hold any trading securities that are bought and held principally for the purpose of selling them in the near term. Held-to-maturity securities are those securities for which United has the ability and intent to hold until maturity. All other securities are classified as available-for-sale.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6860" w:hanging="332"/>
        <w:spacing w:after="0" w:line="503"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Investment Securities, continued</w:t>
      </w: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Held-to-maturity securities are recorded at cost, adjusted for the amortization or accretion of premiums or discounts. Available-for-sale securities are recorded at fair value. Unrealized holding gains and losses, net of the related tax effect, on available-for-sale securities are reported in other comprehensive income as a separate component of shareholders’ equity until realized. Transfers of securities between categories are recorded at fair value at the date of transfer. Unrealized holding gains or losses associated with transfers of securities from available-for-sale to held-to-maturity are included in the balance of accumulated other comprehensive income in the consolidated balance sheet.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18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Management evaluates investment securities for other than temporary impairment on a quarterly basis. A decline in the fair value of available-for-sale and held-to-maturity securities below cost that is deemed other than temporary is charged to earnings for a decline in value deemed to be credit related. The decline in value attributed to non credit related factors is recognized in other comprehensive income and a new cost basis for the security is established. Premiums and discounts are amortized or accreted over the life of the related security as an adjustment to the yield. Realized gains and losses for securities classified as available-for-sale and held-to-maturity are included in net income and derived using the specific identification method for determining the cost of the securities sold.</w:t>
      </w:r>
    </w:p>
    <w:p>
      <w:pPr>
        <w:spacing w:after="0" w:line="193"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Federal Home Loan Bank (“FHLB”) stock is included in other assets at its original cost basis, as cost approximates fair value as there is no ready market for such investments.</w:t>
      </w:r>
    </w:p>
    <w:p>
      <w:pPr>
        <w:spacing w:after="0" w:line="16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Mortgage Loans Held for Sale</w:t>
      </w:r>
    </w:p>
    <w:p>
      <w:pPr>
        <w:spacing w:after="0" w:line="229" w:lineRule="exact"/>
        <w:rPr>
          <w:rFonts w:ascii="Arial" w:cs="Arial" w:eastAsia="Arial" w:hAnsi="Arial"/>
          <w:sz w:val="18"/>
          <w:szCs w:val="18"/>
          <w:b w:val="1"/>
          <w:bCs w:val="1"/>
          <w:color w:val="auto"/>
        </w:rPr>
      </w:pPr>
    </w:p>
    <w:p>
      <w:pPr>
        <w:jc w:val="both"/>
        <w:ind w:lef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Mortgage loans held for sale are carried at the lower of aggregate cost or fair value. The amount by which cost exceeds fair value is accounted for as a valuation allowance. Changes in the valuation allowance are included in the determination of net income for the period in which the change occurs. No valuation allowances were required at December 31, 2015 or 2014 since those loans have fair values that exceeded the recorded cost basis.</w:t>
      </w:r>
    </w:p>
    <w:p>
      <w:pPr>
        <w:spacing w:after="0" w:line="14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w:t>
      </w:r>
    </w:p>
    <w:p>
      <w:pPr>
        <w:spacing w:after="0" w:line="22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With the exception of purchased loans that are recorded at fair value on the date of acquisition, loans are stated at principal amount outstanding, net of any unearned revenue and net of any deferred loan fees and costs. Interest on loans is primarily calculated by using the simple interest method on daily balances of the principal amount outstanding.</w:t>
      </w:r>
    </w:p>
    <w:p>
      <w:pPr>
        <w:spacing w:after="0" w:line="177" w:lineRule="exact"/>
        <w:rPr>
          <w:rFonts w:ascii="Arial" w:cs="Arial" w:eastAsia="Arial" w:hAnsi="Arial"/>
          <w:sz w:val="18"/>
          <w:szCs w:val="18"/>
          <w:b w:val="1"/>
          <w:bCs w:val="1"/>
          <w:color w:val="auto"/>
        </w:rPr>
      </w:pPr>
    </w:p>
    <w:p>
      <w:pPr>
        <w:jc w:val="both"/>
        <w:ind w:left="340"/>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Purchased Loans With Evidence of Credit Deterioration: </w:t>
      </w:r>
      <w:r>
        <w:rPr>
          <w:rFonts w:ascii="Arial" w:cs="Arial" w:eastAsia="Arial" w:hAnsi="Arial"/>
          <w:sz w:val="18"/>
          <w:szCs w:val="18"/>
          <w:color w:val="auto"/>
        </w:rPr>
        <w:t>United from time to time purchases loans, primarily through business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transactions. Some of those purchased loans show evidence of credit deterioration since origination and are accounted for pursuant to ASC Topic 310-30, </w:t>
      </w:r>
      <w:r>
        <w:rPr>
          <w:rFonts w:ascii="Arial" w:cs="Arial" w:eastAsia="Arial" w:hAnsi="Arial"/>
          <w:sz w:val="18"/>
          <w:szCs w:val="18"/>
          <w:i w:val="1"/>
          <w:iCs w:val="1"/>
          <w:color w:val="auto"/>
        </w:rPr>
        <w:t>Loans and Debt Securities Acquired with Deteriorated Credit Quality</w:t>
      </w:r>
      <w:r>
        <w:rPr>
          <w:rFonts w:ascii="Arial" w:cs="Arial" w:eastAsia="Arial" w:hAnsi="Arial"/>
          <w:sz w:val="18"/>
          <w:szCs w:val="18"/>
          <w:color w:val="auto"/>
        </w:rPr>
        <w:t>. These purchased credit impaired (“PCI”) loans are recorded at their estimated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at date of purchase. After acquisition, further losses evidenced by decreases in expected cash flows are recognized by an increase in the allowance for loan losses.</w:t>
      </w:r>
    </w:p>
    <w:p>
      <w:pPr>
        <w:spacing w:after="0" w:line="187"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PCI loans are aggregated into pools of loans based on common risk characteristics such as the type of loan, payment status, or collateral type. United estimates the amount and timing of expected cash flows for each purchased loan pool and the expected cash flows in excess of the amount paid are recorded as interest income over the remaining life of the pool (accretable yield). The excess of the pool’s contractual principal and interest over expected cash flows is not recorded (nonaccretable difference).</w:t>
      </w:r>
    </w:p>
    <w:p>
      <w:pPr>
        <w:spacing w:after="0" w:line="186"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Over the life of the loan pool, expected cash flows continue to be estimated. If the present value of expected cash flows is less than the carrying amount, a loss is recorded. If the present value of expected cash flows is greater than the carrying amount, it is recognized as part of future interest revenue.</w:t>
      </w:r>
    </w:p>
    <w:p>
      <w:pPr>
        <w:spacing w:after="0" w:line="119"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Nonaccrual Loans: </w:t>
      </w:r>
      <w:r>
        <w:rPr>
          <w:rFonts w:ascii="Arial" w:cs="Arial" w:eastAsia="Arial" w:hAnsi="Arial"/>
          <w:sz w:val="17"/>
          <w:szCs w:val="17"/>
          <w:color w:val="auto"/>
        </w:rPr>
        <w:t>The accrual of interest is discontinued when a loan becomes 90 days past due and is not well collateralized and in the process of</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collection, or when management believes, after considering economic and business conditions and collection efforts, that the principal or interest will not be collectible in the normal course of business. Past due status is based on contractual terms of the loan. When a loan is placed on nonaccrual status, previously accrued and uncollected interest is charged against interest revenue on loans. Interest payments are applied to reduce the principal balance on nonaccrual loans. Loans are returned to accrual status when all the principal and interest amounts contractually due are brought current, there is a sustained period of repayment performance and future payments are reasonably assured. Nonaccrual loans include smaller balance homogeneous loans that are collectively evaluated for impairment and individually classified impaired loans. Contractually delinquent PCI loans are not classified as nonaccrual as long as the related discount continues to be accreted.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6860" w:hanging="332"/>
        <w:spacing w:after="0" w:line="501" w:lineRule="auto"/>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Loans, continued</w:t>
      </w: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Impaired Loans: </w:t>
      </w:r>
      <w:r>
        <w:rPr>
          <w:rFonts w:ascii="Arial" w:cs="Arial" w:eastAsia="Arial" w:hAnsi="Arial"/>
          <w:sz w:val="17"/>
          <w:szCs w:val="17"/>
          <w:color w:val="auto"/>
        </w:rPr>
        <w:t>With the exception of PCI loans, a loan is considered impaired when, based on current events and circumstances, it is probable that all</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due, according to the contractual terms of the loan, will not be collected. Individually impaired loans are measured based on the present value of expected future cash flows, discounted at the loan’s effective interest rate, at the loan’s observable market price, or the fair value of the collateral if the loan is collateral dependent. Interest revenue on impaired loans is discontinued when the loans meet the criteria for nonaccrual status. Factors considered by management in determining impairment include payment status, collateral value, and the probability of collecting scheduled principal and interest payments when due. Loans that experience insignificant payment delays and payment shortfalls generally are not considered impaired. Management determines the significance of payment delays and payment shortfalls on a case-by-case basis, taking into consideration all of the circumstances surrounding the loan and borrower, including the length of the delay, the reasons for the delay, the borrower’s prior payment record, and the amount of the shortfall in relation to the principal and interest owed.</w:t>
      </w:r>
    </w:p>
    <w:p>
      <w:pPr>
        <w:spacing w:after="0" w:line="178"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PCI loans are considered to be impaired when it is probable that United will be unable to collect all the cash flows expected at acquisition, plus additional cash flows expected to be collected arising from changes in estimates after acquisition. Loans that are accounted for in pools are evaluated collectively for impairment on a pool by pool basis based on expected pool cash flows. Discounts continue to be accreted as long as there are expected future cash flows in excess of the current carrying amount of the specifically-reviewed loan or pool.</w:t>
      </w:r>
    </w:p>
    <w:p>
      <w:pPr>
        <w:spacing w:after="0" w:line="182" w:lineRule="exact"/>
        <w:rPr>
          <w:rFonts w:ascii="Arial" w:cs="Arial" w:eastAsia="Arial" w:hAnsi="Arial"/>
          <w:sz w:val="18"/>
          <w:szCs w:val="18"/>
          <w:b w:val="1"/>
          <w:bCs w:val="1"/>
          <w:color w:val="auto"/>
        </w:rPr>
      </w:pPr>
    </w:p>
    <w:p>
      <w:pPr>
        <w:jc w:val="both"/>
        <w:ind w:left="3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Most of United’s business activity is with customers located within the markets where it has banking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United’s exposure to credit risk is significantly affected by changes in the economy within its markets. More than 77% of United’s loan portfolio is secured by real estate and is therefore susceptible to changes in real estate valuations.</w:t>
      </w:r>
    </w:p>
    <w:p>
      <w:pPr>
        <w:spacing w:after="0" w:line="17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Credit Losses</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allowance for credit losses includes the allowance for loan losses and the allowance for unfunded commitments included in other liabilities. Increases to the allowance for loan losses and allowance for unfunded commitments are established through a provision for credit losses charged to income. Loans are charged against the allowance for loan losses when available information confirms that the collectability of the principal is unlikely. The allowance for loan losses represents an amount, which, in management’s judgment, is adequate to absorb probable losses on existing loans as of the date of the balance sheet. The allowance for unfunded commitments represents expected losses on unfunded commitments and is reported in the consolidated balance sheet in other liabilities.</w:t>
      </w:r>
    </w:p>
    <w:p>
      <w:pPr>
        <w:spacing w:after="0" w:line="193" w:lineRule="exact"/>
        <w:rPr>
          <w:rFonts w:ascii="Arial" w:cs="Arial" w:eastAsia="Arial" w:hAnsi="Arial"/>
          <w:sz w:val="18"/>
          <w:szCs w:val="18"/>
          <w:b w:val="1"/>
          <w:bCs w:val="1"/>
          <w:color w:val="auto"/>
        </w:rPr>
      </w:pP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allowance for loan losses is composed of general reserves, specific reserves, and PCI reserves. General reserves are determined by applying loss percentages to the individual loan categories that are based on actual historical loss experience. United uses an eight-quarter weighted average annualized historical loss rate for each major loan category multiplied by the estimated loss emergence period for each loan type. Additionally, the general economic and business conditions affecting key lending areas, credit quality trends, collateral values, loan volumes and concentrations, seasoning of the loan portfolio, the findings of internal and external credit reviews and results from external bank regulatory examinations are considered in this evaluation. The need for specific reserves is evaluated on nonaccrual loan relationships greater than $500,000, accruing relationships rated substandard that are greater than $2 million and all troubled debt restructurings (“TDRs”). The specific reserves are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w:t>
      </w:r>
    </w:p>
    <w:p>
      <w:pPr>
        <w:spacing w:after="0" w:line="166"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PCI loans, a valuation allowance is established when it is probable that the Company will be unable to collect all the cash flows expected at acquisition plus additional cash flows expected to be collected arising from changes in estimate after acquisition.</w:t>
      </w:r>
    </w:p>
    <w:p>
      <w:pPr>
        <w:spacing w:after="0" w:line="170"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allocation of the allowance for loan losses is based on historical data, subjective judgment and estimates and, therefore, is not necessarily indicative of the specific amounts or loan categories in which charge-offs may ultimately occur.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225" w:lineRule="exact"/>
        <w:rPr>
          <w:rFonts w:ascii="Arial" w:cs="Arial" w:eastAsia="Arial" w:hAnsi="Arial"/>
          <w:sz w:val="18"/>
          <w:szCs w:val="18"/>
          <w:b w:val="1"/>
          <w:bCs w:val="1"/>
          <w:color w:val="auto"/>
        </w:rPr>
      </w:pPr>
    </w:p>
    <w:p>
      <w:pPr>
        <w:ind w:left="340"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Allowance for Credit Losses, 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determining general reserves, United segments the loan portfolio into broad categories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risk elements. Those categories and their specific risks are described below.</w:t>
      </w:r>
    </w:p>
    <w:p>
      <w:pPr>
        <w:spacing w:after="0" w:line="161" w:lineRule="exact"/>
        <w:rPr>
          <w:rFonts w:ascii="Arial" w:cs="Arial" w:eastAsia="Arial" w:hAnsi="Arial"/>
          <w:sz w:val="18"/>
          <w:szCs w:val="18"/>
          <w:b w:val="1"/>
          <w:bCs w:val="1"/>
          <w:color w:val="auto"/>
        </w:rPr>
      </w:pPr>
    </w:p>
    <w:p>
      <w:pPr>
        <w:ind w:left="340"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Owner occupied commercial real estate – </w:t>
      </w:r>
      <w:r>
        <w:rPr>
          <w:rFonts w:ascii="Arial" w:cs="Arial" w:eastAsia="Arial" w:hAnsi="Arial"/>
          <w:sz w:val="18"/>
          <w:szCs w:val="18"/>
          <w:color w:val="auto"/>
        </w:rPr>
        <w:t>Loans in this category are susceptible to declined in occupancy rates, business failure and general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are common risks for this segment of the loan portfolio.</w:t>
      </w:r>
    </w:p>
    <w:p>
      <w:pPr>
        <w:spacing w:after="0" w:line="161"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producing commercial real estate – </w:t>
      </w:r>
      <w:r>
        <w:rPr>
          <w:rFonts w:ascii="Arial" w:cs="Arial" w:eastAsia="Arial" w:hAnsi="Arial"/>
          <w:sz w:val="18"/>
          <w:szCs w:val="18"/>
          <w:color w:val="auto"/>
        </w:rPr>
        <w:t>Common risks for this loan category are declines in general economic conditions, declines in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value and lack of suitable alternative use for the property.</w:t>
      </w:r>
    </w:p>
    <w:p>
      <w:pPr>
        <w:spacing w:after="0" w:line="161" w:lineRule="exact"/>
        <w:rPr>
          <w:rFonts w:ascii="Arial" w:cs="Arial" w:eastAsia="Arial" w:hAnsi="Arial"/>
          <w:sz w:val="18"/>
          <w:szCs w:val="18"/>
          <w:b w:val="1"/>
          <w:bCs w:val="1"/>
          <w:color w:val="auto"/>
        </w:rPr>
      </w:pPr>
    </w:p>
    <w:p>
      <w:pPr>
        <w:jc w:val="both"/>
        <w:ind w:left="340" w:right="2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Commercial &amp; industrial </w:t>
      </w:r>
      <w:r>
        <w:rPr>
          <w:rFonts w:ascii="Arial" w:cs="Arial" w:eastAsia="Arial" w:hAnsi="Arial"/>
          <w:sz w:val="17"/>
          <w:szCs w:val="17"/>
          <w:color w:val="auto"/>
        </w:rPr>
        <w:t>– Risks to this loan category include industry concentrations and the inability to monitor the condition of the collateral which</w:t>
      </w:r>
      <w:r>
        <w:rPr>
          <w:rFonts w:ascii="Arial" w:cs="Arial" w:eastAsia="Arial" w:hAnsi="Arial"/>
          <w:sz w:val="17"/>
          <w:szCs w:val="17"/>
          <w:b w:val="1"/>
          <w:bCs w:val="1"/>
          <w:color w:val="auto"/>
        </w:rPr>
        <w:t xml:space="preserve"> </w:t>
      </w:r>
      <w:r>
        <w:rPr>
          <w:rFonts w:ascii="Arial" w:cs="Arial" w:eastAsia="Arial" w:hAnsi="Arial"/>
          <w:sz w:val="17"/>
          <w:szCs w:val="17"/>
          <w:color w:val="auto"/>
        </w:rPr>
        <w:t>often consists of inventory, accounts receivable and other non real estate assets. Equipment and inventory obsolescence can also pose a risk. Declines in general economic conditions and other events can cause cash flows to fall to levels insufficient to service debt.</w:t>
      </w:r>
    </w:p>
    <w:p>
      <w:pPr>
        <w:spacing w:after="0" w:line="158"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construction </w:t>
      </w:r>
      <w:r>
        <w:rPr>
          <w:rFonts w:ascii="Arial" w:cs="Arial" w:eastAsia="Arial" w:hAnsi="Arial"/>
          <w:sz w:val="18"/>
          <w:szCs w:val="18"/>
          <w:color w:val="auto"/>
        </w:rPr>
        <w:t>– Risks common to commercial construction loans are cost overruns, changes in market demand for property, inadequate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financing arrangements and declines in real estate values.</w:t>
      </w:r>
    </w:p>
    <w:p>
      <w:pPr>
        <w:spacing w:after="0" w:line="161"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Residential mortgage </w:t>
      </w:r>
      <w:r>
        <w:rPr>
          <w:rFonts w:ascii="Arial" w:cs="Arial" w:eastAsia="Arial" w:hAnsi="Arial"/>
          <w:sz w:val="18"/>
          <w:szCs w:val="18"/>
          <w:color w:val="auto"/>
        </w:rPr>
        <w:t>– Residential mortgage loans are susceptible to weakening general economic conditions and increases in unemployment rates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declining real estate values.</w:t>
      </w:r>
    </w:p>
    <w:p>
      <w:pPr>
        <w:spacing w:after="0" w:line="161"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Home equity lines of credit – </w:t>
      </w:r>
      <w:r>
        <w:rPr>
          <w:rFonts w:ascii="Arial" w:cs="Arial" w:eastAsia="Arial" w:hAnsi="Arial"/>
          <w:sz w:val="18"/>
          <w:szCs w:val="18"/>
          <w:color w:val="auto"/>
        </w:rPr>
        <w:t>Risks common to home equity lines of credit are general economic conditions and declining real estate values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reduce or eliminate the borrower’s home equity.</w:t>
      </w:r>
    </w:p>
    <w:p>
      <w:pPr>
        <w:spacing w:after="0" w:line="161" w:lineRule="exact"/>
        <w:rPr>
          <w:rFonts w:ascii="Arial" w:cs="Arial" w:eastAsia="Arial" w:hAnsi="Arial"/>
          <w:sz w:val="18"/>
          <w:szCs w:val="18"/>
          <w:b w:val="1"/>
          <w:bCs w:val="1"/>
          <w:color w:val="auto"/>
        </w:rPr>
      </w:pPr>
    </w:p>
    <w:p>
      <w:pPr>
        <w:ind w:left="340" w:right="20"/>
        <w:spacing w:after="0" w:line="313"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Residential construction </w:t>
      </w:r>
      <w:r>
        <w:rPr>
          <w:rFonts w:ascii="Arial" w:cs="Arial" w:eastAsia="Arial" w:hAnsi="Arial"/>
          <w:sz w:val="17"/>
          <w:szCs w:val="17"/>
          <w:color w:val="auto"/>
        </w:rPr>
        <w:t>– Residential construction loans are susceptible to the same risks as commercial construction loans. Changes in market demand</w:t>
      </w:r>
      <w:r>
        <w:rPr>
          <w:rFonts w:ascii="Arial" w:cs="Arial" w:eastAsia="Arial" w:hAnsi="Arial"/>
          <w:sz w:val="17"/>
          <w:szCs w:val="17"/>
          <w:b w:val="1"/>
          <w:bCs w:val="1"/>
          <w:color w:val="auto"/>
        </w:rPr>
        <w:t xml:space="preserve"> </w:t>
      </w:r>
      <w:r>
        <w:rPr>
          <w:rFonts w:ascii="Arial" w:cs="Arial" w:eastAsia="Arial" w:hAnsi="Arial"/>
          <w:sz w:val="17"/>
          <w:szCs w:val="17"/>
          <w:color w:val="auto"/>
        </w:rPr>
        <w:t>for property leads to longer marketing times resulting in higher carrying costs, declining values, and higher interest rates.</w:t>
      </w:r>
    </w:p>
    <w:p>
      <w:pPr>
        <w:spacing w:after="0" w:line="138"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Consumer installment </w:t>
      </w:r>
      <w:r>
        <w:rPr>
          <w:rFonts w:ascii="Arial" w:cs="Arial" w:eastAsia="Arial" w:hAnsi="Arial"/>
          <w:sz w:val="18"/>
          <w:szCs w:val="18"/>
          <w:color w:val="auto"/>
        </w:rPr>
        <w:t>– Risks common to consumer installment loans include regulatory risks, unemployment and changes in local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as well as the inability to monitor collateral consisting of personal property.</w:t>
      </w:r>
    </w:p>
    <w:p>
      <w:pPr>
        <w:spacing w:after="0" w:line="161" w:lineRule="exact"/>
        <w:rPr>
          <w:rFonts w:ascii="Arial" w:cs="Arial" w:eastAsia="Arial" w:hAnsi="Arial"/>
          <w:sz w:val="18"/>
          <w:szCs w:val="18"/>
          <w:b w:val="1"/>
          <w:bCs w:val="1"/>
          <w:color w:val="auto"/>
        </w:rPr>
      </w:pPr>
    </w:p>
    <w:p>
      <w:pPr>
        <w:ind w:left="3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Indirect auto - </w:t>
      </w:r>
      <w:r>
        <w:rPr>
          <w:rFonts w:ascii="Arial" w:cs="Arial" w:eastAsia="Arial" w:hAnsi="Arial"/>
          <w:sz w:val="18"/>
          <w:szCs w:val="18"/>
          <w:color w:val="auto"/>
        </w:rPr>
        <w:t>Risks common to indirect auto loans include unemployment and changes in local economic conditions as well as the inability to monitor</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w:t>
      </w:r>
    </w:p>
    <w:p>
      <w:pPr>
        <w:spacing w:after="0" w:line="16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Management outsources a significant portion of its loan review to ensure objectivity in the loan review process and to challenge and corroborate the loan grading system. The loan review function provides additional analysis used in determining the adequacy of the allowance for loan losses. To supplement the outsourced loan review, management also has an internal loan review department that is independent of the lending function.</w:t>
      </w:r>
    </w:p>
    <w:p>
      <w:pPr>
        <w:spacing w:after="0" w:line="165"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believes the allowance for loan losses is appropriate at December 31, 2015. While management uses available information to recognize losses on loans, future additions to the allowance may be necessary based on changes in economic conditions. In addition, various regulatory agencies, as an integral part of their examination process, periodically review United’s allowance for loan losses.</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Premises and Equipment</w:t>
      </w:r>
    </w:p>
    <w:p>
      <w:pPr>
        <w:spacing w:after="0" w:line="229"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Premises and equipment are stated at cost less accumulated depreciation. Depreciation is computed primarily using the straight-line method over the estimated useful lives of the related assets. Costs incurred for maintenance and repairs are expensed as incurred. The range of estimated useful lives for buildings and improvements is 10 to 40 years, for land improvements, 10 years, and for furniture and equipment, 3 to 10 years. United periodically reviews the carrying value of premises and equipment for impairment whenever events or circumstances indicate that the carrying amount of such assets may not be fully recoverable.</w:t>
      </w:r>
    </w:p>
    <w:p>
      <w:pPr>
        <w:spacing w:after="0" w:line="18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Foreclosed Properties</w:t>
      </w:r>
    </w:p>
    <w:p>
      <w:pPr>
        <w:spacing w:after="0" w:line="229" w:lineRule="exact"/>
        <w:rPr>
          <w:rFonts w:ascii="Arial" w:cs="Arial" w:eastAsia="Arial" w:hAnsi="Arial"/>
          <w:sz w:val="18"/>
          <w:szCs w:val="18"/>
          <w:b w:val="1"/>
          <w:bCs w:val="1"/>
          <w:color w:val="auto"/>
        </w:rPr>
      </w:pPr>
    </w:p>
    <w:p>
      <w:pPr>
        <w:jc w:val="both"/>
        <w:ind w:left="3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 xml:space="preserve">Foreclosed property is initially recorded at fair value, less cost to sell. If the fair value, less cost to sell at the time of foreclosure is less than the loan balance, the deficiency is recorded as a loan charge-off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Accounting Standards Codification Topic 360, Subtopic 20, </w:t>
      </w:r>
      <w:r>
        <w:rPr>
          <w:rFonts w:ascii="Arial" w:cs="Arial" w:eastAsia="Arial" w:hAnsi="Arial"/>
          <w:sz w:val="16"/>
          <w:szCs w:val="16"/>
          <w:i w:val="1"/>
          <w:iCs w:val="1"/>
          <w:color w:val="auto"/>
        </w:rPr>
        <w:t>Real Estate Sales</w:t>
      </w:r>
      <w:r>
        <w:rPr>
          <w:rFonts w:ascii="Arial" w:cs="Arial" w:eastAsia="Arial" w:hAnsi="Arial"/>
          <w:sz w:val="16"/>
          <w:szCs w:val="16"/>
          <w:color w:val="auto"/>
        </w:rPr>
        <w:t xml:space="preserve"> (“ASC 360-20”).</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6860" w:hanging="332"/>
        <w:spacing w:after="0" w:line="503" w:lineRule="auto"/>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Goodwill and Other Intangible Assets</w:t>
      </w: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Goodwill is an asset representing the future economic benefits from other assets acquired that are not individually identified and separately recognized. Goodwill is measured as the excess of the consideration transferred, net of the fair value of identifiable assets acquired and liabilities assumed at the acquisition date. Goodwill is not amortized, but instead is tested for impairment annually or more frequently if events or circumstances exist that indicate a goodwill impairment test should be performed.</w:t>
      </w:r>
    </w:p>
    <w:p>
      <w:pPr>
        <w:spacing w:after="0" w:line="186"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Other intangible assets, which are initially recorded at fair value, consist of core deposit intangible assets resulting from United’s acquisitions. Core deposit intangible assets are amortized on a sum-of-the-years-digits basis over their estimated useful lives. United evaluates its other intangible assets for impairment whenever events or changes in circumstances indicate the carrying amount of the asset may not be recoverable</w:t>
      </w:r>
    </w:p>
    <w:p>
      <w:pPr>
        <w:spacing w:after="0" w:line="16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of Financial Assets</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Transfers of financial assets are accounted for as sales when control over the assets has been relinquished. Control over transferred assets is deemed to be surrendered when the assets have been isolated from United, the transferee obtains the right, free of conditions that constrain it from taking advantage of that right, to pledge or exchange the transferred assets and United does not maintain effective control over the transferred assets through an agreement to repurchase them before maturity.</w:t>
      </w:r>
    </w:p>
    <w:p>
      <w:pPr>
        <w:spacing w:after="0" w:line="18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Servicing Rights</w:t>
      </w:r>
    </w:p>
    <w:p>
      <w:pPr>
        <w:spacing w:after="0" w:line="229" w:lineRule="exact"/>
        <w:rPr>
          <w:rFonts w:ascii="Arial" w:cs="Arial" w:eastAsia="Arial" w:hAnsi="Arial"/>
          <w:sz w:val="18"/>
          <w:szCs w:val="18"/>
          <w:b w:val="1"/>
          <w:bCs w:val="1"/>
          <w:color w:val="auto"/>
        </w:rPr>
      </w:pPr>
    </w:p>
    <w:p>
      <w:pPr>
        <w:jc w:val="both"/>
        <w:ind w:left="340" w:firstLine="16"/>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United records a separate servicing asset for Small Business Administration (“SBA”) loans, United States Department of Agriculture (“USDA”) loans, and residential mortgage loans when the loan is sold but servicing is retained. This asset represents the right to service the loans and receive a fee in compensation. Servicing assets are initially recorded at their fair value as a component of the sale proceeds. The fair value of the servicing assets is based on an analysis of discounted cash flows that incorporates estimates of (1) market servicing costs, (2) market-based prepayment rates, and (3) market profit margins. Servicing assets are included in other assets.</w:t>
      </w:r>
    </w:p>
    <w:p>
      <w:pPr>
        <w:spacing w:after="0" w:line="188"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 has elected to subsequently measure the servicing assets for government guaranteed loans at fair value. There is no aggregation of the loans into pools for the valuation of the servicing asset, but rather the servicing asset value is measured at a loan level.</w:t>
      </w:r>
    </w:p>
    <w:p>
      <w:pPr>
        <w:spacing w:after="0" w:line="170"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Residential mortgage servicing rights are subsequently measured using the amortization method which requires the servicing rights to be amortized to expense over the estimated life of the servicing right. These servicing rights are carried at the lower of amortized cost or estimated fair value. Impairment valuations are based on projections using a discounted cash flow method that includes assumptions regarding prepayments, interest rates, servicing costs and other factors. Impairment is measured on a disaggregated basis for each stratum of the servicing rights, which is segregated based on predominant risk characteristics including interest rate and loan type. Subsequent increases in value are recognized to the extent of previously recorded impairment for each stratum.</w:t>
      </w:r>
    </w:p>
    <w:p>
      <w:pPr>
        <w:spacing w:after="0" w:line="193"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rate of prepayment of loans serviced is the most significant estimate involved in the measurement process. Estimates of prepayment rates are based on market expectations of future prepayment rates, industry trends, and other considerations. Actual prepayment rates will differ from those projected by management due to changes in a variety of economic factors, including prevailing interest rates and the availability of alternative financing sources to borrowers. If actual prepayments of the loans being serviced were to occur more quickly than projected, the carrying value of servicing assets might have to be written down through a charge to earnings in the current period. If actual prepayments of the loans being serviced were to occur more slowly than had been projected, the carrying value of servicing assets could increase, and servicing income would exceed previously projected amounts.</w:t>
      </w:r>
    </w:p>
    <w:p>
      <w:pPr>
        <w:spacing w:after="0" w:line="160"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Owned Life Insurance</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United has purchased life insurance policies on certain key executives and members of management. United has also received life insurance policies on members of acquired bank management teams through acquisitions of other banks. Bank owned life insurance is recorded at the amount that can be realized under the insurance contract at the balance sheet date, which is the cash surrender value adjusted for other changes or other amounts due that are probable at settlement.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both"/>
        <w:ind w:left="340" w:right="6840" w:hanging="332"/>
        <w:spacing w:after="0" w:line="566" w:lineRule="auto"/>
        <w:tabs>
          <w:tab w:leader="none" w:pos="34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u w:val="single" w:color="auto"/>
          <w:color w:val="auto"/>
        </w:rPr>
        <w:t>Loan Commitments and Related Financial Instruments</w:t>
      </w:r>
    </w:p>
    <w:p>
      <w:pPr>
        <w:jc w:val="both"/>
        <w:ind w:left="3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177"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Income Taxes</w:t>
      </w:r>
    </w:p>
    <w:p>
      <w:pPr>
        <w:spacing w:after="0" w:line="229" w:lineRule="exact"/>
        <w:rPr>
          <w:rFonts w:ascii="Arial" w:cs="Arial" w:eastAsia="Arial" w:hAnsi="Arial"/>
          <w:sz w:val="16"/>
          <w:szCs w:val="16"/>
          <w:b w:val="1"/>
          <w:bCs w:val="1"/>
          <w:color w:val="auto"/>
        </w:rPr>
      </w:pPr>
    </w:p>
    <w:p>
      <w:pPr>
        <w:jc w:val="both"/>
        <w:ind w:left="3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Deferred tax assets and liabilities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Deferred tax assets and liabilities are measured using enacted tax rates expected to apply to taxable income in the years in which the assets and liabilities are expected to be recovered or settled. The effect of a change in tax rates on deferred tax assets and liabilities is recognized in income taxes during the period that includes the enactment date.</w:t>
      </w:r>
    </w:p>
    <w:p>
      <w:pPr>
        <w:spacing w:after="0" w:line="188" w:lineRule="exact"/>
        <w:rPr>
          <w:rFonts w:ascii="Arial" w:cs="Arial" w:eastAsia="Arial" w:hAnsi="Arial"/>
          <w:sz w:val="16"/>
          <w:szCs w:val="16"/>
          <w:b w:val="1"/>
          <w:bCs w:val="1"/>
          <w:color w:val="auto"/>
        </w:rPr>
      </w:pPr>
    </w:p>
    <w:p>
      <w:pPr>
        <w:jc w:val="both"/>
        <w:ind w:left="3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In the event the future tax consequences of differences between the financial reporting bases and the tax bases of United’s assets and liabilities results in deferred tax assets, an evaluation of the probability of being able to realize the future benefits indicated by such asset is required. A valuation allowance is provided for the portion of the deferred tax asset when it is more likely than not that some or all of the deferred tax asset will not be realized. In assessing the realizability of the deferred tax assets, management considers the scheduled reversals of deferred tax liabilities, projected future taxable earnings and prudent and feasible tax planning strategies. Management weighs both the positive and negative evidence, giving more weight to evidence that can be objectively verified.</w:t>
      </w:r>
    </w:p>
    <w:p>
      <w:pPr>
        <w:spacing w:after="0" w:line="193"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7"/>
          <w:szCs w:val="17"/>
          <w:color w:val="auto"/>
        </w:rPr>
        <w:t>The income tax benefit or expense is the total of the current year income tax due or refundable and the change in deferred tax assets and liabilities.</w:t>
      </w:r>
    </w:p>
    <w:p>
      <w:pPr>
        <w:spacing w:after="0" w:line="236" w:lineRule="exact"/>
        <w:rPr>
          <w:rFonts w:ascii="Arial" w:cs="Arial" w:eastAsia="Arial" w:hAnsi="Arial"/>
          <w:sz w:val="16"/>
          <w:szCs w:val="16"/>
          <w:b w:val="1"/>
          <w:bCs w:val="1"/>
          <w:color w:val="auto"/>
        </w:rPr>
      </w:pPr>
    </w:p>
    <w:p>
      <w:pPr>
        <w:jc w:val="both"/>
        <w:ind w:left="3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181"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color w:val="auto"/>
        </w:rPr>
        <w:t>United recognizes interest and / or penalties related to income tax matters in income tax expense.</w:t>
      </w:r>
    </w:p>
    <w:p>
      <w:pPr>
        <w:spacing w:after="0" w:line="221"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29" w:lineRule="exact"/>
        <w:rPr>
          <w:rFonts w:ascii="Arial" w:cs="Arial" w:eastAsia="Arial" w:hAnsi="Arial"/>
          <w:sz w:val="16"/>
          <w:szCs w:val="16"/>
          <w:b w:val="1"/>
          <w:bCs w:val="1"/>
          <w:color w:val="auto"/>
        </w:rPr>
      </w:pPr>
    </w:p>
    <w:p>
      <w:pPr>
        <w:jc w:val="both"/>
        <w:ind w:left="340"/>
        <w:spacing w:after="0" w:line="302" w:lineRule="auto"/>
        <w:rPr>
          <w:rFonts w:ascii="Arial" w:cs="Arial" w:eastAsia="Arial" w:hAnsi="Arial"/>
          <w:sz w:val="16"/>
          <w:szCs w:val="16"/>
          <w:b w:val="1"/>
          <w:bCs w:val="1"/>
          <w:color w:val="auto"/>
        </w:rPr>
      </w:pPr>
      <w:r>
        <w:rPr>
          <w:rFonts w:ascii="Arial" w:cs="Arial" w:eastAsia="Arial" w:hAnsi="Arial"/>
          <w:sz w:val="16"/>
          <w:szCs w:val="16"/>
          <w:color w:val="auto"/>
        </w:rPr>
        <w:t>United’s interest rate risk management strategy incorporates the use of derivative instruments to minimize fluctuations in net income that are caused by interest rate volatility. United’s goal is to manage interest rate sensitivity by modifying the repricing or maturity characteristics of certain balance sheet assets and liabilities so that net interest revenue is not, on a material basis, adversely affected by movements in interest rates. United views this strategy as a prudent management of interest rate risk, such that net income is not exposed to undue risk presented by changes in interest rates.</w:t>
      </w:r>
    </w:p>
    <w:p>
      <w:pPr>
        <w:spacing w:after="0" w:line="154" w:lineRule="exact"/>
        <w:rPr>
          <w:rFonts w:ascii="Arial" w:cs="Arial" w:eastAsia="Arial" w:hAnsi="Arial"/>
          <w:sz w:val="16"/>
          <w:szCs w:val="16"/>
          <w:b w:val="1"/>
          <w:bCs w:val="1"/>
          <w:color w:val="auto"/>
        </w:rPr>
      </w:pPr>
    </w:p>
    <w:p>
      <w:pPr>
        <w:jc w:val="both"/>
        <w:ind w:left="34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In carrying out this part of its interest rate risk management strategy, United uses interest rate derivative contracts. The primary type of derivative contract used by United to manage interest rate risk is interest rate swaps. Interest rate swaps generally involve the exchange of fixed- and variable-rate interest payments between two parties, based on a common notional principal amount and maturity date.</w:t>
      </w:r>
    </w:p>
    <w:p>
      <w:pPr>
        <w:spacing w:after="0" w:line="181" w:lineRule="exact"/>
        <w:rPr>
          <w:rFonts w:ascii="Arial" w:cs="Arial" w:eastAsia="Arial" w:hAnsi="Arial"/>
          <w:sz w:val="16"/>
          <w:szCs w:val="16"/>
          <w:b w:val="1"/>
          <w:bCs w:val="1"/>
          <w:color w:val="auto"/>
        </w:rPr>
      </w:pPr>
    </w:p>
    <w:p>
      <w:pPr>
        <w:jc w:val="both"/>
        <w:ind w:left="34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also enters into forward sale agreements to mitigate risk and to protect the expected gain on the eventual loan sale. Most of this activity is on a matched basis, with a loan sale commitment hedging a specific loan. The commitments to originate residential mortgage loans and forward loan sales commitments are freestanding derivative instruments.</w:t>
      </w:r>
    </w:p>
    <w:p>
      <w:pPr>
        <w:spacing w:after="0" w:line="172" w:lineRule="exact"/>
        <w:rPr>
          <w:rFonts w:ascii="Arial" w:cs="Arial" w:eastAsia="Arial" w:hAnsi="Arial"/>
          <w:sz w:val="16"/>
          <w:szCs w:val="16"/>
          <w:b w:val="1"/>
          <w:bCs w:val="1"/>
          <w:color w:val="auto"/>
        </w:rPr>
      </w:pPr>
    </w:p>
    <w:p>
      <w:pPr>
        <w:jc w:val="both"/>
        <w:ind w:left="3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United classifies its derivative financial instruments as either (1) a hedge of an exposure to changes in the fair value of a recorded asset or liability (“fair value hedge”), (2) a hedge of an exposure to changes in the cash flows of a recognized asset, liability or forecasted transaction (“cash flow hedge”), or (3) derivatives not designated as accounting hedges. Changes in the fair value of derivatives not designated as hedges are recognized in current period earnings. United has master netting agreements with the derivatives dealers with which it does business, but reflects gross assets and liabilities on the consolidated balance sheet.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6660" w:hanging="332"/>
        <w:spacing w:after="0" w:line="566" w:lineRule="auto"/>
        <w:tabs>
          <w:tab w:leader="none" w:pos="34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u w:val="single" w:color="auto"/>
          <w:color w:val="auto"/>
        </w:rPr>
        <w:t>Derivative Instruments and Hedging Activities, continued</w:t>
      </w:r>
    </w:p>
    <w:p>
      <w:pPr>
        <w:jc w:val="both"/>
        <w:ind w:left="34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United uses the long-haul method to assess hedge effectiveness. United documents, both at inception and over the life of the hedge, at least quarterly, its analysis of actual and expected hedge effectiveness. This analysis includes techniques such as regression analysis and hypothetical derivatives to demonstrate that the hedge has been, and is expected to be, highly effective in offsetting corresponding changes in the fair value or cash flows of the hedged item. For a qualifying fair value hedge, changes in the value of derivatives that have been highly effective as hedges are recognized in current period earnings along with the corresponding changes in the fair value of the designated hedged item attributable to the risk being hedged. For a qualifying cash flow hedge, the portion of changes in the fair value of the derivatives that have been highly effective are recognized in other comprehensive income until the related cash flows from the hedged item are recognized in earnings.</w:t>
      </w:r>
    </w:p>
    <w:p>
      <w:pPr>
        <w:spacing w:after="0" w:line="177" w:lineRule="exact"/>
        <w:rPr>
          <w:rFonts w:ascii="Arial" w:cs="Arial" w:eastAsia="Arial" w:hAnsi="Arial"/>
          <w:sz w:val="16"/>
          <w:szCs w:val="16"/>
          <w:b w:val="1"/>
          <w:bCs w:val="1"/>
          <w:color w:val="auto"/>
        </w:rPr>
      </w:pPr>
    </w:p>
    <w:p>
      <w:pPr>
        <w:jc w:val="both"/>
        <w:ind w:left="3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For fair value hedges and cash flow hedges, ineffectiveness is recognized in the same income statement line as interest accruals on the hedged item to the extent that changes in the value of the derivative instruments do not perfectly offset changes in the value of the hedged items. If the hedge ceases to be highly effective, United discontinues hedge accounting and recognizes the changes in fair value in current period earnings. If a derivative that qualifies as a fair value or cash flow hedge is terminated or the designation removed, the realized or then unrealized gain or loss is recognized into income over the life of the hedged item (fair value hedge) or over the time when the hedged item was forecasted to impact earnings (cash flow hedge). Immediate recognition in earnings is required upon sale or extinguishment of the hedged item (fair value hedge) or if it is probable that the hedged cash flows will not occur (cash flow hedge).</w:t>
      </w:r>
    </w:p>
    <w:p>
      <w:pPr>
        <w:spacing w:after="0" w:line="189" w:lineRule="exact"/>
        <w:rPr>
          <w:rFonts w:ascii="Arial" w:cs="Arial" w:eastAsia="Arial" w:hAnsi="Arial"/>
          <w:sz w:val="16"/>
          <w:szCs w:val="16"/>
          <w:b w:val="1"/>
          <w:bCs w:val="1"/>
          <w:color w:val="auto"/>
        </w:rPr>
      </w:pPr>
    </w:p>
    <w:p>
      <w:pPr>
        <w:jc w:val="both"/>
        <w:ind w:left="3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By using derivative instruments, United is exposed to credit and market risk. If the counterparty fails to perform, credit risk is represented by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derivative instruments by entering into transactions with high-quality counterparties that are reviewed periodically by United. United also requires the counterparties to pledge securities as collateral to cover the net exposure.</w:t>
      </w:r>
    </w:p>
    <w:p>
      <w:pPr>
        <w:spacing w:after="0" w:line="193" w:lineRule="exact"/>
        <w:rPr>
          <w:rFonts w:ascii="Arial" w:cs="Arial" w:eastAsia="Arial" w:hAnsi="Arial"/>
          <w:sz w:val="16"/>
          <w:szCs w:val="16"/>
          <w:b w:val="1"/>
          <w:bCs w:val="1"/>
          <w:color w:val="auto"/>
        </w:rPr>
      </w:pPr>
    </w:p>
    <w:p>
      <w:pPr>
        <w:jc w:val="both"/>
        <w:ind w:left="3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United’s derivative activities are monitored by its Asset/Liability Management Committee (“ALCO”) as part of that committee’s oversight of United’s asset/liability and treasury functions. ALCO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186" w:lineRule="exact"/>
        <w:rPr>
          <w:rFonts w:ascii="Arial" w:cs="Arial" w:eastAsia="Arial" w:hAnsi="Arial"/>
          <w:sz w:val="16"/>
          <w:szCs w:val="16"/>
          <w:b w:val="1"/>
          <w:bCs w:val="1"/>
          <w:color w:val="auto"/>
        </w:rPr>
      </w:pPr>
    </w:p>
    <w:p>
      <w:pPr>
        <w:jc w:val="both"/>
        <w:ind w:left="34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United recognizes the fair value of derivatives as assets or liabilities in the financial statements. The accounting for the changes in the fair value of a derivative depends on the intended use of the derivative instrument at inception. The change in fair value of instruments used as fair value hedges is accounted for in the net income of the period simultaneous with accounting for the fair value change of the item being hedged. The change in fair value of the effective portion of cash flow hedges is accounted for in other comprehensive income rather than net income. Changes in fair value of derivative instruments that are not designated as a hedge are accounted for in the net income of the period of the change.</w:t>
      </w:r>
    </w:p>
    <w:p>
      <w:pPr>
        <w:spacing w:after="0" w:line="168"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Acquisition Activities</w:t>
      </w:r>
    </w:p>
    <w:p>
      <w:pPr>
        <w:spacing w:after="0" w:line="229" w:lineRule="exact"/>
        <w:rPr>
          <w:rFonts w:ascii="Arial" w:cs="Arial" w:eastAsia="Arial" w:hAnsi="Arial"/>
          <w:sz w:val="16"/>
          <w:szCs w:val="16"/>
          <w:b w:val="1"/>
          <w:bCs w:val="1"/>
          <w:color w:val="auto"/>
        </w:rPr>
      </w:pPr>
    </w:p>
    <w:p>
      <w:pPr>
        <w:jc w:val="both"/>
        <w:ind w:left="34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United accounts for business combinations under the acquisition method of accounting. Assets acquired and liabilities assumed are measured and recorded at fair value at the date of acquisition, including identifiable intangible assets. If the fair value of net assets purchased exceeds the fair value of consideration paid, a bargain purchase gain is recognized at the date of acquisition. Conversely, if the consideration paid exceeds the fair value of the net assets acquired, goodwill is recognized at the acquisition date. Fair values are subject to refinement for a period not to exceed one year after the closing date of an acquisition as information relative to closing date fair values becomes available.</w:t>
      </w:r>
    </w:p>
    <w:p>
      <w:pPr>
        <w:spacing w:after="0" w:line="172" w:lineRule="exact"/>
        <w:rPr>
          <w:rFonts w:ascii="Arial" w:cs="Arial" w:eastAsia="Arial" w:hAnsi="Arial"/>
          <w:sz w:val="16"/>
          <w:szCs w:val="16"/>
          <w:b w:val="1"/>
          <w:bCs w:val="1"/>
          <w:color w:val="auto"/>
        </w:rPr>
      </w:pPr>
    </w:p>
    <w:p>
      <w:pPr>
        <w:ind w:left="34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determination of the fair value of loans acquired takes into account credit quality deterioration and probability of loss; therefore, the related allowance for loan losses is not carried forward.</w:t>
      </w:r>
    </w:p>
    <w:p>
      <w:pPr>
        <w:spacing w:after="0" w:line="170" w:lineRule="exact"/>
        <w:rPr>
          <w:rFonts w:ascii="Arial" w:cs="Arial" w:eastAsia="Arial" w:hAnsi="Arial"/>
          <w:sz w:val="16"/>
          <w:szCs w:val="16"/>
          <w:b w:val="1"/>
          <w:bCs w:val="1"/>
          <w:color w:val="auto"/>
        </w:rPr>
      </w:pPr>
    </w:p>
    <w:p>
      <w:pPr>
        <w:jc w:val="both"/>
        <w:ind w:left="3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All identifiable intangible assets that are acquired in a business combination are recognized at fair value on the acquisition date. Identifiable intangible assets are recognized separately if they arise from contractual or other legal rights or if they are separable (i.e., capable of being sold, transferred, licensed, rented, or exchanged separately from the entity). Deposit liabilities and the related depositor relationship intangible assets may be exchanged in observable exchange transactions. As a result, the depositor relationship intangible asset is considered identifiable, because the separability criterion has been met.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6860" w:hanging="332"/>
        <w:spacing w:after="0" w:line="503" w:lineRule="auto"/>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Earnings Per Common Share</w:t>
      </w: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Basic earnings per common share is net income available to common shareholders divided by the weighted average number of shares of common stock outstanding during the period. All outstanding unvested share-based payment awards that contain rights to nonforfeitable dividends are considered participating securities for this calculation. Additionally, shares issuable to participants in United’s deferred compensation plan are considered to be participating securities for purposes of calculating basic earnings per share. Diluted earnings per common share includes the dilutive effect of additional potential shares of common stock issuable under stock options, warrants and securities convertible into common stock.</w:t>
      </w:r>
    </w:p>
    <w:p>
      <w:pPr>
        <w:spacing w:after="0" w:line="16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Loss Contingencies</w:t>
      </w:r>
    </w:p>
    <w:p>
      <w:pPr>
        <w:spacing w:after="0" w:line="22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are such matters that will have a material effect on the financial statements.</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Dividend Restrictions</w:t>
      </w:r>
    </w:p>
    <w:p>
      <w:pPr>
        <w:spacing w:after="0" w:line="22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Banking regulations require maintaining certain capital levels and may limit dividends paid by the Bank to United or by United to shareholders. Specifically, dividends paid by the Bank to United require pre-approval of the Georgia Department of Banking and Finance and the FDIC while the Bank has an accumulated deficit (negative retained earnings).</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229" w:lineRule="exact"/>
        <w:rPr>
          <w:rFonts w:ascii="Arial" w:cs="Arial" w:eastAsia="Arial" w:hAnsi="Arial"/>
          <w:sz w:val="18"/>
          <w:szCs w:val="18"/>
          <w:b w:val="1"/>
          <w:bCs w:val="1"/>
          <w:color w:val="auto"/>
        </w:rPr>
      </w:pPr>
    </w:p>
    <w:p>
      <w:pPr>
        <w:jc w:val="both"/>
        <w:ind w:lef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Fair values of financial instruments are estimated using relevant market information and other assumptions as more fully disclosed in Note 23.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4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 uses the fair value method of recognizing expense for stock-based compensation based on the fair value of option and restricted stock awards at the date of grant.</w:t>
      </w:r>
    </w:p>
    <w:p>
      <w:pPr>
        <w:spacing w:after="0" w:line="16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Reclassifications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Certain 2014 and 2013 amounts have been reclassified to conform to the 2015 presentation.</w:t>
      </w:r>
    </w:p>
    <w:p>
      <w:pPr>
        <w:spacing w:after="0" w:line="221" w:lineRule="exact"/>
        <w:rPr>
          <w:rFonts w:ascii="Arial" w:cs="Arial" w:eastAsia="Arial" w:hAnsi="Arial"/>
          <w:sz w:val="18"/>
          <w:szCs w:val="18"/>
          <w:b w:val="1"/>
          <w:bCs w:val="1"/>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w:t>
      </w:r>
    </w:p>
    <w:p>
      <w:pPr>
        <w:spacing w:after="0" w:line="229"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In February 2015, the Financial Accounting Standards Board (“FASB”) issued Accounting Standards Update (“ASU”) No. 2015-02,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w:t>
      </w:r>
      <w:r>
        <w:rPr>
          <w:rFonts w:ascii="Arial" w:cs="Arial" w:eastAsia="Arial" w:hAnsi="Arial"/>
          <w:sz w:val="17"/>
          <w:szCs w:val="17"/>
          <w:i w:val="1"/>
          <w:iCs w:val="1"/>
          <w:color w:val="auto"/>
        </w:rPr>
        <w:t>(Topic 810): Amendments to the Consolidation Analysis</w:t>
      </w:r>
      <w:r>
        <w:rPr>
          <w:rFonts w:ascii="Arial" w:cs="Arial" w:eastAsia="Arial" w:hAnsi="Arial"/>
          <w:sz w:val="17"/>
          <w:szCs w:val="17"/>
          <w:color w:val="auto"/>
        </w:rPr>
        <w:t>, effective for fiscal years beginning after December 15, 2015 and interim periods within those</w:t>
      </w:r>
      <w:r>
        <w:rPr>
          <w:rFonts w:ascii="Arial" w:cs="Arial" w:eastAsia="Arial" w:hAnsi="Arial"/>
          <w:sz w:val="17"/>
          <w:szCs w:val="17"/>
          <w:i w:val="1"/>
          <w:iCs w:val="1"/>
          <w:color w:val="auto"/>
        </w:rPr>
        <w:t xml:space="preserve"> </w:t>
      </w:r>
      <w:r>
        <w:rPr>
          <w:rFonts w:ascii="Arial" w:cs="Arial" w:eastAsia="Arial" w:hAnsi="Arial"/>
          <w:sz w:val="17"/>
          <w:szCs w:val="17"/>
          <w:color w:val="auto"/>
        </w:rPr>
        <w:t>years with early adoption permitted. The new standard is intended to improve targeted areas of the consolidation guidance for legal entities such as limited partnerships, limited liability corporations, and securitization structures. The amendments in the ASU affect the consolidation evaluation for reporting organizations. In addition, the amendments in this ASU simplify and improve current GAAP by reducing the number of consolidation models. The adoption of ASU 2015-02 is not expected to have a material effect on United’s consolidated financial statements.</w:t>
      </w:r>
    </w:p>
    <w:p>
      <w:pPr>
        <w:spacing w:after="0" w:line="178"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In April 2015, the FASB issued ASU No. 2015-03, </w:t>
      </w:r>
      <w:r>
        <w:rPr>
          <w:rFonts w:ascii="Arial" w:cs="Arial" w:eastAsia="Arial" w:hAnsi="Arial"/>
          <w:sz w:val="18"/>
          <w:szCs w:val="18"/>
          <w:i w:val="1"/>
          <w:iCs w:val="1"/>
          <w:color w:val="auto"/>
        </w:rPr>
        <w:t>Interest – Imputation of Interest (Subtopic 835-30) Simplifying the Presentation of Debt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 To simplify presentation of debt issuance costs, the amendments in this update require that debt issuance costs related to a recognized debt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be presented in the balance sheet as a direct deduction from the carrying amount of that debt liability consistent with debt discounts. The standard will be effective for the United’s fiscal year beginning after December 15, 2015 and subsequent interim periods. The adoption of ASU 2015-03 is not expected to have a material effect on United’s consolidated financial statements.</w:t>
      </w:r>
    </w:p>
    <w:p>
      <w:pPr>
        <w:spacing w:after="0" w:line="188"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In May 2015, the FASB issued ASU 2015-07, </w:t>
      </w:r>
      <w:r>
        <w:rPr>
          <w:rFonts w:ascii="Arial" w:cs="Arial" w:eastAsia="Arial" w:hAnsi="Arial"/>
          <w:sz w:val="16"/>
          <w:szCs w:val="16"/>
          <w:i w:val="1"/>
          <w:iCs w:val="1"/>
          <w:color w:val="auto"/>
        </w:rPr>
        <w:t>Disclosures for Investments in Certain Entities that Calculate Net Asset Value Per Share (or its</w:t>
      </w:r>
      <w:r>
        <w:rPr>
          <w:rFonts w:ascii="Arial" w:cs="Arial" w:eastAsia="Arial" w:hAnsi="Arial"/>
          <w:sz w:val="16"/>
          <w:szCs w:val="16"/>
          <w:color w:val="auto"/>
        </w:rPr>
        <w:t xml:space="preserve"> </w:t>
      </w:r>
      <w:r>
        <w:rPr>
          <w:rFonts w:ascii="Arial" w:cs="Arial" w:eastAsia="Arial" w:hAnsi="Arial"/>
          <w:sz w:val="16"/>
          <w:szCs w:val="16"/>
          <w:i w:val="1"/>
          <w:iCs w:val="1"/>
          <w:color w:val="auto"/>
        </w:rPr>
        <w:t>Equivalent)</w:t>
      </w:r>
      <w:r>
        <w:rPr>
          <w:rFonts w:ascii="Arial" w:cs="Arial" w:eastAsia="Arial" w:hAnsi="Arial"/>
          <w:sz w:val="16"/>
          <w:szCs w:val="16"/>
          <w:color w:val="auto"/>
        </w:rPr>
        <w:t>. ASU 2015-07 removes the requirement to categorize within the fair value hierarchy investments for which fair values are estimated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net asset value practical expedient provided by ASC 820. Disclosures about investments in certain entities that calculate net asset value per share are limited under ASU 2015-07 to those investments for which the entity has elected to estimate the fair value using the net asset value practical expedient. ASU 2015-07 is effective for fiscal years beginning after December 15, 2015, with retrospective application to all periods presented. Early application is permitted. The adoption of this update is not expected to have a material impact on United’s consolidated financial statements.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 continued</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June 2015, the FASB issued ASU 2015-10: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The amendments in this Update cover a wide range of topics in the Codification including guidance clarification and reference corrections, simplification and minor improvements. Transition guidance varies based on the amendments. The amendments that require transition guidance are effective for all entities for fiscal years, and interim periods within those fiscal years, beginning after December 15, 2015. Early adoption is permitted, including adoption in an interim period. All other amendments will be effective upon issuance. United retrospectively applied the provisions of ASU 2015-10 during the second quarter of 2015, with no material impact on United’s financial position or results of operations. The adoption of ASU 2015-10 did affect certain disclosures related to nonrecurring fair value measurements as presented in Note 23.</w:t>
      </w:r>
    </w:p>
    <w:p>
      <w:pPr>
        <w:spacing w:after="0" w:line="189" w:lineRule="exact"/>
        <w:rPr>
          <w:rFonts w:ascii="Arial" w:cs="Arial" w:eastAsia="Arial" w:hAnsi="Arial"/>
          <w:sz w:val="18"/>
          <w:szCs w:val="18"/>
          <w:b w:val="1"/>
          <w:bCs w:val="1"/>
          <w:color w:val="auto"/>
        </w:rPr>
      </w:pPr>
    </w:p>
    <w:p>
      <w:pPr>
        <w:jc w:val="both"/>
        <w:ind w:left="3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 xml:space="preserve">In July 2015, the FASB issued ASU 2015-12, </w:t>
      </w:r>
      <w:r>
        <w:rPr>
          <w:rFonts w:ascii="Arial" w:cs="Arial" w:eastAsia="Arial" w:hAnsi="Arial"/>
          <w:sz w:val="17"/>
          <w:szCs w:val="17"/>
          <w:i w:val="1"/>
          <w:iCs w:val="1"/>
          <w:color w:val="auto"/>
        </w:rPr>
        <w:t>Plan Accounting: Defined Benefit Pension Plans (Topic 960), Defined Contribution Pension Plans (Topic</w:t>
      </w:r>
      <w:r>
        <w:rPr>
          <w:rFonts w:ascii="Arial" w:cs="Arial" w:eastAsia="Arial" w:hAnsi="Arial"/>
          <w:sz w:val="17"/>
          <w:szCs w:val="17"/>
          <w:color w:val="auto"/>
        </w:rPr>
        <w:t xml:space="preserve"> </w:t>
      </w:r>
      <w:r>
        <w:rPr>
          <w:rFonts w:ascii="Arial" w:cs="Arial" w:eastAsia="Arial" w:hAnsi="Arial"/>
          <w:sz w:val="17"/>
          <w:szCs w:val="17"/>
          <w:i w:val="1"/>
          <w:iCs w:val="1"/>
          <w:color w:val="auto"/>
        </w:rPr>
        <w:t>962), and Health and Welfare Benefit Plans (Topic 965)</w:t>
      </w:r>
      <w:r>
        <w:rPr>
          <w:rFonts w:ascii="Arial" w:cs="Arial" w:eastAsia="Arial" w:hAnsi="Arial"/>
          <w:sz w:val="17"/>
          <w:szCs w:val="17"/>
          <w:color w:val="auto"/>
        </w:rPr>
        <w:t>. The guidance in the update designates contract value as the only required measure for fully</w:t>
      </w:r>
      <w:r>
        <w:rPr>
          <w:rFonts w:ascii="Arial" w:cs="Arial" w:eastAsia="Arial" w:hAnsi="Arial"/>
          <w:sz w:val="17"/>
          <w:szCs w:val="17"/>
          <w:i w:val="1"/>
          <w:iCs w:val="1"/>
          <w:color w:val="auto"/>
        </w:rPr>
        <w:t xml:space="preserve"> </w:t>
      </w:r>
      <w:r>
        <w:rPr>
          <w:rFonts w:ascii="Arial" w:cs="Arial" w:eastAsia="Arial" w:hAnsi="Arial"/>
          <w:sz w:val="17"/>
          <w:szCs w:val="17"/>
          <w:color w:val="auto"/>
        </w:rPr>
        <w:t>benefit-responsive investment contracts and simplifies the disclosure of investments by requiring that investments be grouped only by general type rather than disaggregated in multiple ways. The amendments are effective for fiscal years beginning after December 15, 2015, with earlier application permitted. The adoption of this update is not expected to have a material impact on United’s consolidated financial statements.</w:t>
      </w:r>
    </w:p>
    <w:p>
      <w:pPr>
        <w:spacing w:after="0" w:line="172"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In August 2015, the FASB issued ASU 2015-14,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guidance in this update delays the effective date of ASU 2014-09, </w:t>
      </w:r>
      <w:r>
        <w:rPr>
          <w:rFonts w:ascii="Arial" w:cs="Arial" w:eastAsia="Arial" w:hAnsi="Arial"/>
          <w:sz w:val="17"/>
          <w:szCs w:val="17"/>
          <w:i w:val="1"/>
          <w:iCs w:val="1"/>
          <w:color w:val="auto"/>
        </w:rPr>
        <w:t>Revenue from Contracts with Customers (Topic 606): Summary and Amendments that Create 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(Topic 606) and Other Assets and Deferred Costs—Contracts with Customers (Subtopic 340-40), </w:t>
      </w:r>
      <w:r>
        <w:rPr>
          <w:rFonts w:ascii="Arial" w:cs="Arial" w:eastAsia="Arial" w:hAnsi="Arial"/>
          <w:sz w:val="17"/>
          <w:szCs w:val="17"/>
          <w:color w:val="auto"/>
        </w:rPr>
        <w:t>which supersedes the revenue recognition</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in ASC Topic 605, Revenue Recognition, and most industry-specific guidance throughout the industry topics of the codification. For public companies, ASU 2014-09 was originally effective for interim and annual periods beginning after December 15, 2016. ASU 2015-14 delays the effective date for public companies to interim and annual reporting periods beginning after December 15, 2017. United is currently assessing the impact that this guidance will have on its consolidated financial statements.</w:t>
      </w:r>
    </w:p>
    <w:p>
      <w:pPr>
        <w:spacing w:after="0" w:line="17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In September 2015, the FASB issued ASU 2015-16, </w:t>
      </w:r>
      <w:r>
        <w:rPr>
          <w:rFonts w:ascii="Arial" w:cs="Arial" w:eastAsia="Arial" w:hAnsi="Arial"/>
          <w:sz w:val="18"/>
          <w:szCs w:val="18"/>
          <w:i w:val="1"/>
          <w:iCs w:val="1"/>
          <w:color w:val="auto"/>
        </w:rPr>
        <w:t>Business Combinations (Topic 805): Simplifying the Accounting for Measurement-Period</w:t>
      </w:r>
      <w:r>
        <w:rPr>
          <w:rFonts w:ascii="Arial" w:cs="Arial" w:eastAsia="Arial" w:hAnsi="Arial"/>
          <w:sz w:val="18"/>
          <w:szCs w:val="18"/>
          <w:color w:val="auto"/>
        </w:rPr>
        <w:t xml:space="preserve"> </w:t>
      </w:r>
      <w:r>
        <w:rPr>
          <w:rFonts w:ascii="Arial" w:cs="Arial" w:eastAsia="Arial" w:hAnsi="Arial"/>
          <w:sz w:val="18"/>
          <w:szCs w:val="18"/>
          <w:i w:val="1"/>
          <w:iCs w:val="1"/>
          <w:color w:val="auto"/>
        </w:rPr>
        <w:t>Adjustments</w:t>
      </w:r>
      <w:r>
        <w:rPr>
          <w:rFonts w:ascii="Arial" w:cs="Arial" w:eastAsia="Arial" w:hAnsi="Arial"/>
          <w:sz w:val="18"/>
          <w:szCs w:val="18"/>
          <w:color w:val="auto"/>
        </w:rPr>
        <w:t>. The guidance in this update requires that an acquirer recognize adjustments to provisional amounts that are identified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period in the reporting period in which the adjustment amounts are determined. In addition, the acquirer will record, in the same period financial statements, the effect on earnings of changes in depreciation, amortization or other income effects, if any, as a result of the change to the provisional amounts, calculated as if the accounting had been completed at the acquisition date. The update requires disclosure of amounts recorded in current-period earnings that would have been recorded in previous reporting periods if the adjustment to the provisional amounts had been recognized as of the acquisition date. For public entities, this update is effective for fiscal years beginning after December 15, 2015 with early application permitted. United applied the provisions of ASU 2015-16 during the third quarter of 2015, with no material impact on United’s financial position or results of operations.</w:t>
      </w:r>
    </w:p>
    <w:p>
      <w:pPr>
        <w:spacing w:after="0" w:line="197"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In January 2016, the FASB issued ASU 2016-1, </w:t>
      </w:r>
      <w:r>
        <w:rPr>
          <w:rFonts w:ascii="Arial" w:cs="Arial" w:eastAsia="Arial" w:hAnsi="Arial"/>
          <w:sz w:val="18"/>
          <w:szCs w:val="18"/>
          <w:i w:val="1"/>
          <w:iCs w:val="1"/>
          <w:color w:val="auto"/>
        </w:rPr>
        <w:t>Financial Instruments – Overall (Subtopic 825-10): 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Liabilities</w:t>
      </w:r>
      <w:r>
        <w:rPr>
          <w:rFonts w:ascii="Arial" w:cs="Arial" w:eastAsia="Arial" w:hAnsi="Arial"/>
          <w:sz w:val="18"/>
          <w:szCs w:val="18"/>
          <w:color w:val="auto"/>
        </w:rPr>
        <w:t>. The guidance in this update requires that equity investments (except those accounting for under the equity method of accounting) be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at fair value with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The guidance also simplifies the impairment assessment of equity investments without readily determinable fair values by requiring a qualitative assessment to identify impairment. In addition, the guidance addresses various disclosure and presentation issues related to financial instruments. For public entities, this update is effective for fiscal years beginning after December 15, 2017 with early application permitted. The adoption of this update is not expected to have a material impact on United’s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22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Palmetto Bancshares, Inc.</w:t>
      </w:r>
    </w:p>
    <w:p>
      <w:pPr>
        <w:spacing w:after="0" w:line="229" w:lineRule="exact"/>
        <w:rPr>
          <w:rFonts w:ascii="Arial" w:cs="Arial" w:eastAsia="Arial" w:hAnsi="Arial"/>
          <w:sz w:val="18"/>
          <w:szCs w:val="18"/>
          <w:b w:val="1"/>
          <w:bCs w:val="1"/>
          <w:color w:val="auto"/>
        </w:rPr>
      </w:pPr>
    </w:p>
    <w:p>
      <w:pPr>
        <w:jc w:val="both"/>
        <w:ind w:left="33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September 1, 2015, United completed the acquisition of Palmetto Bancshares, Inc. (“Palmetto”) and its wholly-owned bank subsidiary The Palmetto Bank. Palmetto operated 25 branches in South Carolina. In connection with the acquisition, United acquired $1.15 billion of assets and assumed $1.02 billion of liabilities. Total consideration transferred was $244 million of common equity and cash. The fair value of consideration paid exceeded the fair value of the identifiable assets and liabilities acquired and resulted in the establishment of goodwill in the amount of $114 million, representing the intangible value of Palmetto’s business and reputation within the market it serves. None of the goodwill recognized is expected to be deductible for income tax purposes. United will amortize the related core deposit intangible of $12.9 million using the sum-of-the-years-digits method over 12 years, which represents the expected useful life of the asset.</w:t>
      </w:r>
    </w:p>
    <w:p>
      <w:pPr>
        <w:spacing w:after="0" w:line="189" w:lineRule="exact"/>
        <w:rPr>
          <w:rFonts w:ascii="Arial" w:cs="Arial" w:eastAsia="Arial" w:hAnsi="Arial"/>
          <w:sz w:val="18"/>
          <w:szCs w:val="18"/>
          <w:b w:val="1"/>
          <w:bCs w:val="1"/>
          <w:color w:val="auto"/>
        </w:rPr>
      </w:pPr>
    </w:p>
    <w:p>
      <w:pPr>
        <w:jc w:val="both"/>
        <w:ind w:left="332"/>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fair value of the 8.7 million common shares issued as part of the consideration paid for Palmetto was determined on the basis of the closing market price of United’s common shares on the acquisition date. United’s operating results for the year ended December 31, 2015 include the operating results of the acquired assets and assumed liabilities for the period subsequent to the acquisition date of September 1, 2015.</w:t>
      </w:r>
    </w:p>
    <w:p>
      <w:pPr>
        <w:spacing w:after="0" w:line="16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purchased assets and assumed liabilities were recorded at their acquisition date fair values and are summarized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27" w:lineRule="exact"/>
        <w:rPr>
          <w:sz w:val="20"/>
          <w:szCs w:val="20"/>
          <w:color w:val="auto"/>
        </w:rPr>
      </w:pPr>
    </w:p>
    <w:tbl>
      <w:tblPr>
        <w:tblLayout w:type="fixed"/>
        <w:tblInd w:w="972"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As Recorded</w:t>
            </w:r>
          </w:p>
        </w:tc>
        <w:tc>
          <w:tcPr>
            <w:tcW w:w="120" w:type="dxa"/>
            <w:vAlign w:val="bottom"/>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As Recorded by</w:t>
            </w:r>
          </w:p>
        </w:tc>
        <w:tc>
          <w:tcPr>
            <w:tcW w:w="0" w:type="dxa"/>
            <w:vAlign w:val="bottom"/>
          </w:tcPr>
          <w:p>
            <w:pPr>
              <w:spacing w:after="0"/>
              <w:rPr>
                <w:sz w:val="1"/>
                <w:szCs w:val="1"/>
                <w:color w:val="auto"/>
              </w:rPr>
            </w:pPr>
          </w:p>
        </w:tc>
      </w:tr>
      <w:tr>
        <w:trPr>
          <w:trHeight w:val="232"/>
        </w:trPr>
        <w:tc>
          <w:tcPr>
            <w:tcW w:w="4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by Palmetto</w:t>
            </w:r>
          </w:p>
        </w:tc>
        <w:tc>
          <w:tcPr>
            <w:tcW w:w="120" w:type="dxa"/>
            <w:vAlign w:val="bottom"/>
          </w:tcPr>
          <w:p>
            <w:pPr>
              <w:spacing w:after="0"/>
              <w:rPr>
                <w:sz w:val="20"/>
                <w:szCs w:val="20"/>
                <w:color w:val="auto"/>
              </w:rPr>
            </w:pPr>
          </w:p>
        </w:tc>
        <w:tc>
          <w:tcPr>
            <w:tcW w:w="1320" w:type="dxa"/>
            <w:vAlign w:val="bottom"/>
            <w:gridSpan w:val="2"/>
          </w:tcPr>
          <w:p>
            <w:pPr>
              <w:jc w:val="right"/>
              <w:ind w:right="240"/>
              <w:spacing w:after="0" w:line="225"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26"/>
                <w:szCs w:val="26"/>
                <w:b w:val="1"/>
                <w:bCs w:val="1"/>
                <w:color w:val="auto"/>
                <w:w w:val="89"/>
                <w:vertAlign w:val="superscript"/>
              </w:rPr>
              <w:t>(1)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United</w:t>
            </w:r>
          </w:p>
        </w:tc>
        <w:tc>
          <w:tcPr>
            <w:tcW w:w="0" w:type="dxa"/>
            <w:vAlign w:val="bottom"/>
          </w:tcPr>
          <w:p>
            <w:pPr>
              <w:spacing w:after="0"/>
              <w:rPr>
                <w:sz w:val="1"/>
                <w:szCs w:val="1"/>
                <w:color w:val="auto"/>
              </w:rPr>
            </w:pPr>
          </w:p>
        </w:tc>
      </w:tr>
      <w:tr>
        <w:trPr>
          <w:trHeight w:val="216"/>
        </w:trPr>
        <w:tc>
          <w:tcPr>
            <w:tcW w:w="45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64,906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64,906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Securities</w:t>
            </w: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208,407</w:t>
            </w:r>
          </w:p>
        </w:tc>
        <w:tc>
          <w:tcPr>
            <w:tcW w:w="12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(340)</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208,067</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Loans held for sale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Loans, net</w:t>
            </w: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802,111</w:t>
            </w:r>
          </w:p>
        </w:tc>
        <w:tc>
          <w:tcPr>
            <w:tcW w:w="12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(5,552)</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796,559</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21,888</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17,597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Bank owned life insurance</w:t>
            </w: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12,133</w:t>
            </w:r>
          </w:p>
        </w:tc>
        <w:tc>
          <w:tcPr>
            <w:tcW w:w="12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(148)</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11,985</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3,227</w:t>
            </w: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Net deferred tax asset</w:t>
            </w: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14,798</w:t>
            </w:r>
          </w:p>
        </w:tc>
        <w:tc>
          <w:tcPr>
            <w:tcW w:w="12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1,150</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15,948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Core deposit intangible</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12,900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18,439</w:t>
            </w:r>
          </w:p>
        </w:tc>
        <w:tc>
          <w:tcPr>
            <w:tcW w:w="12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(4,234)</w:t>
            </w:r>
          </w:p>
        </w:tc>
        <w:tc>
          <w:tcPr>
            <w:tcW w:w="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14,205</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500" w:type="dxa"/>
            <w:vAlign w:val="bottom"/>
            <w:tcBorders>
              <w:top w:val="single" w:sz="8" w:color="F0FFFF"/>
            </w:tcBorders>
          </w:tcPr>
          <w:p>
            <w:pPr>
              <w:ind w:left="160"/>
              <w:spacing w:after="0"/>
              <w:rPr>
                <w:sz w:val="20"/>
                <w:szCs w:val="20"/>
                <w:color w:val="auto"/>
              </w:rPr>
            </w:pPr>
            <w:r>
              <w:rPr>
                <w:rFonts w:ascii="Arial" w:cs="Arial" w:eastAsia="Arial" w:hAnsi="Arial"/>
                <w:sz w:val="18"/>
                <w:szCs w:val="18"/>
                <w:b w:val="1"/>
                <w:bCs w:val="1"/>
                <w:color w:val="auto"/>
              </w:rPr>
              <w:t>Total assets acquired</w:t>
            </w:r>
          </w:p>
        </w:tc>
        <w:tc>
          <w:tcPr>
            <w:tcW w:w="94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1,148,265</w:t>
            </w:r>
          </w:p>
        </w:tc>
        <w:tc>
          <w:tcPr>
            <w:tcW w:w="18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80" w:type="dxa"/>
            <w:vAlign w:val="bottom"/>
            <w:tcBorders>
              <w:top w:val="single" w:sz="8" w:color="F0FFFF"/>
            </w:tcBorders>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1,147,495</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Deposits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989,296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989,296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Short-term borrowings</w:t>
            </w: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13,537</w:t>
            </w:r>
          </w:p>
        </w:tc>
        <w:tc>
          <w:tcPr>
            <w:tcW w:w="12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13,537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Pr>
          <w:p>
            <w:pPr>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11,994</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2,808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14,802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b w:val="1"/>
                <w:bCs w:val="1"/>
                <w:color w:val="auto"/>
              </w:rPr>
              <w:t>Total liabilities assumed</w:t>
            </w:r>
          </w:p>
        </w:tc>
        <w:tc>
          <w:tcPr>
            <w:tcW w:w="940" w:type="dxa"/>
            <w:vAlign w:val="bottom"/>
            <w:tcBorders>
              <w:top w:val="single" w:sz="8" w:color="F0FFFF"/>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spacing w:after="0"/>
              <w:rPr>
                <w:sz w:val="20"/>
                <w:szCs w:val="20"/>
                <w:color w:val="auto"/>
              </w:rPr>
            </w:pPr>
          </w:p>
        </w:tc>
        <w:tc>
          <w:tcPr>
            <w:tcW w:w="1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1,014,827</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2,808</w:t>
            </w:r>
          </w:p>
        </w:tc>
        <w:tc>
          <w:tcPr>
            <w:tcW w:w="18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1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1,017,635</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Excess of assets acquired over liabilities assumed</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133,438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bottom w:val="single" w:sz="8" w:color="F0FFFF"/>
            </w:tcBorders>
          </w:tcPr>
          <w:p>
            <w:pPr>
              <w:spacing w:after="0" w:line="20" w:lineRule="exact"/>
              <w:rPr>
                <w:sz w:val="1"/>
                <w:szCs w:val="1"/>
                <w:color w:val="auto"/>
              </w:rPr>
            </w:pPr>
          </w:p>
        </w:tc>
        <w:tc>
          <w:tcPr>
            <w:tcW w:w="94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14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14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Aggregate fair value adjustments</w:t>
            </w:r>
          </w:p>
        </w:tc>
        <w:tc>
          <w:tcPr>
            <w:tcW w:w="940" w:type="dxa"/>
            <w:vAlign w:val="bottom"/>
            <w:shd w:val="clear" w:color="auto" w:fill="F0FFFF"/>
          </w:tcPr>
          <w:p>
            <w:pPr>
              <w:spacing w:after="0"/>
              <w:rPr>
                <w:sz w:val="22"/>
                <w:szCs w:val="22"/>
                <w:color w:val="auto"/>
              </w:rPr>
            </w:pPr>
          </w:p>
        </w:tc>
        <w:tc>
          <w:tcPr>
            <w:tcW w:w="160" w:type="dxa"/>
            <w:vAlign w:val="bottom"/>
            <w:shd w:val="clear" w:color="auto" w:fill="F0FFFF"/>
          </w:tcPr>
          <w:p>
            <w:pPr>
              <w:spacing w:after="0"/>
              <w:rPr>
                <w:sz w:val="22"/>
                <w:szCs w:val="22"/>
                <w:color w:val="auto"/>
              </w:rPr>
            </w:pPr>
          </w:p>
        </w:tc>
        <w:tc>
          <w:tcPr>
            <w:tcW w:w="11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(3,578)</w:t>
            </w:r>
          </w:p>
        </w:tc>
        <w:tc>
          <w:tcPr>
            <w:tcW w:w="2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140" w:type="dxa"/>
            <w:vAlign w:val="bottom"/>
            <w:shd w:val="clear" w:color="auto" w:fill="F0FFFF"/>
          </w:tcPr>
          <w:p>
            <w:pPr>
              <w:spacing w:after="0"/>
              <w:rPr>
                <w:sz w:val="22"/>
                <w:szCs w:val="22"/>
                <w:color w:val="auto"/>
              </w:rPr>
            </w:pPr>
          </w:p>
        </w:tc>
        <w:tc>
          <w:tcPr>
            <w:tcW w:w="2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F0FFFF"/>
              <w:bottom w:val="single" w:sz="8" w:color="F0FFFF"/>
            </w:tcBorders>
            <w:vMerge w:val="restart"/>
          </w:tcPr>
          <w:p>
            <w:pPr>
              <w:spacing w:after="0"/>
              <w:rPr>
                <w:sz w:val="20"/>
                <w:szCs w:val="20"/>
                <w:color w:val="auto"/>
              </w:rPr>
            </w:pPr>
            <w:r>
              <w:rPr>
                <w:rFonts w:ascii="Arial" w:cs="Arial" w:eastAsia="Arial" w:hAnsi="Arial"/>
                <w:sz w:val="18"/>
                <w:szCs w:val="18"/>
                <w:b w:val="1"/>
                <w:bCs w:val="1"/>
                <w:color w:val="auto"/>
              </w:rPr>
              <w:t>Consideration transferred</w:t>
            </w:r>
          </w:p>
        </w:tc>
        <w:tc>
          <w:tcPr>
            <w:tcW w:w="94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0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Cash</w:t>
            </w: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74,003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50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Common stock issued (8,700,012 shares)</w:t>
            </w:r>
          </w:p>
        </w:tc>
        <w:tc>
          <w:tcPr>
            <w:tcW w:w="940" w:type="dxa"/>
            <w:vAlign w:val="bottom"/>
            <w:tcBorders>
              <w:bottom w:val="single" w:sz="8" w:color="F0FFFF"/>
            </w:tcBorders>
          </w:tcPr>
          <w:p>
            <w:pPr>
              <w:spacing w:after="0"/>
              <w:rPr>
                <w:sz w:val="20"/>
                <w:szCs w:val="20"/>
                <w:color w:val="auto"/>
              </w:rPr>
            </w:pPr>
          </w:p>
        </w:tc>
        <w:tc>
          <w:tcPr>
            <w:tcW w:w="160" w:type="dxa"/>
            <w:vAlign w:val="bottom"/>
            <w:tcBorders>
              <w:bottom w:val="single" w:sz="8" w:color="F0FFFF"/>
            </w:tcBorders>
          </w:tcPr>
          <w:p>
            <w:pPr>
              <w:spacing w:after="0"/>
              <w:rPr>
                <w:sz w:val="20"/>
                <w:szCs w:val="20"/>
                <w:color w:val="auto"/>
              </w:rPr>
            </w:pPr>
          </w:p>
        </w:tc>
        <w:tc>
          <w:tcPr>
            <w:tcW w:w="1120" w:type="dxa"/>
            <w:vAlign w:val="bottom"/>
            <w:tcBorders>
              <w:bottom w:val="single" w:sz="8" w:color="F0FFFF"/>
            </w:tcBorders>
          </w:tcPr>
          <w:p>
            <w:pPr>
              <w:spacing w:after="0"/>
              <w:rPr>
                <w:sz w:val="20"/>
                <w:szCs w:val="20"/>
                <w:color w:val="auto"/>
              </w:rPr>
            </w:pPr>
          </w:p>
        </w:tc>
        <w:tc>
          <w:tcPr>
            <w:tcW w:w="180" w:type="dxa"/>
            <w:vAlign w:val="bottom"/>
            <w:tcBorders>
              <w:bottom w:val="single" w:sz="8" w:color="F0FFFF"/>
            </w:tcBorders>
          </w:tcPr>
          <w:p>
            <w:pPr>
              <w:spacing w:after="0"/>
              <w:rPr>
                <w:sz w:val="20"/>
                <w:szCs w:val="20"/>
                <w:color w:val="auto"/>
              </w:rPr>
            </w:pPr>
          </w:p>
        </w:tc>
        <w:tc>
          <w:tcPr>
            <w:tcW w:w="120" w:type="dxa"/>
            <w:vAlign w:val="bottom"/>
            <w:tcBorders>
              <w:bottom w:val="single" w:sz="8" w:color="F0FFFF"/>
            </w:tcBorders>
          </w:tcPr>
          <w:p>
            <w:pPr>
              <w:spacing w:after="0"/>
              <w:rPr>
                <w:sz w:val="20"/>
                <w:szCs w:val="20"/>
                <w:color w:val="auto"/>
              </w:rPr>
            </w:pPr>
          </w:p>
        </w:tc>
        <w:tc>
          <w:tcPr>
            <w:tcW w:w="1140" w:type="dxa"/>
            <w:vAlign w:val="bottom"/>
            <w:tcBorders>
              <w:bottom w:val="single" w:sz="8" w:color="F0FFFF"/>
            </w:tcBorders>
          </w:tcPr>
          <w:p>
            <w:pPr>
              <w:spacing w:after="0"/>
              <w:rPr>
                <w:sz w:val="20"/>
                <w:szCs w:val="20"/>
                <w:color w:val="auto"/>
              </w:rPr>
            </w:pPr>
          </w:p>
        </w:tc>
        <w:tc>
          <w:tcPr>
            <w:tcW w:w="18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170,259</w:t>
            </w:r>
          </w:p>
        </w:tc>
        <w:tc>
          <w:tcPr>
            <w:tcW w:w="2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b w:val="1"/>
                <w:bCs w:val="1"/>
                <w:color w:val="auto"/>
              </w:rPr>
              <w:t>Total fair value of consideration transferred</w:t>
            </w:r>
          </w:p>
        </w:tc>
        <w:tc>
          <w:tcPr>
            <w:tcW w:w="94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bottom w:val="single" w:sz="8" w:color="F0FFFF"/>
            </w:tcBorders>
            <w:shd w:val="clear" w:color="auto" w:fill="F0FFFF"/>
          </w:tcPr>
          <w:p>
            <w:pPr>
              <w:spacing w:after="0"/>
              <w:rPr>
                <w:sz w:val="20"/>
                <w:szCs w:val="20"/>
                <w:color w:val="auto"/>
              </w:rPr>
            </w:pPr>
          </w:p>
        </w:tc>
        <w:tc>
          <w:tcPr>
            <w:tcW w:w="112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1140" w:type="dxa"/>
            <w:vAlign w:val="bottom"/>
            <w:tcBorders>
              <w:bottom w:val="single" w:sz="8" w:color="F0FFFF"/>
            </w:tcBorders>
            <w:shd w:val="clear" w:color="auto" w:fill="F0FFFF"/>
          </w:tcPr>
          <w:p>
            <w:pPr>
              <w:spacing w:after="0"/>
              <w:rPr>
                <w:sz w:val="20"/>
                <w:szCs w:val="20"/>
                <w:color w:val="auto"/>
              </w:rPr>
            </w:pPr>
          </w:p>
        </w:tc>
        <w:tc>
          <w:tcPr>
            <w:tcW w:w="180" w:type="dxa"/>
            <w:vAlign w:val="bottom"/>
            <w:tcBorders>
              <w:bottom w:val="single" w:sz="8" w:color="F0FFFF"/>
            </w:tcBorders>
            <w:shd w:val="clear" w:color="auto" w:fill="F0FFFF"/>
          </w:tcPr>
          <w:p>
            <w:pPr>
              <w:spacing w:after="0"/>
              <w:rPr>
                <w:sz w:val="20"/>
                <w:szCs w:val="20"/>
                <w:color w:val="auto"/>
              </w:rPr>
            </w:pPr>
          </w:p>
        </w:tc>
        <w:tc>
          <w:tcPr>
            <w:tcW w:w="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244,262</w:t>
            </w:r>
          </w:p>
        </w:tc>
        <w:tc>
          <w:tcPr>
            <w:tcW w:w="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500" w:type="dxa"/>
            <w:vAlign w:val="bottom"/>
          </w:tcPr>
          <w:p>
            <w:pPr>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972" w:right="620"/>
        <w:spacing w:after="0" w:line="221" w:lineRule="auto"/>
        <w:tabs>
          <w:tab w:leader="none" w:pos="1184" w:val="left"/>
        </w:tabs>
        <w:numPr>
          <w:ilvl w:val="0"/>
          <w:numId w:val="33"/>
        </w:numPr>
        <w:rPr>
          <w:rFonts w:ascii="Arial" w:cs="Arial" w:eastAsia="Arial" w:hAnsi="Arial"/>
          <w:sz w:val="26"/>
          <w:szCs w:val="26"/>
          <w:color w:val="auto"/>
          <w:vertAlign w:val="superscript"/>
        </w:rPr>
      </w:pPr>
      <w:r>
        <w:rPr>
          <w:rFonts w:ascii="Arial" w:cs="Arial" w:eastAsia="Arial" w:hAnsi="Arial"/>
          <w:sz w:val="16"/>
          <w:szCs w:val="16"/>
          <w:color w:val="auto"/>
        </w:rPr>
        <w:t>Fair values are preliminary and are subject to refinement for a period not to exceed one year after the closing date of an acquisition as information relative to closing date fair values becomes available.</w:t>
      </w:r>
    </w:p>
    <w:p>
      <w:pPr>
        <w:spacing w:after="0" w:line="204" w:lineRule="exact"/>
        <w:rPr>
          <w:sz w:val="20"/>
          <w:szCs w:val="20"/>
          <w:color w:val="auto"/>
        </w:rPr>
      </w:pPr>
    </w:p>
    <w:p>
      <w:pPr>
        <w:jc w:val="both"/>
        <w:ind w:left="332"/>
        <w:spacing w:after="0" w:line="276" w:lineRule="auto"/>
        <w:rPr>
          <w:sz w:val="20"/>
          <w:szCs w:val="20"/>
          <w:color w:val="auto"/>
        </w:rPr>
      </w:pPr>
      <w:r>
        <w:rPr>
          <w:rFonts w:ascii="Arial" w:cs="Arial" w:eastAsia="Arial" w:hAnsi="Arial"/>
          <w:sz w:val="17"/>
          <w:szCs w:val="17"/>
          <w:color w:val="auto"/>
        </w:rPr>
        <w:t>In fourth quarter 2015, within the one year measurement period, United received additional information regarding the fair values of loans, premises and equipment, other real estate owned (“OREO”), which is included in other assets in the table above, and certain other assets. As a result, the provisional values assigned to the acquired loans, premises and equipment, other real estate owned and other assets have been adjusted by an increase of $535,000, a decrease of $5.54 million, a decrease of $1.57 million and a decrease of $3.75 million, respectively. The tax effect of these adjustments was reflected as an increase to the deferred tax asset of $3.48 million, with the net amount reflected as an increase to goodwill.</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79" w:name="page80"/>
    <w:bookmarkEnd w:id="79"/>
    <w:p>
      <w:pPr>
        <w:jc w:val="center"/>
        <w:ind w:right="8"/>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8"/>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6"/>
          <w:szCs w:val="16"/>
          <w:color w:val="auto"/>
        </w:rPr>
        <w:t xml:space="preserve">The following table presents additional information related to the acquired loan portfolio at acquisition date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ectPr>
          <w:pgSz w:w="11900" w:h="16838" w:orient="portrait"/>
          <w:cols w:equalWidth="0" w:num="1">
            <w:col w:w="11412"/>
          </w:cols>
          <w:pgMar w:left="248" w:top="904"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1432"/>
        <w:spacing w:after="0"/>
        <w:rPr>
          <w:sz w:val="20"/>
          <w:szCs w:val="20"/>
          <w:color w:val="auto"/>
        </w:rPr>
      </w:pPr>
      <w:r>
        <w:rPr>
          <w:rFonts w:ascii="Arial" w:cs="Arial" w:eastAsia="Arial" w:hAnsi="Arial"/>
          <w:sz w:val="18"/>
          <w:szCs w:val="18"/>
          <w:b w:val="1"/>
          <w:bCs w:val="1"/>
          <w:color w:val="auto"/>
        </w:rPr>
        <w:t>Accounted for pursuant to ASC 310-30: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-136525</wp:posOffset>
            </wp:positionV>
            <wp:extent cx="542861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7"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Contractually required principal and interest</w:t>
      </w:r>
    </w:p>
    <w:p>
      <w:pPr>
        <w:spacing w:after="0" w:line="9"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Non-accretable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-130810</wp:posOffset>
            </wp:positionV>
            <wp:extent cx="5428615" cy="1631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28615" cy="163195"/>
                    </a:xfrm>
                    <a:prstGeom prst="rect">
                      <a:avLst/>
                    </a:prstGeom>
                    <a:noFill/>
                  </pic:spPr>
                </pic:pic>
              </a:graphicData>
            </a:graphic>
          </wp:anchor>
        </w:drawing>
      </w:r>
    </w:p>
    <w:p>
      <w:pPr>
        <w:spacing w:after="0" w:line="15"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Cash flows expected to be collected</w:t>
      </w:r>
    </w:p>
    <w:p>
      <w:pPr>
        <w:spacing w:after="0" w:line="23"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Accretable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-130810</wp:posOffset>
            </wp:positionV>
            <wp:extent cx="5428615"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28615" cy="163195"/>
                    </a:xfrm>
                    <a:prstGeom prst="rect">
                      <a:avLst/>
                    </a:prstGeom>
                    <a:noFill/>
                  </pic:spPr>
                </pic:pic>
              </a:graphicData>
            </a:graphic>
          </wp:anchor>
        </w:drawing>
      </w:r>
    </w:p>
    <w:p>
      <w:pPr>
        <w:spacing w:after="0" w:line="2"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48895</wp:posOffset>
            </wp:positionV>
            <wp:extent cx="5428615"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82" w:lineRule="exact"/>
        <w:rPr>
          <w:sz w:val="20"/>
          <w:szCs w:val="20"/>
          <w:color w:val="auto"/>
        </w:rPr>
      </w:pPr>
    </w:p>
    <w:p>
      <w:pPr>
        <w:ind w:left="1432"/>
        <w:spacing w:after="0"/>
        <w:rPr>
          <w:sz w:val="20"/>
          <w:szCs w:val="20"/>
          <w:color w:val="auto"/>
        </w:rPr>
      </w:pPr>
      <w:r>
        <w:rPr>
          <w:rFonts w:ascii="Arial" w:cs="Arial" w:eastAsia="Arial" w:hAnsi="Arial"/>
          <w:sz w:val="18"/>
          <w:szCs w:val="18"/>
          <w:b w:val="1"/>
          <w:bCs w:val="1"/>
          <w:color w:val="auto"/>
        </w:rPr>
        <w:t>Excluded from ASC 310-30:</w:t>
      </w:r>
    </w:p>
    <w:p>
      <w:pPr>
        <w:spacing w:after="0" w:line="27"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-130810</wp:posOffset>
            </wp:positionV>
            <wp:extent cx="542861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32"/>
        <w:spacing w:after="0"/>
        <w:rPr>
          <w:sz w:val="20"/>
          <w:szCs w:val="20"/>
          <w:color w:val="auto"/>
        </w:rPr>
      </w:pPr>
      <w:r>
        <w:rPr>
          <w:rFonts w:ascii="Arial" w:cs="Arial" w:eastAsia="Arial" w:hAnsi="Arial"/>
          <w:sz w:val="18"/>
          <w:szCs w:val="18"/>
          <w:color w:val="auto"/>
        </w:rPr>
        <w:t>Gross contractual amounts receivable</w:t>
      </w:r>
    </w:p>
    <w:p>
      <w:pPr>
        <w:spacing w:after="0" w:line="9" w:lineRule="exact"/>
        <w:rPr>
          <w:sz w:val="20"/>
          <w:szCs w:val="20"/>
          <w:color w:val="auto"/>
        </w:rPr>
      </w:pPr>
    </w:p>
    <w:p>
      <w:pPr>
        <w:ind w:left="1432"/>
        <w:spacing w:after="0"/>
        <w:rPr>
          <w:sz w:val="20"/>
          <w:szCs w:val="20"/>
          <w:color w:val="auto"/>
        </w:rPr>
      </w:pPr>
      <w:r>
        <w:rPr>
          <w:rFonts w:ascii="Arial" w:cs="Arial" w:eastAsia="Arial" w:hAnsi="Arial"/>
          <w:sz w:val="16"/>
          <w:szCs w:val="16"/>
          <w:color w:val="auto"/>
        </w:rPr>
        <w:t>Estimate of contractual cash flows not expected to be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-116205</wp:posOffset>
            </wp:positionV>
            <wp:extent cx="542861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10" w:lineRule="exact"/>
        <w:rPr>
          <w:sz w:val="20"/>
          <w:szCs w:val="20"/>
          <w:color w:val="auto"/>
        </w:rPr>
      </w:pPr>
    </w:p>
    <w:p>
      <w:pPr>
        <w:ind w:left="332"/>
        <w:spacing w:after="0"/>
        <w:rPr>
          <w:sz w:val="20"/>
          <w:szCs w:val="20"/>
          <w:color w:val="auto"/>
        </w:rPr>
      </w:pPr>
      <w:r>
        <w:rPr>
          <w:rFonts w:ascii="Arial" w:cs="Arial" w:eastAsia="Arial" w:hAnsi="Arial"/>
          <w:sz w:val="18"/>
          <w:szCs w:val="18"/>
          <w:b w:val="1"/>
          <w:bCs w:val="1"/>
          <w:u w:val="single" w:color="auto"/>
          <w:color w:val="auto"/>
        </w:rPr>
        <w:t>Acquisition of MoneyTree Corporation</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17"/>
        <w:spacing w:after="0"/>
        <w:rPr>
          <w:sz w:val="20"/>
          <w:szCs w:val="20"/>
          <w:color w:val="auto"/>
        </w:rPr>
      </w:pPr>
      <w:r>
        <w:rPr>
          <w:rFonts w:ascii="Arial" w:cs="Arial" w:eastAsia="Arial" w:hAnsi="Arial"/>
          <w:sz w:val="14"/>
          <w:szCs w:val="14"/>
          <w:b w:val="1"/>
          <w:bCs w:val="1"/>
          <w:color w:val="auto"/>
        </w:rPr>
        <w:t>September 1, 2015</w:t>
      </w:r>
    </w:p>
    <w:p>
      <w:pPr>
        <w:spacing w:after="0" w:line="239" w:lineRule="exact"/>
        <w:rPr>
          <w:sz w:val="20"/>
          <w:szCs w:val="20"/>
          <w:color w:val="auto"/>
        </w:rPr>
      </w:pPr>
    </w:p>
    <w:p>
      <w:pPr>
        <w:ind w:left="877" w:hanging="877"/>
        <w:spacing w:after="0"/>
        <w:tabs>
          <w:tab w:leader="none" w:pos="877" w:val="left"/>
        </w:tabs>
        <w:numPr>
          <w:ilvl w:val="0"/>
          <w:numId w:val="35"/>
        </w:numPr>
        <w:rPr>
          <w:rFonts w:ascii="Arial" w:cs="Arial" w:eastAsia="Arial" w:hAnsi="Arial"/>
          <w:sz w:val="15"/>
          <w:szCs w:val="15"/>
          <w:color w:val="auto"/>
        </w:rPr>
      </w:pPr>
      <w:r>
        <w:rPr>
          <w:rFonts w:ascii="Arial" w:cs="Arial" w:eastAsia="Arial" w:hAnsi="Arial"/>
          <w:sz w:val="15"/>
          <w:szCs w:val="15"/>
          <w:color w:val="auto"/>
        </w:rPr>
        <w:t>63,623</w:t>
      </w:r>
    </w:p>
    <w:p>
      <w:pPr>
        <w:spacing w:after="0" w:line="57" w:lineRule="exact"/>
        <w:rPr>
          <w:rFonts w:ascii="Arial" w:cs="Arial" w:eastAsia="Arial" w:hAnsi="Arial"/>
          <w:sz w:val="15"/>
          <w:szCs w:val="15"/>
          <w:color w:val="auto"/>
        </w:rPr>
      </w:pPr>
    </w:p>
    <w:p>
      <w:pPr>
        <w:ind w:left="877"/>
        <w:spacing w:after="0"/>
        <w:rPr>
          <w:rFonts w:ascii="Arial" w:cs="Arial" w:eastAsia="Arial" w:hAnsi="Arial"/>
          <w:sz w:val="15"/>
          <w:szCs w:val="15"/>
          <w:color w:val="auto"/>
        </w:rPr>
      </w:pPr>
      <w:r>
        <w:rPr>
          <w:rFonts w:ascii="Arial" w:cs="Arial" w:eastAsia="Arial" w:hAnsi="Arial"/>
          <w:sz w:val="15"/>
          <w:szCs w:val="15"/>
          <w:color w:val="auto"/>
        </w:rPr>
        <w:t>13,397</w:t>
      </w:r>
    </w:p>
    <w:p>
      <w:pPr>
        <w:spacing w:after="0" w:line="69" w:lineRule="exact"/>
        <w:rPr>
          <w:rFonts w:ascii="Arial" w:cs="Arial" w:eastAsia="Arial" w:hAnsi="Arial"/>
          <w:sz w:val="15"/>
          <w:szCs w:val="15"/>
          <w:color w:val="auto"/>
        </w:rPr>
      </w:pPr>
    </w:p>
    <w:p>
      <w:pPr>
        <w:ind w:left="877"/>
        <w:spacing w:after="0"/>
        <w:rPr>
          <w:rFonts w:ascii="Arial" w:cs="Arial" w:eastAsia="Arial" w:hAnsi="Arial"/>
          <w:sz w:val="15"/>
          <w:szCs w:val="15"/>
          <w:color w:val="auto"/>
        </w:rPr>
      </w:pPr>
      <w:r>
        <w:rPr>
          <w:rFonts w:ascii="Arial" w:cs="Arial" w:eastAsia="Arial" w:hAnsi="Arial"/>
          <w:sz w:val="15"/>
          <w:szCs w:val="15"/>
          <w:color w:val="auto"/>
        </w:rPr>
        <w:t>50,226</w:t>
      </w:r>
    </w:p>
    <w:p>
      <w:pPr>
        <w:spacing w:after="0" w:line="57" w:lineRule="exact"/>
        <w:rPr>
          <w:rFonts w:ascii="Arial" w:cs="Arial" w:eastAsia="Arial" w:hAnsi="Arial"/>
          <w:sz w:val="15"/>
          <w:szCs w:val="15"/>
          <w:color w:val="auto"/>
        </w:rPr>
      </w:pPr>
    </w:p>
    <w:p>
      <w:pPr>
        <w:ind w:left="957"/>
        <w:spacing w:after="0"/>
        <w:rPr>
          <w:rFonts w:ascii="Arial" w:cs="Arial" w:eastAsia="Arial" w:hAnsi="Arial"/>
          <w:sz w:val="15"/>
          <w:szCs w:val="15"/>
          <w:color w:val="auto"/>
        </w:rPr>
      </w:pPr>
      <w:r>
        <w:rPr>
          <w:rFonts w:ascii="Arial" w:cs="Arial" w:eastAsia="Arial" w:hAnsi="Arial"/>
          <w:sz w:val="15"/>
          <w:szCs w:val="15"/>
          <w:color w:val="auto"/>
        </w:rPr>
        <w:t>4,306</w:t>
      </w:r>
    </w:p>
    <w:p>
      <w:pPr>
        <w:spacing w:after="0" w:line="83" w:lineRule="exact"/>
        <w:rPr>
          <w:sz w:val="20"/>
          <w:szCs w:val="20"/>
          <w:color w:val="auto"/>
        </w:rPr>
      </w:pPr>
    </w:p>
    <w:p>
      <w:pPr>
        <w:ind w:left="877" w:hanging="877"/>
        <w:spacing w:after="0"/>
        <w:tabs>
          <w:tab w:leader="none" w:pos="877" w:val="left"/>
        </w:tabs>
        <w:numPr>
          <w:ilvl w:val="0"/>
          <w:numId w:val="36"/>
        </w:numPr>
        <w:rPr>
          <w:rFonts w:ascii="Arial" w:cs="Arial" w:eastAsia="Arial" w:hAnsi="Arial"/>
          <w:sz w:val="15"/>
          <w:szCs w:val="15"/>
          <w:color w:val="auto"/>
        </w:rPr>
      </w:pPr>
      <w:r>
        <w:rPr>
          <w:rFonts w:ascii="Arial" w:cs="Arial" w:eastAsia="Arial" w:hAnsi="Arial"/>
          <w:sz w:val="15"/>
          <w:szCs w:val="15"/>
          <w:color w:val="auto"/>
        </w:rPr>
        <w:t>45,920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8661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777" w:hanging="777"/>
        <w:spacing w:after="0"/>
        <w:tabs>
          <w:tab w:leader="none" w:pos="777" w:val="left"/>
        </w:tabs>
        <w:numPr>
          <w:ilvl w:val="0"/>
          <w:numId w:val="37"/>
        </w:numPr>
        <w:rPr>
          <w:rFonts w:ascii="Arial" w:cs="Arial" w:eastAsia="Arial" w:hAnsi="Arial"/>
          <w:sz w:val="16"/>
          <w:szCs w:val="16"/>
          <w:color w:val="auto"/>
        </w:rPr>
      </w:pPr>
      <w:r>
        <w:rPr>
          <w:rFonts w:ascii="Arial" w:cs="Arial" w:eastAsia="Arial" w:hAnsi="Arial"/>
          <w:sz w:val="16"/>
          <w:szCs w:val="16"/>
          <w:color w:val="auto"/>
        </w:rPr>
        <w:t>750,639</w:t>
      </w:r>
    </w:p>
    <w:p>
      <w:pPr>
        <w:spacing w:after="0" w:line="46" w:lineRule="exact"/>
        <w:rPr>
          <w:rFonts w:ascii="Arial" w:cs="Arial" w:eastAsia="Arial" w:hAnsi="Arial"/>
          <w:sz w:val="16"/>
          <w:szCs w:val="16"/>
          <w:color w:val="auto"/>
        </w:rPr>
      </w:pPr>
    </w:p>
    <w:p>
      <w:pPr>
        <w:ind w:left="777"/>
        <w:spacing w:after="0"/>
        <w:rPr>
          <w:rFonts w:ascii="Arial" w:cs="Arial" w:eastAsia="Arial" w:hAnsi="Arial"/>
          <w:sz w:val="16"/>
          <w:szCs w:val="16"/>
          <w:color w:val="auto"/>
        </w:rPr>
      </w:pPr>
      <w:r>
        <w:rPr>
          <w:rFonts w:ascii="Arial" w:cs="Arial" w:eastAsia="Arial" w:hAnsi="Arial"/>
          <w:sz w:val="16"/>
          <w:szCs w:val="16"/>
          <w:color w:val="auto"/>
        </w:rPr>
        <w:t>859,628</w:t>
      </w:r>
    </w:p>
    <w:p>
      <w:pPr>
        <w:spacing w:after="0" w:line="32" w:lineRule="exact"/>
        <w:rPr>
          <w:rFonts w:ascii="Arial" w:cs="Arial" w:eastAsia="Arial" w:hAnsi="Arial"/>
          <w:sz w:val="16"/>
          <w:szCs w:val="16"/>
          <w:color w:val="auto"/>
        </w:rPr>
      </w:pPr>
    </w:p>
    <w:p>
      <w:pPr>
        <w:ind w:left="957"/>
        <w:spacing w:after="0"/>
        <w:rPr>
          <w:rFonts w:ascii="Arial" w:cs="Arial" w:eastAsia="Arial" w:hAnsi="Arial"/>
          <w:sz w:val="16"/>
          <w:szCs w:val="16"/>
          <w:color w:val="auto"/>
        </w:rPr>
      </w:pPr>
      <w:r>
        <w:rPr>
          <w:rFonts w:ascii="Arial" w:cs="Arial" w:eastAsia="Arial" w:hAnsi="Arial"/>
          <w:sz w:val="15"/>
          <w:szCs w:val="15"/>
          <w:color w:val="auto"/>
        </w:rPr>
        <w:t>7,733</w:t>
      </w:r>
    </w:p>
    <w:p>
      <w:pPr>
        <w:spacing w:after="0" w:line="648" w:lineRule="exact"/>
        <w:rPr>
          <w:sz w:val="20"/>
          <w:szCs w:val="20"/>
          <w:color w:val="auto"/>
        </w:rPr>
      </w:pPr>
    </w:p>
    <w:p>
      <w:pPr>
        <w:sectPr>
          <w:pgSz w:w="11900" w:h="16838" w:orient="portrait"/>
          <w:cols w:equalWidth="0" w:num="2">
            <w:col w:w="7815" w:space="720"/>
            <w:col w:w="2877"/>
          </w:cols>
          <w:pgMar w:left="248" w:top="904" w:right="239" w:bottom="1440" w:gutter="0" w:footer="0" w:header="0"/>
          <w:type w:val="continuous"/>
        </w:sectPr>
      </w:pPr>
    </w:p>
    <w:p>
      <w:pPr>
        <w:spacing w:after="0" w:line="29" w:lineRule="exact"/>
        <w:rPr>
          <w:sz w:val="20"/>
          <w:szCs w:val="20"/>
          <w:color w:val="auto"/>
        </w:rPr>
      </w:pPr>
    </w:p>
    <w:p>
      <w:pPr>
        <w:jc w:val="both"/>
        <w:ind w:left="332"/>
        <w:spacing w:after="0" w:line="290" w:lineRule="auto"/>
        <w:rPr>
          <w:sz w:val="20"/>
          <w:szCs w:val="20"/>
          <w:color w:val="auto"/>
        </w:rPr>
      </w:pPr>
      <w:r>
        <w:rPr>
          <w:rFonts w:ascii="Arial" w:cs="Arial" w:eastAsia="Arial" w:hAnsi="Arial"/>
          <w:sz w:val="16"/>
          <w:szCs w:val="16"/>
          <w:color w:val="auto"/>
        </w:rPr>
        <w:t>On May 1, 2015, United completed the acquisition of MoneyTree Corporation (“MoneyTree”) and its wholly-owned bank subsidiary, First National Bank (“FNB”). FNB operated ten branches in east Tennessee. In connection with the acquisition, United acquired $459 million of assets and assumed $410 million of liabilities and $9.99 million of preferred stock. Total consideration transferred was $54.6 million of common equity and cash. The fair value of consideration paid exceeded the fair value of the identifiable assets and liabilities acquired and resulted in the establishment of goodwill in the amount of $14.7 million, representing the intangible value of FNB’s business and reputation within the market it serves. None of the goodwill recognized is expected to be deductible for income tax purposes. United will amortize the related core deposit intangible of $4.22 million using the sum-of-the-years-digits method over 6.67 years, which represents the expected useful life of the asset. The deposit premium of $917,000 will be amortized using the effective yield method over 5 years, which represents the weighted average maturity of the underlying deposits.</w:t>
      </w:r>
    </w:p>
    <w:p>
      <w:pPr>
        <w:spacing w:after="0" w:line="166" w:lineRule="exact"/>
        <w:rPr>
          <w:sz w:val="20"/>
          <w:szCs w:val="20"/>
          <w:color w:val="auto"/>
        </w:rPr>
      </w:pPr>
    </w:p>
    <w:p>
      <w:pPr>
        <w:jc w:val="both"/>
        <w:ind w:left="332"/>
        <w:spacing w:after="0" w:line="277" w:lineRule="auto"/>
        <w:rPr>
          <w:sz w:val="20"/>
          <w:szCs w:val="20"/>
          <w:color w:val="auto"/>
        </w:rPr>
      </w:pPr>
      <w:r>
        <w:rPr>
          <w:rFonts w:ascii="Arial" w:cs="Arial" w:eastAsia="Arial" w:hAnsi="Arial"/>
          <w:sz w:val="18"/>
          <w:szCs w:val="18"/>
          <w:color w:val="auto"/>
        </w:rPr>
        <w:t>The fair value of the 2.36 million common shares issued as part of the consideration paid for MoneyTree was determined on the basis of the closing market price of United’s common shares on the acquisition date.</w:t>
      </w:r>
    </w:p>
    <w:p>
      <w:pPr>
        <w:spacing w:after="0" w:line="170" w:lineRule="exact"/>
        <w:rPr>
          <w:sz w:val="20"/>
          <w:szCs w:val="20"/>
          <w:color w:val="auto"/>
        </w:rPr>
      </w:pPr>
    </w:p>
    <w:p>
      <w:pPr>
        <w:jc w:val="both"/>
        <w:ind w:left="332"/>
        <w:spacing w:after="0" w:line="312" w:lineRule="auto"/>
        <w:rPr>
          <w:sz w:val="20"/>
          <w:szCs w:val="20"/>
          <w:color w:val="auto"/>
        </w:rPr>
      </w:pPr>
      <w:r>
        <w:rPr>
          <w:rFonts w:ascii="Arial" w:cs="Arial" w:eastAsia="Arial" w:hAnsi="Arial"/>
          <w:sz w:val="16"/>
          <w:szCs w:val="16"/>
          <w:color w:val="auto"/>
        </w:rPr>
        <w:t>Upon completion of the acquisition, each share of preferred stock issued by MoneyTree as part of the Small Business Lending Fund (“SBLF”) program of the U.S. Department of the Treasury (9,992 shares in the aggregate with a liquidation preference amount of $1,000 per share) was converted automatically into one substantially identical share of preferred stock of the Company. See Note 21 for further information on preferred stock.</w:t>
      </w:r>
    </w:p>
    <w:p>
      <w:pPr>
        <w:spacing w:after="0" w:line="36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type w:val="continuous"/>
        </w:sectPr>
      </w:pPr>
    </w:p>
    <w:bookmarkStart w:id="80" w:name="page81"/>
    <w:bookmarkEnd w:id="80"/>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29" w:lineRule="exact"/>
        <w:rPr>
          <w:rFonts w:ascii="Arial" w:cs="Arial" w:eastAsia="Arial" w:hAnsi="Arial"/>
          <w:sz w:val="18"/>
          <w:szCs w:val="18"/>
          <w:b w:val="1"/>
          <w:bCs w:val="1"/>
          <w:color w:val="auto"/>
        </w:rPr>
      </w:pPr>
    </w:p>
    <w:p>
      <w:pPr>
        <w:jc w:val="both"/>
        <w:ind w:left="3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United’s operating results for the year ended December 31, 2015 include the operating results of the acquired assets and assumed liabilities for the period subsequent to the acquisition date of May 1, 2015. The purchased assets and assumed liabilities were recorded at their acquisition date fair values, and are summarized in the table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0" w:lineRule="exact"/>
        <w:rPr>
          <w:sz w:val="20"/>
          <w:szCs w:val="20"/>
          <w:color w:val="auto"/>
        </w:rPr>
      </w:pPr>
    </w:p>
    <w:tbl>
      <w:tblPr>
        <w:tblLayout w:type="fixed"/>
        <w:tblInd w:w="972"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As Recorded</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As Recorded by</w:t>
            </w:r>
          </w:p>
        </w:tc>
      </w:tr>
      <w:tr>
        <w:trPr>
          <w:trHeight w:val="232"/>
        </w:trPr>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by MoneyTree</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line="225" w:lineRule="exact"/>
              <w:rPr>
                <w:sz w:val="20"/>
                <w:szCs w:val="20"/>
                <w:color w:val="auto"/>
              </w:rPr>
            </w:pPr>
            <w:r>
              <w:rPr>
                <w:rFonts w:ascii="Arial" w:cs="Arial" w:eastAsia="Arial" w:hAnsi="Arial"/>
                <w:sz w:val="14"/>
                <w:szCs w:val="14"/>
                <w:b w:val="1"/>
                <w:bCs w:val="1"/>
                <w:color w:val="auto"/>
                <w:w w:val="89"/>
              </w:rPr>
              <w:t xml:space="preserve">Adjustments </w:t>
            </w:r>
            <w:r>
              <w:rPr>
                <w:rFonts w:ascii="Arial" w:cs="Arial" w:eastAsia="Arial" w:hAnsi="Arial"/>
                <w:sz w:val="26"/>
                <w:szCs w:val="26"/>
                <w:b w:val="1"/>
                <w:bCs w:val="1"/>
                <w:color w:val="auto"/>
                <w:w w:val="89"/>
                <w:vertAlign w:val="superscript"/>
              </w:rPr>
              <w:t>(1)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United</w:t>
            </w:r>
          </w:p>
        </w:tc>
      </w:tr>
      <w:tr>
        <w:trPr>
          <w:trHeight w:val="216"/>
        </w:trPr>
        <w:tc>
          <w:tcPr>
            <w:tcW w:w="52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55,293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55,293</w:t>
            </w:r>
          </w:p>
        </w:tc>
      </w:tr>
      <w:tr>
        <w:trPr>
          <w:trHeight w:val="216"/>
        </w:trPr>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127,123</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(52)</w:t>
            </w: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127,071</w:t>
            </w:r>
          </w:p>
        </w:tc>
        <w:tc>
          <w:tcPr>
            <w:tcW w:w="100" w:type="dxa"/>
            <w:vAlign w:val="bottom"/>
            <w:shd w:val="clear" w:color="auto" w:fill="F0FF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1,342</w:t>
            </w:r>
          </w:p>
        </w:tc>
        <w:tc>
          <w:tcPr>
            <w:tcW w:w="100" w:type="dxa"/>
            <w:vAlign w:val="bottom"/>
          </w:tcPr>
          <w:p>
            <w:pPr>
              <w:spacing w:after="0"/>
              <w:rPr>
                <w:sz w:val="18"/>
                <w:szCs w:val="18"/>
                <w:color w:val="auto"/>
              </w:rPr>
            </w:pPr>
          </w:p>
        </w:tc>
      </w:tr>
      <w:tr>
        <w:trPr>
          <w:trHeight w:val="216"/>
        </w:trPr>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Loans, net</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246,816</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(2,464)</w:t>
            </w: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244,352</w:t>
            </w:r>
          </w:p>
        </w:tc>
        <w:tc>
          <w:tcPr>
            <w:tcW w:w="100" w:type="dxa"/>
            <w:vAlign w:val="bottom"/>
            <w:shd w:val="clear" w:color="auto" w:fill="F0FF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9,497</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1,362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10,859</w:t>
            </w:r>
          </w:p>
        </w:tc>
      </w:tr>
      <w:tr>
        <w:trPr>
          <w:trHeight w:val="216"/>
        </w:trPr>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Bank owned life insurance</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11,194</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11,194</w:t>
            </w:r>
          </w:p>
        </w:tc>
        <w:tc>
          <w:tcPr>
            <w:tcW w:w="100" w:type="dxa"/>
            <w:vAlign w:val="bottom"/>
            <w:shd w:val="clear" w:color="auto" w:fill="F0FF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Core deposit intangible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8"/>
                <w:szCs w:val="18"/>
                <w:color w:val="auto"/>
              </w:rPr>
            </w:pPr>
          </w:p>
        </w:tc>
      </w:tr>
      <w:tr>
        <w:trPr>
          <w:trHeight w:val="250"/>
        </w:trPr>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5,462</w:t>
            </w: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(399)</w:t>
            </w:r>
          </w:p>
        </w:tc>
        <w:tc>
          <w:tcPr>
            <w:tcW w:w="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5,063</w:t>
            </w:r>
          </w:p>
        </w:tc>
        <w:tc>
          <w:tcPr>
            <w:tcW w:w="100" w:type="dxa"/>
            <w:vAlign w:val="bottom"/>
            <w:shd w:val="clear" w:color="auto" w:fill="F0FFFF"/>
          </w:tcPr>
          <w:p>
            <w:pPr>
              <w:spacing w:after="0"/>
              <w:rPr>
                <w:sz w:val="21"/>
                <w:szCs w:val="21"/>
                <w:color w:val="auto"/>
              </w:rPr>
            </w:pPr>
          </w:p>
        </w:tc>
      </w:tr>
      <w:tr>
        <w:trPr>
          <w:trHeight w:val="217"/>
        </w:trPr>
        <w:tc>
          <w:tcPr>
            <w:tcW w:w="5220" w:type="dxa"/>
            <w:vAlign w:val="bottom"/>
            <w:tcBorders>
              <w:top w:val="single" w:sz="8" w:color="F0FFFF"/>
            </w:tcBorders>
          </w:tcPr>
          <w:p>
            <w:pPr>
              <w:ind w:left="160"/>
              <w:spacing w:after="0"/>
              <w:rPr>
                <w:sz w:val="20"/>
                <w:szCs w:val="20"/>
                <w:color w:val="auto"/>
              </w:rPr>
            </w:pPr>
            <w:r>
              <w:rPr>
                <w:rFonts w:ascii="Arial" w:cs="Arial" w:eastAsia="Arial" w:hAnsi="Arial"/>
                <w:sz w:val="18"/>
                <w:szCs w:val="18"/>
                <w:b w:val="1"/>
                <w:bCs w:val="1"/>
                <w:color w:val="auto"/>
              </w:rPr>
              <w:t>Total assets acquired</w:t>
            </w:r>
          </w:p>
        </w:tc>
        <w:tc>
          <w:tcPr>
            <w:tcW w:w="2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456,727</w:t>
            </w:r>
          </w:p>
        </w:tc>
        <w:tc>
          <w:tcPr>
            <w:tcW w:w="18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12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459,394</w:t>
            </w:r>
          </w:p>
        </w:tc>
        <w:tc>
          <w:tcPr>
            <w:tcW w:w="100" w:type="dxa"/>
            <w:vAlign w:val="bottom"/>
            <w:tcBorders>
              <w:top w:val="single" w:sz="8" w:color="F0FFFF"/>
            </w:tcBorders>
          </w:tcPr>
          <w:p>
            <w:pPr>
              <w:spacing w:after="0"/>
              <w:rPr>
                <w:sz w:val="18"/>
                <w:szCs w:val="18"/>
                <w:color w:val="auto"/>
              </w:rPr>
            </w:pPr>
          </w:p>
        </w:tc>
      </w:tr>
      <w:tr>
        <w:trPr>
          <w:trHeight w:val="20"/>
        </w:trPr>
        <w:tc>
          <w:tcPr>
            <w:tcW w:w="5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r>
      <w:tr>
        <w:trPr>
          <w:trHeight w:val="210"/>
        </w:trPr>
        <w:tc>
          <w:tcPr>
            <w:tcW w:w="52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Deposits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368,833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369,750</w:t>
            </w:r>
          </w:p>
        </w:tc>
        <w:tc>
          <w:tcPr>
            <w:tcW w:w="100" w:type="dxa"/>
            <w:vAlign w:val="bottom"/>
          </w:tcPr>
          <w:p>
            <w:pPr>
              <w:spacing w:after="0"/>
              <w:rPr>
                <w:sz w:val="18"/>
                <w:szCs w:val="18"/>
                <w:color w:val="auto"/>
              </w:rPr>
            </w:pPr>
          </w:p>
        </w:tc>
      </w:tr>
      <w:tr>
        <w:trPr>
          <w:trHeight w:val="216"/>
        </w:trPr>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Short-term borrowings</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15,000</w:t>
            </w: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22,000</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22,070</w:t>
            </w:r>
          </w:p>
        </w:tc>
      </w:tr>
      <w:tr>
        <w:trPr>
          <w:trHeight w:val="250"/>
        </w:trPr>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3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F0FFFF"/>
          </w:tcPr>
          <w:p>
            <w:pPr>
              <w:spacing w:after="0"/>
              <w:rPr>
                <w:sz w:val="21"/>
                <w:szCs w:val="21"/>
                <w:color w:val="auto"/>
              </w:rPr>
            </w:pPr>
          </w:p>
        </w:tc>
        <w:tc>
          <w:tcPr>
            <w:tcW w:w="12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1,828</w:t>
            </w:r>
          </w:p>
        </w:tc>
        <w:tc>
          <w:tcPr>
            <w:tcW w:w="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2,692</w:t>
            </w:r>
          </w:p>
        </w:tc>
        <w:tc>
          <w:tcPr>
            <w:tcW w:w="100" w:type="dxa"/>
            <w:vAlign w:val="bottom"/>
            <w:shd w:val="clear" w:color="auto" w:fill="F0FFFF"/>
          </w:tcPr>
          <w:p>
            <w:pPr>
              <w:spacing w:after="0"/>
              <w:rPr>
                <w:sz w:val="21"/>
                <w:szCs w:val="21"/>
                <w:color w:val="auto"/>
              </w:rPr>
            </w:pPr>
          </w:p>
        </w:tc>
      </w:tr>
      <w:tr>
        <w:trPr>
          <w:trHeight w:val="210"/>
        </w:trPr>
        <w:tc>
          <w:tcPr>
            <w:tcW w:w="5220" w:type="dxa"/>
            <w:vAlign w:val="bottom"/>
            <w:tcBorders>
              <w:top w:val="single" w:sz="8" w:color="F0FFFF"/>
              <w:bottom w:val="single" w:sz="8" w:color="F0FFFF"/>
            </w:tcBorders>
          </w:tcPr>
          <w:p>
            <w:pPr>
              <w:ind w:left="160"/>
              <w:spacing w:after="0" w:line="203" w:lineRule="exact"/>
              <w:rPr>
                <w:sz w:val="20"/>
                <w:szCs w:val="20"/>
                <w:color w:val="auto"/>
              </w:rPr>
            </w:pPr>
            <w:r>
              <w:rPr>
                <w:rFonts w:ascii="Arial" w:cs="Arial" w:eastAsia="Arial" w:hAnsi="Arial"/>
                <w:sz w:val="18"/>
                <w:szCs w:val="18"/>
                <w:b w:val="1"/>
                <w:bCs w:val="1"/>
                <w:color w:val="auto"/>
              </w:rPr>
              <w:t>Total liabilities assumed</w:t>
            </w:r>
          </w:p>
        </w:tc>
        <w:tc>
          <w:tcPr>
            <w:tcW w:w="220" w:type="dxa"/>
            <w:vAlign w:val="bottom"/>
            <w:tcBorders>
              <w:top w:val="single" w:sz="8" w:color="F0FFFF"/>
              <w:bottom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406,697</w:t>
            </w:r>
          </w:p>
        </w:tc>
        <w:tc>
          <w:tcPr>
            <w:tcW w:w="18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2,815</w:t>
            </w:r>
          </w:p>
        </w:tc>
        <w:tc>
          <w:tcPr>
            <w:tcW w:w="12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409,512</w:t>
            </w:r>
          </w:p>
        </w:tc>
        <w:tc>
          <w:tcPr>
            <w:tcW w:w="100" w:type="dxa"/>
            <w:vAlign w:val="bottom"/>
            <w:tcBorders>
              <w:top w:val="single" w:sz="8" w:color="F0FFFF"/>
              <w:bottom w:val="single" w:sz="8" w:color="F0FFFF"/>
            </w:tcBorders>
          </w:tcPr>
          <w:p>
            <w:pPr>
              <w:spacing w:after="0"/>
              <w:rPr>
                <w:sz w:val="18"/>
                <w:szCs w:val="18"/>
                <w:color w:val="auto"/>
              </w:rPr>
            </w:pPr>
          </w:p>
        </w:tc>
      </w:tr>
      <w:tr>
        <w:trPr>
          <w:trHeight w:val="236"/>
        </w:trPr>
        <w:tc>
          <w:tcPr>
            <w:tcW w:w="52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SBLF preferred stock assumed</w:t>
            </w:r>
          </w:p>
        </w:tc>
        <w:tc>
          <w:tcPr>
            <w:tcW w:w="22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9,992</w:t>
            </w:r>
          </w:p>
        </w:tc>
        <w:tc>
          <w:tcPr>
            <w:tcW w:w="18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F0FFFF"/>
            </w:tcBorders>
            <w:shd w:val="clear" w:color="auto" w:fill="F0FFFF"/>
          </w:tcPr>
          <w:p>
            <w:pPr>
              <w:spacing w:after="0"/>
              <w:rPr>
                <w:sz w:val="20"/>
                <w:szCs w:val="20"/>
                <w:color w:val="auto"/>
              </w:rPr>
            </w:pPr>
          </w:p>
        </w:tc>
        <w:tc>
          <w:tcPr>
            <w:tcW w:w="6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auto"/>
            </w:tcBorders>
            <w:shd w:val="clear" w:color="auto" w:fill="F0FFFF"/>
          </w:tcPr>
          <w:p>
            <w:pPr>
              <w:spacing w:after="0"/>
              <w:rPr>
                <w:sz w:val="20"/>
                <w:szCs w:val="20"/>
                <w:color w:val="auto"/>
              </w:rPr>
            </w:pPr>
          </w:p>
        </w:tc>
        <w:tc>
          <w:tcPr>
            <w:tcW w:w="1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Borders>
              <w:bottom w:val="single" w:sz="8" w:color="F0FFFF"/>
            </w:tcBorders>
            <w:shd w:val="clear" w:color="auto" w:fill="F0FFFF"/>
          </w:tcPr>
          <w:p>
            <w:pPr>
              <w:spacing w:after="0"/>
              <w:rPr>
                <w:sz w:val="20"/>
                <w:szCs w:val="20"/>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w w:val="92"/>
              </w:rPr>
              <w:t>Excess of assets acquired over liabilities and preferred stock assumed</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40,038</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14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r>
      <w:tr>
        <w:trPr>
          <w:trHeight w:val="257"/>
        </w:trPr>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Aggregate fair value adjustments</w:t>
            </w:r>
          </w:p>
        </w:tc>
        <w:tc>
          <w:tcPr>
            <w:tcW w:w="22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114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(148)</w:t>
            </w:r>
          </w:p>
        </w:tc>
        <w:tc>
          <w:tcPr>
            <w:tcW w:w="6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14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r>
      <w:tr>
        <w:trPr>
          <w:trHeight w:val="20"/>
        </w:trPr>
        <w:tc>
          <w:tcPr>
            <w:tcW w:w="5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12"/>
          </w:cols>
          <w:pgMar w:left="248" w:top="904" w:right="239" w:bottom="1440" w:gutter="0" w:footer="0" w:header="0"/>
        </w:sectPr>
      </w:pPr>
    </w:p>
    <w:p>
      <w:pPr>
        <w:ind w:left="972"/>
        <w:spacing w:after="0"/>
        <w:rPr>
          <w:sz w:val="20"/>
          <w:szCs w:val="20"/>
          <w:color w:val="auto"/>
        </w:rPr>
      </w:pPr>
      <w:r>
        <w:rPr>
          <w:rFonts w:ascii="Arial" w:cs="Arial" w:eastAsia="Arial" w:hAnsi="Arial"/>
          <w:sz w:val="18"/>
          <w:szCs w:val="18"/>
          <w:b w:val="1"/>
          <w:bCs w:val="1"/>
          <w:color w:val="auto"/>
        </w:rPr>
        <w:t>Consideration transferred</w:t>
      </w:r>
    </w:p>
    <w:p>
      <w:pPr>
        <w:spacing w:after="0" w:line="9" w:lineRule="exact"/>
        <w:rPr>
          <w:sz w:val="20"/>
          <w:szCs w:val="20"/>
          <w:color w:val="auto"/>
        </w:rPr>
      </w:pPr>
    </w:p>
    <w:p>
      <w:pPr>
        <w:ind w:left="972"/>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-130810</wp:posOffset>
            </wp:positionV>
            <wp:extent cx="615759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972"/>
        <w:spacing w:after="0"/>
        <w:rPr>
          <w:sz w:val="20"/>
          <w:szCs w:val="20"/>
          <w:color w:val="auto"/>
        </w:rPr>
      </w:pPr>
      <w:r>
        <w:rPr>
          <w:rFonts w:ascii="Arial" w:cs="Arial" w:eastAsia="Arial" w:hAnsi="Arial"/>
          <w:sz w:val="18"/>
          <w:szCs w:val="18"/>
          <w:color w:val="auto"/>
        </w:rPr>
        <w:t>Common stock issued (2,358,503 shares)</w:t>
      </w:r>
    </w:p>
    <w:p>
      <w:pPr>
        <w:spacing w:after="0" w:line="18" w:lineRule="exact"/>
        <w:rPr>
          <w:sz w:val="20"/>
          <w:szCs w:val="20"/>
          <w:color w:val="auto"/>
        </w:rPr>
      </w:pPr>
    </w:p>
    <w:p>
      <w:pPr>
        <w:ind w:left="1132"/>
        <w:spacing w:after="0"/>
        <w:rPr>
          <w:sz w:val="20"/>
          <w:szCs w:val="20"/>
          <w:color w:val="auto"/>
        </w:rPr>
      </w:pPr>
      <w:r>
        <w:rPr>
          <w:rFonts w:ascii="Arial" w:cs="Arial" w:eastAsia="Arial" w:hAnsi="Arial"/>
          <w:sz w:val="16"/>
          <w:szCs w:val="16"/>
          <w:b w:val="1"/>
          <w:bCs w:val="1"/>
          <w:color w:val="auto"/>
        </w:rPr>
        <w:t>Total 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-113030</wp:posOffset>
            </wp:positionV>
            <wp:extent cx="6157595"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157595" cy="171450"/>
                    </a:xfrm>
                    <a:prstGeom prst="rect">
                      <a:avLst/>
                    </a:prstGeom>
                    <a:noFill/>
                  </pic:spPr>
                </pic:pic>
              </a:graphicData>
            </a:graphic>
          </wp:anchor>
        </w:drawing>
      </w:r>
    </w:p>
    <w:p>
      <w:pPr>
        <w:spacing w:after="0" w:line="43" w:lineRule="exact"/>
        <w:rPr>
          <w:sz w:val="20"/>
          <w:szCs w:val="20"/>
          <w:color w:val="auto"/>
        </w:rPr>
      </w:pPr>
    </w:p>
    <w:p>
      <w:pPr>
        <w:ind w:left="972"/>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10,699</w:t>
      </w:r>
    </w:p>
    <w:p>
      <w:pPr>
        <w:spacing w:after="0" w:line="23"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43,892</w:t>
      </w:r>
    </w:p>
    <w:p>
      <w:pPr>
        <w:spacing w:after="0" w:line="35"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54,591</w:t>
      </w:r>
    </w:p>
    <w:p>
      <w:pPr>
        <w:spacing w:after="0" w:line="50" w:lineRule="exact"/>
        <w:rPr>
          <w:sz w:val="20"/>
          <w:szCs w:val="20"/>
          <w:color w:val="auto"/>
        </w:rPr>
      </w:pPr>
    </w:p>
    <w:p>
      <w:pPr>
        <w:ind w:left="760" w:hanging="753"/>
        <w:spacing w:after="0"/>
        <w:tabs>
          <w:tab w:leader="none" w:pos="7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14,701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975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55245</wp:posOffset>
            </wp:positionV>
            <wp:extent cx="7975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92" w:space="720"/>
            <w:col w:w="2100"/>
          </w:cols>
          <w:pgMar w:left="248" w:top="904" w:right="239" w:bottom="1440" w:gutter="0" w:footer="0" w:header="0"/>
          <w:type w:val="continuous"/>
        </w:sectPr>
      </w:pPr>
    </w:p>
    <w:p>
      <w:pPr>
        <w:spacing w:after="0" w:line="143" w:lineRule="exact"/>
        <w:rPr>
          <w:sz w:val="20"/>
          <w:szCs w:val="20"/>
          <w:color w:val="auto"/>
        </w:rPr>
      </w:pPr>
    </w:p>
    <w:p>
      <w:pPr>
        <w:ind w:left="972" w:right="620"/>
        <w:spacing w:after="0" w:line="221" w:lineRule="auto"/>
        <w:tabs>
          <w:tab w:leader="none" w:pos="1184" w:val="left"/>
        </w:tabs>
        <w:numPr>
          <w:ilvl w:val="0"/>
          <w:numId w:val="40"/>
        </w:numPr>
        <w:rPr>
          <w:rFonts w:ascii="Arial" w:cs="Arial" w:eastAsia="Arial" w:hAnsi="Arial"/>
          <w:sz w:val="26"/>
          <w:szCs w:val="26"/>
          <w:color w:val="auto"/>
          <w:vertAlign w:val="superscript"/>
        </w:rPr>
      </w:pPr>
      <w:r>
        <w:rPr>
          <w:rFonts w:ascii="Arial" w:cs="Arial" w:eastAsia="Arial" w:hAnsi="Arial"/>
          <w:sz w:val="16"/>
          <w:szCs w:val="16"/>
          <w:color w:val="auto"/>
        </w:rPr>
        <w:t>Fair values are preliminary and are subject to refinement for a period not to exceed one year after the closing date of an acquisition as information relative to closing date fair values becomes available.</w:t>
      </w:r>
    </w:p>
    <w:p>
      <w:pPr>
        <w:spacing w:after="0" w:line="204" w:lineRule="exact"/>
        <w:rPr>
          <w:sz w:val="20"/>
          <w:szCs w:val="20"/>
          <w:color w:val="auto"/>
        </w:rPr>
      </w:pPr>
    </w:p>
    <w:p>
      <w:pPr>
        <w:jc w:val="both"/>
        <w:ind w:left="332"/>
        <w:spacing w:after="0" w:line="286" w:lineRule="auto"/>
        <w:rPr>
          <w:sz w:val="20"/>
          <w:szCs w:val="20"/>
          <w:color w:val="auto"/>
        </w:rPr>
      </w:pPr>
      <w:r>
        <w:rPr>
          <w:rFonts w:ascii="Arial" w:cs="Arial" w:eastAsia="Arial" w:hAnsi="Arial"/>
          <w:sz w:val="17"/>
          <w:szCs w:val="17"/>
          <w:color w:val="auto"/>
        </w:rPr>
        <w:t>Since the acquisition date, within the one year measurement period, United received additional information regarding the fair value of premises and equipment. As a result, the provisional value assigned to the acquired premises and equipment has been reduced by $2.40 million, partially offset by acquisition-related adjustments to deferred tax assets. The net of these adjustments was reflected as an increase in goodwill.</w:t>
      </w:r>
    </w:p>
    <w:p>
      <w:pPr>
        <w:spacing w:after="0" w:line="166"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portfolio at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ectPr>
          <w:pgSz w:w="11900" w:h="16838" w:orient="portrait"/>
          <w:cols w:equalWidth="0" w:num="1">
            <w:col w:w="11412"/>
          </w:cols>
          <w:pgMar w:left="248" w:top="904" w:right="2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1432"/>
        <w:spacing w:after="0"/>
        <w:rPr>
          <w:sz w:val="20"/>
          <w:szCs w:val="20"/>
          <w:color w:val="auto"/>
        </w:rPr>
      </w:pPr>
      <w:r>
        <w:rPr>
          <w:rFonts w:ascii="Arial" w:cs="Arial" w:eastAsia="Arial" w:hAnsi="Arial"/>
          <w:sz w:val="18"/>
          <w:szCs w:val="18"/>
          <w:b w:val="1"/>
          <w:bCs w:val="1"/>
          <w:color w:val="auto"/>
        </w:rPr>
        <w:t>Accounted for pursuant to ASC 310-30: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-136525</wp:posOffset>
            </wp:positionV>
            <wp:extent cx="5428615"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7"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Contractually required principal and interest</w:t>
      </w:r>
    </w:p>
    <w:p>
      <w:pPr>
        <w:spacing w:after="0" w:line="9"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Non-accretable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-130810</wp:posOffset>
            </wp:positionV>
            <wp:extent cx="5428615"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428615" cy="163195"/>
                    </a:xfrm>
                    <a:prstGeom prst="rect">
                      <a:avLst/>
                    </a:prstGeom>
                    <a:noFill/>
                  </pic:spPr>
                </pic:pic>
              </a:graphicData>
            </a:graphic>
          </wp:anchor>
        </w:drawing>
      </w:r>
    </w:p>
    <w:p>
      <w:pPr>
        <w:spacing w:after="0" w:line="15"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Cash flows expected to be collected</w:t>
      </w:r>
    </w:p>
    <w:p>
      <w:pPr>
        <w:spacing w:after="0" w:line="23"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Accretable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-130810</wp:posOffset>
            </wp:positionV>
            <wp:extent cx="5428615"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28615" cy="163195"/>
                    </a:xfrm>
                    <a:prstGeom prst="rect">
                      <a:avLst/>
                    </a:prstGeom>
                    <a:noFill/>
                  </pic:spPr>
                </pic:pic>
              </a:graphicData>
            </a:graphic>
          </wp:anchor>
        </w:drawing>
      </w:r>
    </w:p>
    <w:p>
      <w:pPr>
        <w:spacing w:after="0" w:line="2"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48895</wp:posOffset>
            </wp:positionV>
            <wp:extent cx="5428615"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82" w:lineRule="exact"/>
        <w:rPr>
          <w:sz w:val="20"/>
          <w:szCs w:val="20"/>
          <w:color w:val="auto"/>
        </w:rPr>
      </w:pPr>
    </w:p>
    <w:p>
      <w:pPr>
        <w:ind w:left="1432"/>
        <w:spacing w:after="0"/>
        <w:rPr>
          <w:sz w:val="20"/>
          <w:szCs w:val="20"/>
          <w:color w:val="auto"/>
        </w:rPr>
      </w:pPr>
      <w:r>
        <w:rPr>
          <w:rFonts w:ascii="Arial" w:cs="Arial" w:eastAsia="Arial" w:hAnsi="Arial"/>
          <w:sz w:val="18"/>
          <w:szCs w:val="18"/>
          <w:b w:val="1"/>
          <w:bCs w:val="1"/>
          <w:color w:val="auto"/>
        </w:rPr>
        <w:t>Excluded from ASC 310-30:</w:t>
      </w:r>
    </w:p>
    <w:p>
      <w:pPr>
        <w:spacing w:after="0" w:line="27" w:lineRule="exact"/>
        <w:rPr>
          <w:sz w:val="20"/>
          <w:szCs w:val="20"/>
          <w:color w:val="auto"/>
        </w:rPr>
      </w:pPr>
    </w:p>
    <w:p>
      <w:pPr>
        <w:ind w:left="1432"/>
        <w:spacing w:after="0"/>
        <w:rPr>
          <w:sz w:val="20"/>
          <w:szCs w:val="20"/>
          <w:color w:val="auto"/>
        </w:rPr>
      </w:pPr>
      <w:r>
        <w:rPr>
          <w:rFonts w:ascii="Arial" w:cs="Arial" w:eastAsia="Arial" w:hAnsi="Arial"/>
          <w:sz w:val="18"/>
          <w:szCs w:val="18"/>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-130810</wp:posOffset>
            </wp:positionV>
            <wp:extent cx="5428615"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ind w:left="1432"/>
        <w:spacing w:after="0"/>
        <w:rPr>
          <w:sz w:val="20"/>
          <w:szCs w:val="20"/>
          <w:color w:val="auto"/>
        </w:rPr>
      </w:pPr>
      <w:r>
        <w:rPr>
          <w:rFonts w:ascii="Arial" w:cs="Arial" w:eastAsia="Arial" w:hAnsi="Arial"/>
          <w:sz w:val="18"/>
          <w:szCs w:val="18"/>
          <w:color w:val="auto"/>
        </w:rPr>
        <w:t>Gross contractual amounts receivable</w:t>
      </w:r>
    </w:p>
    <w:p>
      <w:pPr>
        <w:spacing w:after="0" w:line="9" w:lineRule="exact"/>
        <w:rPr>
          <w:sz w:val="20"/>
          <w:szCs w:val="20"/>
          <w:color w:val="auto"/>
        </w:rPr>
      </w:pPr>
    </w:p>
    <w:p>
      <w:pPr>
        <w:ind w:left="1432"/>
        <w:spacing w:after="0"/>
        <w:rPr>
          <w:sz w:val="20"/>
          <w:szCs w:val="20"/>
          <w:color w:val="auto"/>
        </w:rPr>
      </w:pPr>
      <w:r>
        <w:rPr>
          <w:rFonts w:ascii="Arial" w:cs="Arial" w:eastAsia="Arial" w:hAnsi="Arial"/>
          <w:sz w:val="16"/>
          <w:szCs w:val="16"/>
          <w:color w:val="auto"/>
        </w:rPr>
        <w:t>Estimate of contractual cash flows not expected to be collected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-116205</wp:posOffset>
            </wp:positionV>
            <wp:extent cx="5428615"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May 1, 2015</w:t>
      </w:r>
    </w:p>
    <w:p>
      <w:pPr>
        <w:spacing w:after="0" w:line="239" w:lineRule="exact"/>
        <w:rPr>
          <w:sz w:val="20"/>
          <w:szCs w:val="20"/>
          <w:color w:val="auto"/>
        </w:rPr>
      </w:pPr>
    </w:p>
    <w:p>
      <w:pPr>
        <w:ind w:left="880" w:hanging="877"/>
        <w:spacing w:after="0"/>
        <w:tabs>
          <w:tab w:leader="none" w:pos="8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15,152</w:t>
      </w:r>
    </w:p>
    <w:p>
      <w:pPr>
        <w:spacing w:after="0" w:line="57" w:lineRule="exact"/>
        <w:rPr>
          <w:rFonts w:ascii="Arial" w:cs="Arial" w:eastAsia="Arial" w:hAnsi="Arial"/>
          <w:sz w:val="15"/>
          <w:szCs w:val="15"/>
          <w:color w:val="auto"/>
        </w:rPr>
      </w:pPr>
    </w:p>
    <w:p>
      <w:pPr>
        <w:ind w:left="960"/>
        <w:spacing w:after="0"/>
        <w:rPr>
          <w:rFonts w:ascii="Arial" w:cs="Arial" w:eastAsia="Arial" w:hAnsi="Arial"/>
          <w:sz w:val="15"/>
          <w:szCs w:val="15"/>
          <w:color w:val="auto"/>
        </w:rPr>
      </w:pPr>
      <w:r>
        <w:rPr>
          <w:rFonts w:ascii="Arial" w:cs="Arial" w:eastAsia="Arial" w:hAnsi="Arial"/>
          <w:sz w:val="15"/>
          <w:szCs w:val="15"/>
          <w:color w:val="auto"/>
        </w:rPr>
        <w:t>3,677</w:t>
      </w:r>
    </w:p>
    <w:p>
      <w:pPr>
        <w:spacing w:after="0" w:line="70"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11,475</w:t>
      </w:r>
    </w:p>
    <w:p>
      <w:pPr>
        <w:spacing w:after="0" w:line="23"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1,029</w:t>
      </w:r>
    </w:p>
    <w:p>
      <w:pPr>
        <w:spacing w:after="0" w:line="49" w:lineRule="exact"/>
        <w:rPr>
          <w:sz w:val="20"/>
          <w:szCs w:val="20"/>
          <w:color w:val="auto"/>
        </w:rPr>
      </w:pPr>
    </w:p>
    <w:p>
      <w:pPr>
        <w:ind w:left="880" w:hanging="877"/>
        <w:spacing w:after="0"/>
        <w:tabs>
          <w:tab w:leader="none" w:pos="880" w:val="left"/>
        </w:tabs>
        <w:numPr>
          <w:ilvl w:val="0"/>
          <w:numId w:val="42"/>
        </w:numPr>
        <w:rPr>
          <w:rFonts w:ascii="Arial" w:cs="Arial" w:eastAsia="Arial" w:hAnsi="Arial"/>
          <w:sz w:val="15"/>
          <w:szCs w:val="15"/>
          <w:color w:val="auto"/>
        </w:rPr>
      </w:pPr>
      <w:r>
        <w:rPr>
          <w:rFonts w:ascii="Arial" w:cs="Arial" w:eastAsia="Arial" w:hAnsi="Arial"/>
          <w:sz w:val="15"/>
          <w:szCs w:val="15"/>
          <w:color w:val="auto"/>
        </w:rPr>
        <w:t>10,446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86614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780" w:hanging="777"/>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233,906</w:t>
      </w:r>
    </w:p>
    <w:p>
      <w:pPr>
        <w:spacing w:after="0" w:line="46" w:lineRule="exact"/>
        <w:rPr>
          <w:rFonts w:ascii="Arial" w:cs="Arial" w:eastAsia="Arial" w:hAnsi="Arial"/>
          <w:sz w:val="16"/>
          <w:szCs w:val="16"/>
          <w:color w:val="auto"/>
        </w:rPr>
      </w:pPr>
    </w:p>
    <w:p>
      <w:pPr>
        <w:ind w:left="780"/>
        <w:spacing w:after="0"/>
        <w:rPr>
          <w:rFonts w:ascii="Arial" w:cs="Arial" w:eastAsia="Arial" w:hAnsi="Arial"/>
          <w:sz w:val="16"/>
          <w:szCs w:val="16"/>
          <w:color w:val="auto"/>
        </w:rPr>
      </w:pPr>
      <w:r>
        <w:rPr>
          <w:rFonts w:ascii="Arial" w:cs="Arial" w:eastAsia="Arial" w:hAnsi="Arial"/>
          <w:sz w:val="16"/>
          <w:szCs w:val="16"/>
          <w:color w:val="auto"/>
        </w:rPr>
        <w:t>258,931</w:t>
      </w:r>
    </w:p>
    <w:p>
      <w:pPr>
        <w:spacing w:after="0" w:line="32"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5"/>
          <w:szCs w:val="15"/>
          <w:color w:val="auto"/>
        </w:rPr>
        <w:t>1,231</w:t>
      </w:r>
    </w:p>
    <w:p>
      <w:pPr>
        <w:spacing w:after="0" w:line="211" w:lineRule="exact"/>
        <w:rPr>
          <w:sz w:val="20"/>
          <w:szCs w:val="20"/>
          <w:color w:val="auto"/>
        </w:rPr>
      </w:pPr>
    </w:p>
    <w:p>
      <w:pPr>
        <w:sectPr>
          <w:pgSz w:w="11900" w:h="16838" w:orient="portrait"/>
          <w:cols w:equalWidth="0" w:num="2">
            <w:col w:w="7812" w:space="720"/>
            <w:col w:w="2880"/>
          </w:cols>
          <w:pgMar w:left="248" w:top="904" w:right="239" w:bottom="1440" w:gutter="0" w:footer="0" w:header="0"/>
          <w:type w:val="continuous"/>
        </w:sectPr>
      </w:pPr>
    </w:p>
    <w:p>
      <w:pPr>
        <w:spacing w:after="0" w:line="250"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8260" w:hanging="332"/>
        <w:spacing w:after="0" w:line="503" w:lineRule="auto"/>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Mergers and Acquisitions, continued </w:t>
      </w:r>
      <w:r>
        <w:rPr>
          <w:rFonts w:ascii="Arial" w:cs="Arial" w:eastAsia="Arial" w:hAnsi="Arial"/>
          <w:sz w:val="18"/>
          <w:szCs w:val="18"/>
          <w:i w:val="1"/>
          <w:iCs w:val="1"/>
          <w:color w:val="auto"/>
        </w:rPr>
        <w:t>Pro forma information</w:t>
      </w: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following table discloses the impact of the merger with Palmetto and MoneyTree since the respective acquisition dates through December 31, 2015. The table also presents certain pro forma information as if Palmetto and MoneyTree had been acquired on January 1, 2014. These results combine the historical results of Palmetto and MoneyTree with United’s consolidated statement of income and, while certain adjustments were made for the estimated impact of certain fair value adjustments and other acquisition-related activity, they are not necessarily indicative of what would have occurred had the acquisition taken place on January 1, 2014.</w:t>
      </w:r>
    </w:p>
    <w:p>
      <w:pPr>
        <w:spacing w:after="0" w:line="188" w:lineRule="exact"/>
        <w:rPr>
          <w:rFonts w:ascii="Arial" w:cs="Arial" w:eastAsia="Arial" w:hAnsi="Arial"/>
          <w:sz w:val="18"/>
          <w:szCs w:val="18"/>
          <w:b w:val="1"/>
          <w:bCs w:val="1"/>
          <w:color w:val="auto"/>
        </w:rPr>
      </w:pPr>
    </w:p>
    <w:p>
      <w:pPr>
        <w:jc w:val="both"/>
        <w:ind w:left="3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Merger-related costs of $12.0 million from the acquisitions have been excluded from the 2015 pro forma information presented below and included in the 2014 pro forma information presented below. Furthermore, no adjustments have been made to the pro forma information to eliminate the pre-acquisition provision for loan losses for 2015 or 2014 of Palmetto or MoneyTree. No adjustments have been made to reduce the impact of any OREO write downs recognized by Palmetto or MoneyTree in 2015 or 2014. In addition, expenses related to systems conversions and other costs of integration are expected to be recorded during the next several quarters. United expects to achieve further operating cost savings and other business synergies as a result of the acquisition which are not reflected in the pro forma amounts below. The actual results and pro forma information were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w:t>
            </w:r>
          </w:p>
        </w:tc>
        <w:tc>
          <w:tcPr>
            <w:tcW w:w="16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Net Income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F0FFFF"/>
          </w:tcPr>
          <w:p>
            <w:pPr>
              <w:spacing w:after="0"/>
              <w:rPr>
                <w:sz w:val="20"/>
                <w:szCs w:val="20"/>
                <w:color w:val="auto"/>
              </w:rPr>
            </w:pPr>
            <w:r>
              <w:rPr>
                <w:rFonts w:ascii="Arial" w:cs="Arial" w:eastAsia="Arial" w:hAnsi="Arial"/>
                <w:sz w:val="18"/>
                <w:szCs w:val="18"/>
                <w:color w:val="auto"/>
              </w:rPr>
              <w:t>Actual MoneyTree from May 1, 2015 - December 31, 2015</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8,373</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Actual Palmetto from September 1, 2015 - December 31, 2015</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17,887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F0FFFF"/>
          </w:tcPr>
          <w:p>
            <w:pPr>
              <w:spacing w:after="0"/>
              <w:rPr>
                <w:sz w:val="20"/>
                <w:szCs w:val="20"/>
                <w:color w:val="auto"/>
              </w:rPr>
            </w:pPr>
            <w:r>
              <w:rPr>
                <w:rFonts w:ascii="Arial" w:cs="Arial" w:eastAsia="Arial" w:hAnsi="Arial"/>
                <w:sz w:val="18"/>
                <w:szCs w:val="18"/>
                <w:color w:val="auto"/>
              </w:rPr>
              <w:t>2015 supplemental consolidated pro forma from January 1, 2015 - December 31, 2015</w:t>
            </w:r>
          </w:p>
        </w:tc>
        <w:tc>
          <w:tcPr>
            <w:tcW w:w="2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367,349</w:t>
            </w:r>
          </w:p>
        </w:tc>
        <w:tc>
          <w:tcPr>
            <w:tcW w:w="1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85,182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2014 supplemental consolidated pro forma from January 1, 2014 - December 31, 2014</w:t>
            </w:r>
          </w:p>
        </w:tc>
        <w:tc>
          <w:tcPr>
            <w:tcW w:w="2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342,211</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72,438</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Acquisition of Business Carolina, Inc.</w:t>
      </w:r>
    </w:p>
    <w:p>
      <w:pPr>
        <w:spacing w:after="0" w:line="229"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On June 26, 2014, United completed the acquisition of substantially all of the assets of Business Carolina, Inc., a specialty SBA / USDA lender headquartered in Columbia, South Carolina. On the closing date, United paid $31.3 million in cash for loans having a fair value on the purchase date of $24.8 million, accrued interest of $83,000, servicing rights with a fair value on the purchase date of $2.13 million, premises and equipment with a fair value on the purchase date of $2.60 million and goodwill in the amount of $1.51 million representing the premium paid over the fair value of the separately identifiable assets and liabilities acquired. The gross contractual amount of loans receivable was $28.0 million as of the acquisition date. United did not identify any material separately identifiable intangible assets resulting from the acquisition.</w:t>
      </w:r>
    </w:p>
    <w:p>
      <w:pPr>
        <w:spacing w:after="0" w:line="174"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2015, 2014 and 2013, loans having a value of $4.93 million, $9.09 million and $22.5 million, respectively, were transferred to foreclosed property.</w:t>
      </w:r>
    </w:p>
    <w:p>
      <w:pPr>
        <w:spacing w:after="0" w:line="170"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United accounts for securities transactions on the trade date. There were no unsettled securities transactions at December 31, 2015. At December 31, 2014, United had purchased $5.43 million in securities that had not settled. At December 31, 2013, United had sold $4.60 million in securities and purchased $29.6 million in securities that had not settled.</w:t>
      </w:r>
    </w:p>
    <w:p>
      <w:pPr>
        <w:spacing w:after="0" w:line="181"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United also accounts for sales and purchases of government guaranteed loans on the trade date. At December 31, 2015, United had unsettled sales of government guaranteed loans of $18.5 million. At December 31, 2015, United had unsettled purchases of government guaranteed loans of $18.3 million. There were no unsettled government guaranteed loan transactions at December 31, 2014 or 2013.</w:t>
      </w:r>
    </w:p>
    <w:p>
      <w:pPr>
        <w:spacing w:after="0" w:line="181"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2015, United acquired, through business combinations, assets with a fair value totaling $1.74 billion and liabilities with a fair value totaling $1.43 billion, for net assets acquired of $309 million. Common and preferred stock issued pursuant to these business combinations in 2015 totaled $214 million and $9.99 million, respectively. During 2014, United acquired, through business combinations, assets with a fair value totaling $31.3 million. United was not involved in any business combinations in 2013.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Balance Sheet Offsetting and Repurchase Agreements Accounted for as Secured Borrowings</w:t>
      </w:r>
    </w:p>
    <w:p>
      <w:pPr>
        <w:spacing w:after="0" w:line="229" w:lineRule="exact"/>
        <w:rPr>
          <w:rFonts w:ascii="Arial" w:cs="Arial" w:eastAsia="Arial" w:hAnsi="Arial"/>
          <w:sz w:val="18"/>
          <w:szCs w:val="18"/>
          <w:b w:val="1"/>
          <w:bCs w:val="1"/>
          <w:color w:val="auto"/>
        </w:rPr>
      </w:pPr>
    </w:p>
    <w:p>
      <w:pPr>
        <w:jc w:val="both"/>
        <w:ind w:lef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 xml:space="preserve">United enters into reverse repurchase agreements in order to invest short-term funds. In addition, United enters into repurchase agreements and reverse repurchase agreements and offsetting securities lending transactions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6"/>
          <w:szCs w:val="16"/>
          <w:i w:val="1"/>
          <w:iCs w:val="1"/>
          <w:color w:val="auto"/>
        </w:rPr>
        <w:t>Offsetting.</w:t>
      </w:r>
    </w:p>
    <w:p>
      <w:pPr>
        <w:spacing w:after="0" w:line="146" w:lineRule="exact"/>
        <w:rPr>
          <w:rFonts w:ascii="Arial" w:cs="Arial" w:eastAsia="Arial" w:hAnsi="Arial"/>
          <w:sz w:val="18"/>
          <w:szCs w:val="18"/>
          <w:b w:val="1"/>
          <w:bCs w:val="1"/>
          <w:color w:val="auto"/>
        </w:rPr>
      </w:pPr>
    </w:p>
    <w:p>
      <w:pPr>
        <w:ind w:left="3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The following table presents a summary of amounts outstanding under reverse repurchase agreements, securities lending transactions and derivative financial instruments including those entered into in connection with the same counterparty under master netting agreements </w:t>
      </w:r>
      <w:r>
        <w:rPr>
          <w:rFonts w:ascii="Arial" w:cs="Arial" w:eastAsia="Arial" w:hAnsi="Arial"/>
          <w:sz w:val="16"/>
          <w:szCs w:val="16"/>
          <w:i w:val="1"/>
          <w:iCs w:val="1"/>
          <w:color w:val="auto"/>
        </w:rPr>
        <w:t>(in thousands).</w:t>
      </w:r>
    </w:p>
    <w:p>
      <w:pPr>
        <w:sectPr>
          <w:pgSz w:w="11900" w:h="16891" w:orient="portrait"/>
          <w:cols w:equalWidth="0" w:num="1">
            <w:col w:w="11420"/>
          </w:cols>
          <w:pgMar w:left="240" w:top="904"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2726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272665" cy="17145"/>
                    </a:xfrm>
                    <a:prstGeom prst="rect">
                      <a:avLst/>
                    </a:prstGeom>
                    <a:noFill/>
                  </pic:spPr>
                </pic:pic>
              </a:graphicData>
            </a:graphic>
          </wp:anchor>
        </w:drawing>
      </w:r>
    </w:p>
    <w:p>
      <w:pPr>
        <w:spacing w:after="0" w:line="147" w:lineRule="exact"/>
        <w:rPr>
          <w:sz w:val="20"/>
          <w:szCs w:val="20"/>
          <w:color w:val="auto"/>
        </w:rPr>
      </w:pPr>
    </w:p>
    <w:p>
      <w:pPr>
        <w:ind w:left="660"/>
        <w:spacing w:after="0" w:line="246" w:lineRule="auto"/>
        <w:rPr>
          <w:sz w:val="20"/>
          <w:szCs w:val="20"/>
          <w:color w:val="auto"/>
        </w:rPr>
      </w:pPr>
      <w:r>
        <w:rPr>
          <w:rFonts w:ascii="Arial" w:cs="Arial" w:eastAsia="Arial" w:hAnsi="Arial"/>
          <w:sz w:val="14"/>
          <w:szCs w:val="14"/>
          <w:color w:val="auto"/>
        </w:rPr>
        <w:t>Repurchase agreements / reverse repurchase agreements Derivatives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Total</w:t>
      </w:r>
    </w:p>
    <w:p>
      <w:pPr>
        <w:spacing w:after="0" w:line="35" w:lineRule="exact"/>
        <w:rPr>
          <w:sz w:val="20"/>
          <w:szCs w:val="20"/>
          <w:color w:val="auto"/>
        </w:rPr>
      </w:pPr>
    </w:p>
    <w:p>
      <w:pPr>
        <w:ind w:left="820" w:right="240" w:hanging="161"/>
        <w:spacing w:after="0" w:line="253" w:lineRule="auto"/>
        <w:rPr>
          <w:sz w:val="20"/>
          <w:szCs w:val="20"/>
          <w:color w:val="auto"/>
        </w:rPr>
      </w:pPr>
      <w:r>
        <w:rPr>
          <w:rFonts w:ascii="Arial" w:cs="Arial" w:eastAsia="Arial" w:hAnsi="Arial"/>
          <w:sz w:val="14"/>
          <w:szCs w:val="14"/>
          <w:color w:val="auto"/>
        </w:rPr>
        <w:t>Weighted average interest rate of reverse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line="246" w:lineRule="auto"/>
        <w:rPr>
          <w:sz w:val="20"/>
          <w:szCs w:val="20"/>
          <w:color w:val="auto"/>
        </w:rPr>
      </w:pPr>
      <w:r>
        <w:rPr>
          <w:rFonts w:ascii="Arial" w:cs="Arial" w:eastAsia="Arial" w:hAnsi="Arial"/>
          <w:sz w:val="14"/>
          <w:szCs w:val="14"/>
          <w:color w:val="auto"/>
        </w:rPr>
        <w:t>Repurchase agreements / reverse repurchase agreements Derivatives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Total</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Weighted average interest rate of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22726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272665" cy="17145"/>
                    </a:xfrm>
                    <a:prstGeom prst="rect">
                      <a:avLst/>
                    </a:prstGeom>
                    <a:noFill/>
                  </pic:spPr>
                </pic:pic>
              </a:graphicData>
            </a:graphic>
          </wp:anchor>
        </w:drawing>
      </w:r>
    </w:p>
    <w:p>
      <w:pPr>
        <w:spacing w:after="0" w:line="147" w:lineRule="exact"/>
        <w:rPr>
          <w:sz w:val="20"/>
          <w:szCs w:val="20"/>
          <w:color w:val="auto"/>
        </w:rPr>
      </w:pPr>
    </w:p>
    <w:p>
      <w:pPr>
        <w:ind w:left="660"/>
        <w:spacing w:after="0" w:line="246" w:lineRule="auto"/>
        <w:rPr>
          <w:sz w:val="20"/>
          <w:szCs w:val="20"/>
          <w:color w:val="auto"/>
        </w:rPr>
      </w:pPr>
      <w:r>
        <w:rPr>
          <w:rFonts w:ascii="Arial" w:cs="Arial" w:eastAsia="Arial" w:hAnsi="Arial"/>
          <w:sz w:val="14"/>
          <w:szCs w:val="14"/>
          <w:color w:val="auto"/>
        </w:rPr>
        <w:t>Repurchase agreements / reverse repurchase agreements Derivatives</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Total</w:t>
      </w:r>
    </w:p>
    <w:p>
      <w:pPr>
        <w:spacing w:after="0" w:line="35" w:lineRule="exact"/>
        <w:rPr>
          <w:sz w:val="20"/>
          <w:szCs w:val="20"/>
          <w:color w:val="auto"/>
        </w:rPr>
      </w:pPr>
    </w:p>
    <w:p>
      <w:pPr>
        <w:ind w:left="820" w:right="240" w:hanging="161"/>
        <w:spacing w:after="0" w:line="253" w:lineRule="auto"/>
        <w:rPr>
          <w:sz w:val="20"/>
          <w:szCs w:val="20"/>
          <w:color w:val="auto"/>
        </w:rPr>
      </w:pPr>
      <w:r>
        <w:rPr>
          <w:rFonts w:ascii="Arial" w:cs="Arial" w:eastAsia="Arial" w:hAnsi="Arial"/>
          <w:sz w:val="14"/>
          <w:szCs w:val="14"/>
          <w:color w:val="auto"/>
        </w:rPr>
        <w:t>Weighted average interest rate of reverse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60"/>
        <w:spacing w:after="0" w:line="246" w:lineRule="auto"/>
        <w:rPr>
          <w:sz w:val="20"/>
          <w:szCs w:val="20"/>
          <w:color w:val="auto"/>
        </w:rPr>
      </w:pPr>
      <w:r>
        <w:rPr>
          <w:rFonts w:ascii="Arial" w:cs="Arial" w:eastAsia="Arial" w:hAnsi="Arial"/>
          <w:sz w:val="14"/>
          <w:szCs w:val="14"/>
          <w:color w:val="auto"/>
        </w:rPr>
        <w:t>Repurchase agreements / reverse repurchase agreements Derivatives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Total</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2"/>
          <w:szCs w:val="12"/>
          <w:color w:val="auto"/>
        </w:rPr>
        <w:t>Weighted average interest rate of repurchase agreements</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100" w:type="dxa"/>
            <w:vAlign w:val="bottom"/>
            <w:gridSpan w:val="2"/>
          </w:tcPr>
          <w:p>
            <w:pPr>
              <w:jc w:val="center"/>
              <w:ind w:right="228"/>
              <w:spacing w:after="0" w:line="158" w:lineRule="exact"/>
              <w:rPr>
                <w:sz w:val="20"/>
                <w:szCs w:val="20"/>
                <w:color w:val="auto"/>
              </w:rPr>
            </w:pPr>
            <w:r>
              <w:rPr>
                <w:rFonts w:ascii="Arial" w:cs="Arial" w:eastAsia="Arial" w:hAnsi="Arial"/>
                <w:sz w:val="14"/>
                <w:szCs w:val="14"/>
                <w:b w:val="1"/>
                <w:bCs w:val="1"/>
                <w:color w:val="auto"/>
                <w:w w:val="92"/>
              </w:rPr>
              <w:t>Amounts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5"/>
          </w:tcPr>
          <w:p>
            <w:pPr>
              <w:jc w:val="center"/>
              <w:ind w:right="179"/>
              <w:spacing w:after="0" w:line="158" w:lineRule="exact"/>
              <w:rPr>
                <w:sz w:val="20"/>
                <w:szCs w:val="20"/>
                <w:color w:val="auto"/>
              </w:rPr>
            </w:pPr>
            <w:r>
              <w:rPr>
                <w:rFonts w:ascii="Arial" w:cs="Arial" w:eastAsia="Arial" w:hAnsi="Arial"/>
                <w:sz w:val="14"/>
                <w:szCs w:val="14"/>
                <w:b w:val="1"/>
                <w:bCs w:val="1"/>
                <w:color w:val="auto"/>
                <w:w w:val="91"/>
              </w:rPr>
              <w:t>Gross Amounts not Offset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Amounts of</w:t>
            </w:r>
          </w:p>
        </w:tc>
        <w:tc>
          <w:tcPr>
            <w:tcW w:w="80" w:type="dxa"/>
            <w:vAlign w:val="bottom"/>
          </w:tcPr>
          <w:p>
            <w:pPr>
              <w:spacing w:after="0"/>
              <w:rPr>
                <w:sz w:val="15"/>
                <w:szCs w:val="15"/>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2"/>
              </w:rPr>
              <w:t>Offset on the</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jc w:val="center"/>
              <w:ind w:right="179"/>
              <w:spacing w:after="0"/>
              <w:rPr>
                <w:sz w:val="20"/>
                <w:szCs w:val="20"/>
                <w:color w:val="auto"/>
              </w:rPr>
            </w:pPr>
            <w:r>
              <w:rPr>
                <w:rFonts w:ascii="Arial" w:cs="Arial" w:eastAsia="Arial" w:hAnsi="Arial"/>
                <w:sz w:val="14"/>
                <w:szCs w:val="14"/>
                <w:b w:val="1"/>
                <w:bCs w:val="1"/>
                <w:color w:val="auto"/>
                <w:w w:val="90"/>
              </w:rPr>
              <w:t>in the Balance Sheet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0"/>
                <w:szCs w:val="10"/>
                <w:color w:val="auto"/>
              </w:rPr>
            </w:pPr>
          </w:p>
        </w:tc>
        <w:tc>
          <w:tcPr>
            <w:tcW w:w="1100" w:type="dxa"/>
            <w:vAlign w:val="bottom"/>
            <w:gridSpan w:val="2"/>
          </w:tcPr>
          <w:p>
            <w:pPr>
              <w:jc w:val="center"/>
              <w:ind w:right="228"/>
              <w:spacing w:after="0" w:line="126"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0"/>
                <w:szCs w:val="10"/>
                <w:color w:val="auto"/>
              </w:rPr>
            </w:pPr>
          </w:p>
        </w:tc>
        <w:tc>
          <w:tcPr>
            <w:tcW w:w="102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89"/>
              </w:rPr>
              <w:t>Net Asset</w:t>
            </w: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19"/>
              <w:spacing w:after="0" w:line="126" w:lineRule="exact"/>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48"/>
              <w:spacing w:after="0" w:line="126"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7"/>
              </w:rPr>
              <w:t>Received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400,000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(400,000)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20,082</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20,082</w:t>
            </w:r>
          </w:p>
        </w:tc>
        <w:tc>
          <w:tcPr>
            <w:tcW w:w="80" w:type="dxa"/>
            <w:vAlign w:val="bottom"/>
          </w:tcPr>
          <w:p>
            <w:pPr>
              <w:spacing w:after="0"/>
              <w:rPr>
                <w:sz w:val="16"/>
                <w:szCs w:val="16"/>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16"/>
                <w:szCs w:val="16"/>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4"/>
                <w:szCs w:val="14"/>
                <w:color w:val="auto"/>
              </w:rPr>
              <w:t>(3,729)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420,082</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(400,000</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20,082</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(3,729</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15,834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100" w:type="dxa"/>
            <w:vAlign w:val="bottom"/>
            <w:gridSpan w:val="2"/>
          </w:tcPr>
          <w:p>
            <w:pPr>
              <w:jc w:val="center"/>
              <w:ind w:right="228"/>
              <w:spacing w:after="0" w:line="158" w:lineRule="exact"/>
              <w:rPr>
                <w:sz w:val="20"/>
                <w:szCs w:val="20"/>
                <w:color w:val="auto"/>
              </w:rPr>
            </w:pPr>
            <w:r>
              <w:rPr>
                <w:rFonts w:ascii="Arial" w:cs="Arial" w:eastAsia="Arial" w:hAnsi="Arial"/>
                <w:sz w:val="14"/>
                <w:szCs w:val="14"/>
                <w:b w:val="1"/>
                <w:bCs w:val="1"/>
                <w:color w:val="auto"/>
                <w:w w:val="92"/>
              </w:rPr>
              <w:t>Amounts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5"/>
          </w:tcPr>
          <w:p>
            <w:pPr>
              <w:jc w:val="center"/>
              <w:ind w:right="179"/>
              <w:spacing w:after="0" w:line="158" w:lineRule="exact"/>
              <w:rPr>
                <w:sz w:val="20"/>
                <w:szCs w:val="20"/>
                <w:color w:val="auto"/>
              </w:rPr>
            </w:pPr>
            <w:r>
              <w:rPr>
                <w:rFonts w:ascii="Arial" w:cs="Arial" w:eastAsia="Arial" w:hAnsi="Arial"/>
                <w:sz w:val="14"/>
                <w:szCs w:val="14"/>
                <w:b w:val="1"/>
                <w:bCs w:val="1"/>
                <w:color w:val="auto"/>
                <w:w w:val="91"/>
              </w:rPr>
              <w:t>Gross Amounts not Offset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Amounts of</w:t>
            </w:r>
          </w:p>
        </w:tc>
        <w:tc>
          <w:tcPr>
            <w:tcW w:w="80" w:type="dxa"/>
            <w:vAlign w:val="bottom"/>
          </w:tcPr>
          <w:p>
            <w:pPr>
              <w:spacing w:after="0"/>
              <w:rPr>
                <w:sz w:val="15"/>
                <w:szCs w:val="15"/>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2"/>
              </w:rPr>
              <w:t>Offset on the</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jc w:val="center"/>
              <w:ind w:right="179"/>
              <w:spacing w:after="0"/>
              <w:rPr>
                <w:sz w:val="20"/>
                <w:szCs w:val="20"/>
                <w:color w:val="auto"/>
              </w:rPr>
            </w:pPr>
            <w:r>
              <w:rPr>
                <w:rFonts w:ascii="Arial" w:cs="Arial" w:eastAsia="Arial" w:hAnsi="Arial"/>
                <w:sz w:val="14"/>
                <w:szCs w:val="14"/>
                <w:b w:val="1"/>
                <w:bCs w:val="1"/>
                <w:color w:val="auto"/>
                <w:w w:val="90"/>
              </w:rPr>
              <w:t>in the Balance Sheet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0"/>
                <w:szCs w:val="10"/>
                <w:color w:val="auto"/>
              </w:rPr>
            </w:pPr>
          </w:p>
        </w:tc>
        <w:tc>
          <w:tcPr>
            <w:tcW w:w="1100" w:type="dxa"/>
            <w:vAlign w:val="bottom"/>
            <w:gridSpan w:val="2"/>
          </w:tcPr>
          <w:p>
            <w:pPr>
              <w:jc w:val="center"/>
              <w:ind w:right="228"/>
              <w:spacing w:after="0" w:line="126" w:lineRule="exact"/>
              <w:rPr>
                <w:sz w:val="20"/>
                <w:szCs w:val="20"/>
                <w:color w:val="auto"/>
              </w:rPr>
            </w:pPr>
            <w:r>
              <w:rPr>
                <w:rFonts w:ascii="Arial" w:cs="Arial" w:eastAsia="Arial" w:hAnsi="Arial"/>
                <w:sz w:val="14"/>
                <w:szCs w:val="14"/>
                <w:b w:val="1"/>
                <w:bCs w:val="1"/>
                <w:color w:val="auto"/>
                <w:w w:val="89"/>
              </w:rPr>
              <w:t>Balance</w:t>
            </w:r>
          </w:p>
        </w:tc>
        <w:tc>
          <w:tcPr>
            <w:tcW w:w="1160" w:type="dxa"/>
            <w:vAlign w:val="bottom"/>
            <w:gridSpan w:val="3"/>
          </w:tcPr>
          <w:p>
            <w:pPr>
              <w:jc w:val="center"/>
              <w:ind w:right="200"/>
              <w:spacing w:after="0" w:line="126" w:lineRule="exact"/>
              <w:rPr>
                <w:sz w:val="20"/>
                <w:szCs w:val="20"/>
                <w:color w:val="auto"/>
              </w:rPr>
            </w:pPr>
            <w:r>
              <w:rPr>
                <w:rFonts w:ascii="Arial" w:cs="Arial" w:eastAsia="Arial" w:hAnsi="Arial"/>
                <w:sz w:val="14"/>
                <w:szCs w:val="14"/>
                <w:b w:val="1"/>
                <w:bCs w:val="1"/>
                <w:color w:val="auto"/>
                <w:w w:val="96"/>
              </w:rPr>
              <w:t>Net Liabilities</w:t>
            </w: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19"/>
              <w:spacing w:after="0" w:line="126" w:lineRule="exact"/>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48"/>
              <w:spacing w:after="0" w:line="126"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5"/>
              </w:rPr>
              <w:t>Liabilities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Pledged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400,000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(400,000)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28,825</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28,825</w:t>
            </w:r>
          </w:p>
        </w:tc>
        <w:tc>
          <w:tcPr>
            <w:tcW w:w="80" w:type="dxa"/>
            <w:vAlign w:val="bottom"/>
          </w:tcPr>
          <w:p>
            <w:pPr>
              <w:spacing w:after="0"/>
              <w:rPr>
                <w:sz w:val="16"/>
                <w:szCs w:val="16"/>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16"/>
                <w:szCs w:val="16"/>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4"/>
                <w:szCs w:val="14"/>
                <w:color w:val="auto"/>
              </w:rPr>
              <w:t>(30,917)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428,825</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(400,000</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28,825</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(519</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(30,917</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100" w:type="dxa"/>
            <w:vAlign w:val="bottom"/>
            <w:gridSpan w:val="2"/>
          </w:tcPr>
          <w:p>
            <w:pPr>
              <w:jc w:val="center"/>
              <w:ind w:right="228"/>
              <w:spacing w:after="0" w:line="158" w:lineRule="exact"/>
              <w:rPr>
                <w:sz w:val="20"/>
                <w:szCs w:val="20"/>
                <w:color w:val="auto"/>
              </w:rPr>
            </w:pPr>
            <w:r>
              <w:rPr>
                <w:rFonts w:ascii="Arial" w:cs="Arial" w:eastAsia="Arial" w:hAnsi="Arial"/>
                <w:sz w:val="14"/>
                <w:szCs w:val="14"/>
                <w:b w:val="1"/>
                <w:bCs w:val="1"/>
                <w:color w:val="auto"/>
                <w:w w:val="92"/>
              </w:rPr>
              <w:t>Amounts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5"/>
          </w:tcPr>
          <w:p>
            <w:pPr>
              <w:jc w:val="center"/>
              <w:ind w:right="179"/>
              <w:spacing w:after="0" w:line="158" w:lineRule="exact"/>
              <w:rPr>
                <w:sz w:val="20"/>
                <w:szCs w:val="20"/>
                <w:color w:val="auto"/>
              </w:rPr>
            </w:pPr>
            <w:r>
              <w:rPr>
                <w:rFonts w:ascii="Arial" w:cs="Arial" w:eastAsia="Arial" w:hAnsi="Arial"/>
                <w:sz w:val="14"/>
                <w:szCs w:val="14"/>
                <w:b w:val="1"/>
                <w:bCs w:val="1"/>
                <w:color w:val="auto"/>
                <w:w w:val="91"/>
              </w:rPr>
              <w:t>Gross Amounts not Offset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Amounts of</w:t>
            </w:r>
          </w:p>
        </w:tc>
        <w:tc>
          <w:tcPr>
            <w:tcW w:w="80" w:type="dxa"/>
            <w:vAlign w:val="bottom"/>
          </w:tcPr>
          <w:p>
            <w:pPr>
              <w:spacing w:after="0"/>
              <w:rPr>
                <w:sz w:val="15"/>
                <w:szCs w:val="15"/>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2"/>
              </w:rPr>
              <w:t>Offset on the</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jc w:val="center"/>
              <w:ind w:right="179"/>
              <w:spacing w:after="0"/>
              <w:rPr>
                <w:sz w:val="20"/>
                <w:szCs w:val="20"/>
                <w:color w:val="auto"/>
              </w:rPr>
            </w:pPr>
            <w:r>
              <w:rPr>
                <w:rFonts w:ascii="Arial" w:cs="Arial" w:eastAsia="Arial" w:hAnsi="Arial"/>
                <w:sz w:val="14"/>
                <w:szCs w:val="14"/>
                <w:b w:val="1"/>
                <w:bCs w:val="1"/>
                <w:color w:val="auto"/>
                <w:w w:val="90"/>
              </w:rPr>
              <w:t>in the Balance Sheet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0"/>
                <w:szCs w:val="10"/>
                <w:color w:val="auto"/>
              </w:rPr>
            </w:pPr>
          </w:p>
        </w:tc>
        <w:tc>
          <w:tcPr>
            <w:tcW w:w="1100" w:type="dxa"/>
            <w:vAlign w:val="bottom"/>
            <w:gridSpan w:val="2"/>
          </w:tcPr>
          <w:p>
            <w:pPr>
              <w:jc w:val="center"/>
              <w:ind w:right="228"/>
              <w:spacing w:after="0" w:line="126" w:lineRule="exact"/>
              <w:rPr>
                <w:sz w:val="20"/>
                <w:szCs w:val="20"/>
                <w:color w:val="auto"/>
              </w:rPr>
            </w:pPr>
            <w:r>
              <w:rPr>
                <w:rFonts w:ascii="Arial" w:cs="Arial" w:eastAsia="Arial" w:hAnsi="Arial"/>
                <w:sz w:val="14"/>
                <w:szCs w:val="14"/>
                <w:b w:val="1"/>
                <w:bCs w:val="1"/>
                <w:color w:val="auto"/>
                <w:w w:val="89"/>
              </w:rPr>
              <w:t>Balance</w:t>
            </w:r>
          </w:p>
        </w:tc>
        <w:tc>
          <w:tcPr>
            <w:tcW w:w="140" w:type="dxa"/>
            <w:vAlign w:val="bottom"/>
          </w:tcPr>
          <w:p>
            <w:pPr>
              <w:spacing w:after="0"/>
              <w:rPr>
                <w:sz w:val="10"/>
                <w:szCs w:val="10"/>
                <w:color w:val="auto"/>
              </w:rPr>
            </w:pPr>
          </w:p>
        </w:tc>
        <w:tc>
          <w:tcPr>
            <w:tcW w:w="1020" w:type="dxa"/>
            <w:vAlign w:val="bottom"/>
            <w:gridSpan w:val="2"/>
          </w:tcPr>
          <w:p>
            <w:pPr>
              <w:jc w:val="center"/>
              <w:ind w:right="360"/>
              <w:spacing w:after="0" w:line="126" w:lineRule="exact"/>
              <w:rPr>
                <w:sz w:val="20"/>
                <w:szCs w:val="20"/>
                <w:color w:val="auto"/>
              </w:rPr>
            </w:pPr>
            <w:r>
              <w:rPr>
                <w:rFonts w:ascii="Arial" w:cs="Arial" w:eastAsia="Arial" w:hAnsi="Arial"/>
                <w:sz w:val="14"/>
                <w:szCs w:val="14"/>
                <w:b w:val="1"/>
                <w:bCs w:val="1"/>
                <w:color w:val="auto"/>
                <w:w w:val="89"/>
              </w:rPr>
              <w:t>Net Asset</w:t>
            </w: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19"/>
              <w:spacing w:after="0" w:line="126" w:lineRule="exact"/>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48"/>
              <w:spacing w:after="0" w:line="126"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7"/>
              </w:rPr>
              <w:t>Received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395,000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(375,000)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20,000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9"/>
              <w:spacing w:after="0"/>
              <w:rPr>
                <w:sz w:val="20"/>
                <w:szCs w:val="20"/>
                <w:color w:val="auto"/>
              </w:rPr>
            </w:pPr>
            <w:r>
              <w:rPr>
                <w:rFonts w:ascii="Arial" w:cs="Arial" w:eastAsia="Arial" w:hAnsi="Arial"/>
                <w:sz w:val="14"/>
                <w:szCs w:val="14"/>
                <w:color w:val="auto"/>
              </w:rPr>
              <w:t>(20,302)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20,599</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20,599</w:t>
            </w:r>
          </w:p>
        </w:tc>
        <w:tc>
          <w:tcPr>
            <w:tcW w:w="80" w:type="dxa"/>
            <w:vAlign w:val="bottom"/>
          </w:tcPr>
          <w:p>
            <w:pPr>
              <w:spacing w:after="0"/>
              <w:rPr>
                <w:sz w:val="16"/>
                <w:szCs w:val="16"/>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(869)</w:t>
            </w:r>
          </w:p>
        </w:tc>
        <w:tc>
          <w:tcPr>
            <w:tcW w:w="120" w:type="dxa"/>
            <w:vAlign w:val="bottom"/>
          </w:tcPr>
          <w:p>
            <w:pPr>
              <w:spacing w:after="0"/>
              <w:rPr>
                <w:sz w:val="16"/>
                <w:szCs w:val="16"/>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4"/>
                <w:szCs w:val="14"/>
                <w:color w:val="auto"/>
              </w:rPr>
              <w:t>(3,716)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16,014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415,599</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(375,000</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40,599</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(869</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(24,018</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3"/>
                <w:szCs w:val="13"/>
                <w:color w:val="auto"/>
              </w:rPr>
            </w:pPr>
          </w:p>
        </w:tc>
        <w:tc>
          <w:tcPr>
            <w:tcW w:w="1100" w:type="dxa"/>
            <w:vAlign w:val="bottom"/>
            <w:gridSpan w:val="2"/>
          </w:tcPr>
          <w:p>
            <w:pPr>
              <w:jc w:val="center"/>
              <w:ind w:right="228"/>
              <w:spacing w:after="0" w:line="158" w:lineRule="exact"/>
              <w:rPr>
                <w:sz w:val="20"/>
                <w:szCs w:val="20"/>
                <w:color w:val="auto"/>
              </w:rPr>
            </w:pPr>
            <w:r>
              <w:rPr>
                <w:rFonts w:ascii="Arial" w:cs="Arial" w:eastAsia="Arial" w:hAnsi="Arial"/>
                <w:sz w:val="14"/>
                <w:szCs w:val="14"/>
                <w:b w:val="1"/>
                <w:bCs w:val="1"/>
                <w:color w:val="auto"/>
                <w:w w:val="92"/>
              </w:rPr>
              <w:t>Amounts</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5"/>
          </w:tcPr>
          <w:p>
            <w:pPr>
              <w:jc w:val="center"/>
              <w:ind w:right="179"/>
              <w:spacing w:after="0" w:line="158" w:lineRule="exact"/>
              <w:rPr>
                <w:sz w:val="20"/>
                <w:szCs w:val="20"/>
                <w:color w:val="auto"/>
              </w:rPr>
            </w:pPr>
            <w:r>
              <w:rPr>
                <w:rFonts w:ascii="Arial" w:cs="Arial" w:eastAsia="Arial" w:hAnsi="Arial"/>
                <w:sz w:val="14"/>
                <w:szCs w:val="14"/>
                <w:b w:val="1"/>
                <w:bCs w:val="1"/>
                <w:color w:val="auto"/>
                <w:w w:val="91"/>
              </w:rPr>
              <w:t>Gross Amounts not Offset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Amounts of</w:t>
            </w:r>
          </w:p>
        </w:tc>
        <w:tc>
          <w:tcPr>
            <w:tcW w:w="80" w:type="dxa"/>
            <w:vAlign w:val="bottom"/>
          </w:tcPr>
          <w:p>
            <w:pPr>
              <w:spacing w:after="0"/>
              <w:rPr>
                <w:sz w:val="15"/>
                <w:szCs w:val="15"/>
                <w:color w:val="auto"/>
              </w:rPr>
            </w:pPr>
          </w:p>
        </w:tc>
        <w:tc>
          <w:tcPr>
            <w:tcW w:w="110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92"/>
              </w:rPr>
              <w:t>Offset on the</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5"/>
          </w:tcPr>
          <w:p>
            <w:pPr>
              <w:jc w:val="center"/>
              <w:ind w:right="179"/>
              <w:spacing w:after="0"/>
              <w:rPr>
                <w:sz w:val="20"/>
                <w:szCs w:val="20"/>
                <w:color w:val="auto"/>
              </w:rPr>
            </w:pPr>
            <w:r>
              <w:rPr>
                <w:rFonts w:ascii="Arial" w:cs="Arial" w:eastAsia="Arial" w:hAnsi="Arial"/>
                <w:sz w:val="14"/>
                <w:szCs w:val="14"/>
                <w:b w:val="1"/>
                <w:bCs w:val="1"/>
                <w:color w:val="auto"/>
                <w:w w:val="90"/>
              </w:rPr>
              <w:t>in the Balance Sheet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0"/>
                <w:szCs w:val="10"/>
                <w:color w:val="auto"/>
              </w:rPr>
            </w:pPr>
          </w:p>
        </w:tc>
        <w:tc>
          <w:tcPr>
            <w:tcW w:w="1100" w:type="dxa"/>
            <w:vAlign w:val="bottom"/>
            <w:gridSpan w:val="2"/>
          </w:tcPr>
          <w:p>
            <w:pPr>
              <w:jc w:val="center"/>
              <w:ind w:right="228"/>
              <w:spacing w:after="0" w:line="126" w:lineRule="exact"/>
              <w:rPr>
                <w:sz w:val="20"/>
                <w:szCs w:val="20"/>
                <w:color w:val="auto"/>
              </w:rPr>
            </w:pPr>
            <w:r>
              <w:rPr>
                <w:rFonts w:ascii="Arial" w:cs="Arial" w:eastAsia="Arial" w:hAnsi="Arial"/>
                <w:sz w:val="14"/>
                <w:szCs w:val="14"/>
                <w:b w:val="1"/>
                <w:bCs w:val="1"/>
                <w:color w:val="auto"/>
                <w:w w:val="89"/>
              </w:rPr>
              <w:t>Balance</w:t>
            </w:r>
          </w:p>
        </w:tc>
        <w:tc>
          <w:tcPr>
            <w:tcW w:w="1160" w:type="dxa"/>
            <w:vAlign w:val="bottom"/>
            <w:gridSpan w:val="3"/>
          </w:tcPr>
          <w:p>
            <w:pPr>
              <w:jc w:val="center"/>
              <w:ind w:right="200"/>
              <w:spacing w:after="0" w:line="126" w:lineRule="exact"/>
              <w:rPr>
                <w:sz w:val="20"/>
                <w:szCs w:val="20"/>
                <w:color w:val="auto"/>
              </w:rPr>
            </w:pPr>
            <w:r>
              <w:rPr>
                <w:rFonts w:ascii="Arial" w:cs="Arial" w:eastAsia="Arial" w:hAnsi="Arial"/>
                <w:sz w:val="14"/>
                <w:szCs w:val="14"/>
                <w:b w:val="1"/>
                <w:bCs w:val="1"/>
                <w:color w:val="auto"/>
                <w:w w:val="96"/>
              </w:rPr>
              <w:t>Net Liabilities</w:t>
            </w: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19"/>
              <w:spacing w:after="0" w:line="126" w:lineRule="exact"/>
              <w:rPr>
                <w:sz w:val="20"/>
                <w:szCs w:val="20"/>
                <w:color w:val="auto"/>
              </w:rPr>
            </w:pPr>
            <w:r>
              <w:rPr>
                <w:rFonts w:ascii="Arial" w:cs="Arial" w:eastAsia="Arial" w:hAnsi="Arial"/>
                <w:sz w:val="14"/>
                <w:szCs w:val="14"/>
                <w:b w:val="1"/>
                <w:bCs w:val="1"/>
                <w:color w:val="auto"/>
                <w:w w:val="95"/>
              </w:rPr>
              <w:t>Financial</w:t>
            </w: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48"/>
              <w:spacing w:after="0" w:line="126" w:lineRule="exact"/>
              <w:rPr>
                <w:sz w:val="20"/>
                <w:szCs w:val="20"/>
                <w:color w:val="auto"/>
              </w:rPr>
            </w:pPr>
            <w:r>
              <w:rPr>
                <w:rFonts w:ascii="Arial" w:cs="Arial" w:eastAsia="Arial" w:hAnsi="Arial"/>
                <w:sz w:val="14"/>
                <w:szCs w:val="14"/>
                <w:b w:val="1"/>
                <w:bCs w:val="1"/>
                <w:color w:val="auto"/>
                <w:w w:val="97"/>
              </w:rPr>
              <w:t>Collateral</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Net Amount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5"/>
              </w:rPr>
              <w:t>Liabilities</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Sheet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Pledged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375,000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88"/>
              <w:spacing w:after="0"/>
              <w:rPr>
                <w:sz w:val="20"/>
                <w:szCs w:val="20"/>
                <w:color w:val="auto"/>
              </w:rPr>
            </w:pPr>
            <w:r>
              <w:rPr>
                <w:rFonts w:ascii="Arial" w:cs="Arial" w:eastAsia="Arial" w:hAnsi="Arial"/>
                <w:sz w:val="14"/>
                <w:szCs w:val="14"/>
                <w:color w:val="auto"/>
              </w:rPr>
              <w:t>(375,000)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31,997</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31,997</w:t>
            </w:r>
          </w:p>
        </w:tc>
        <w:tc>
          <w:tcPr>
            <w:tcW w:w="80" w:type="dxa"/>
            <w:vAlign w:val="bottom"/>
          </w:tcPr>
          <w:p>
            <w:pPr>
              <w:spacing w:after="0"/>
              <w:rPr>
                <w:sz w:val="16"/>
                <w:szCs w:val="16"/>
                <w:color w:val="auto"/>
              </w:rPr>
            </w:pPr>
          </w:p>
        </w:tc>
        <w:tc>
          <w:tcPr>
            <w:tcW w:w="1040" w:type="dxa"/>
            <w:vAlign w:val="bottom"/>
            <w:gridSpan w:val="2"/>
          </w:tcPr>
          <w:p>
            <w:pPr>
              <w:jc w:val="right"/>
              <w:ind w:right="99"/>
              <w:spacing w:after="0"/>
              <w:rPr>
                <w:sz w:val="20"/>
                <w:szCs w:val="20"/>
                <w:color w:val="auto"/>
              </w:rPr>
            </w:pPr>
            <w:r>
              <w:rPr>
                <w:rFonts w:ascii="Arial" w:cs="Arial" w:eastAsia="Arial" w:hAnsi="Arial"/>
                <w:sz w:val="14"/>
                <w:szCs w:val="14"/>
                <w:color w:val="auto"/>
              </w:rPr>
              <w:t>(869)</w:t>
            </w:r>
          </w:p>
        </w:tc>
        <w:tc>
          <w:tcPr>
            <w:tcW w:w="120" w:type="dxa"/>
            <w:vAlign w:val="bottom"/>
          </w:tcPr>
          <w:p>
            <w:pPr>
              <w:spacing w:after="0"/>
              <w:rPr>
                <w:sz w:val="16"/>
                <w:szCs w:val="16"/>
                <w:color w:val="auto"/>
              </w:rPr>
            </w:pPr>
          </w:p>
        </w:tc>
        <w:tc>
          <w:tcPr>
            <w:tcW w:w="940" w:type="dxa"/>
            <w:vAlign w:val="bottom"/>
            <w:gridSpan w:val="2"/>
          </w:tcPr>
          <w:p>
            <w:pPr>
              <w:jc w:val="right"/>
              <w:ind w:right="39"/>
              <w:spacing w:after="0"/>
              <w:rPr>
                <w:sz w:val="20"/>
                <w:szCs w:val="20"/>
                <w:color w:val="auto"/>
              </w:rPr>
            </w:pPr>
            <w:r>
              <w:rPr>
                <w:rFonts w:ascii="Arial" w:cs="Arial" w:eastAsia="Arial" w:hAnsi="Arial"/>
                <w:sz w:val="14"/>
                <w:szCs w:val="14"/>
                <w:color w:val="auto"/>
              </w:rPr>
              <w:t>(32,792)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406,997</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(375,000</w:t>
            </w:r>
          </w:p>
        </w:tc>
        <w:tc>
          <w:tcPr>
            <w:tcW w:w="220" w:type="dxa"/>
            <w:vAlign w:val="bottom"/>
          </w:tcPr>
          <w:p>
            <w:pPr>
              <w:jc w:val="right"/>
              <w:ind w:right="8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31,997</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(869</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(32,792</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-2338705</wp:posOffset>
            </wp:positionH>
            <wp:positionV relativeFrom="paragraph">
              <wp:posOffset>-4197350</wp:posOffset>
            </wp:positionV>
            <wp:extent cx="6663690" cy="946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63690" cy="94615"/>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-3991610</wp:posOffset>
            </wp:positionV>
            <wp:extent cx="6663690"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63690" cy="128905"/>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-2927985</wp:posOffset>
            </wp:positionV>
            <wp:extent cx="6663690" cy="946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63690" cy="94615"/>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-2722245</wp:posOffset>
            </wp:positionV>
            <wp:extent cx="6663690"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63690" cy="128905"/>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-1736090</wp:posOffset>
            </wp:positionV>
            <wp:extent cx="6663690" cy="946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63690" cy="94615"/>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-1530350</wp:posOffset>
            </wp:positionV>
            <wp:extent cx="666369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63690" cy="128905"/>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-466725</wp:posOffset>
            </wp:positionV>
            <wp:extent cx="6663690"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63690" cy="94615"/>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-260985</wp:posOffset>
            </wp:positionV>
            <wp:extent cx="666369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63690" cy="128905"/>
                    </a:xfrm>
                    <a:prstGeom prst="rect">
                      <a:avLst/>
                    </a:prstGeom>
                    <a:noFill/>
                  </pic:spPr>
                </pic:pic>
              </a:graphicData>
            </a:graphic>
          </wp:anchor>
        </w:drawing>
      </w:r>
    </w:p>
    <w:p>
      <w:pPr>
        <w:spacing w:after="0" w:line="200" w:lineRule="exact"/>
        <w:rPr>
          <w:sz w:val="20"/>
          <w:szCs w:val="20"/>
          <w:color w:val="auto"/>
        </w:rPr>
      </w:pPr>
    </w:p>
    <w:p>
      <w:pPr>
        <w:sectPr>
          <w:pgSz w:w="11900" w:h="16891" w:orient="portrait"/>
          <w:cols w:equalWidth="0" w:num="2">
            <w:col w:w="3900" w:space="440"/>
            <w:col w:w="7080"/>
          </w:cols>
          <w:pgMar w:left="240" w:top="904" w:right="239" w:bottom="0" w:gutter="0" w:footer="0" w:header="0"/>
          <w:type w:val="continuous"/>
        </w:sectPr>
      </w:pPr>
    </w:p>
    <w:p>
      <w:pPr>
        <w:spacing w:after="0" w:line="18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presents additional detail regarding repurchase agreements accounted for as secured borrowings and the securities underlying these agreements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15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8"/>
              </w:rPr>
              <w:t>Remaining Contractual Maturity of the Agreements</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Pr>
          <w:p>
            <w:pPr>
              <w:spacing w:after="0"/>
              <w:rPr>
                <w:sz w:val="12"/>
                <w:szCs w:val="12"/>
                <w:color w:val="auto"/>
              </w:rPr>
            </w:pPr>
          </w:p>
        </w:tc>
        <w:tc>
          <w:tcPr>
            <w:tcW w:w="1160" w:type="dxa"/>
            <w:vAlign w:val="bottom"/>
            <w:gridSpan w:val="3"/>
          </w:tcPr>
          <w:p>
            <w:pPr>
              <w:jc w:val="center"/>
              <w:ind w:right="220"/>
              <w:spacing w:after="0" w:line="139" w:lineRule="exact"/>
              <w:rPr>
                <w:sz w:val="20"/>
                <w:szCs w:val="20"/>
                <w:color w:val="auto"/>
              </w:rPr>
            </w:pPr>
            <w:r>
              <w:rPr>
                <w:rFonts w:ascii="Arial" w:cs="Arial" w:eastAsia="Arial" w:hAnsi="Arial"/>
                <w:sz w:val="14"/>
                <w:szCs w:val="14"/>
                <w:b w:val="1"/>
                <w:bCs w:val="1"/>
                <w:color w:val="auto"/>
                <w:w w:val="94"/>
              </w:rPr>
              <w:t>Overnight and</w:t>
            </w: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89"/>
              </w:rPr>
              <w:t>Continuous</w:t>
            </w:r>
          </w:p>
        </w:tc>
        <w:tc>
          <w:tcPr>
            <w:tcW w:w="1080" w:type="dxa"/>
            <w:vAlign w:val="bottom"/>
            <w:gridSpan w:val="3"/>
          </w:tcPr>
          <w:p>
            <w:pPr>
              <w:jc w:val="right"/>
              <w:ind w:right="160"/>
              <w:spacing w:after="0" w:line="125" w:lineRule="exact"/>
              <w:rPr>
                <w:sz w:val="20"/>
                <w:szCs w:val="20"/>
                <w:color w:val="auto"/>
              </w:rPr>
            </w:pPr>
            <w:r>
              <w:rPr>
                <w:rFonts w:ascii="Arial" w:cs="Arial" w:eastAsia="Arial" w:hAnsi="Arial"/>
                <w:sz w:val="14"/>
                <w:szCs w:val="14"/>
                <w:b w:val="1"/>
                <w:bCs w:val="1"/>
                <w:color w:val="auto"/>
                <w:w w:val="97"/>
              </w:rPr>
              <w:t>Up to 30 Days</w:t>
            </w:r>
          </w:p>
        </w:tc>
        <w:tc>
          <w:tcPr>
            <w:tcW w:w="100" w:type="dxa"/>
            <w:vAlign w:val="bottom"/>
          </w:tcPr>
          <w:p>
            <w:pPr>
              <w:spacing w:after="0"/>
              <w:rPr>
                <w:sz w:val="12"/>
                <w:szCs w:val="12"/>
                <w:color w:val="auto"/>
              </w:rPr>
            </w:pPr>
          </w:p>
        </w:tc>
        <w:tc>
          <w:tcPr>
            <w:tcW w:w="1160" w:type="dxa"/>
            <w:vAlign w:val="bottom"/>
            <w:gridSpan w:val="3"/>
          </w:tcPr>
          <w:p>
            <w:pPr>
              <w:jc w:val="right"/>
              <w:ind w:right="260"/>
              <w:spacing w:after="0" w:line="125" w:lineRule="exact"/>
              <w:rPr>
                <w:sz w:val="20"/>
                <w:szCs w:val="20"/>
                <w:color w:val="auto"/>
              </w:rPr>
            </w:pPr>
            <w:r>
              <w:rPr>
                <w:rFonts w:ascii="Arial" w:cs="Arial" w:eastAsia="Arial" w:hAnsi="Arial"/>
                <w:sz w:val="14"/>
                <w:szCs w:val="14"/>
                <w:b w:val="1"/>
                <w:bCs w:val="1"/>
                <w:color w:val="auto"/>
                <w:w w:val="98"/>
              </w:rPr>
              <w:t>30 to 90 Days</w:t>
            </w:r>
          </w:p>
        </w:tc>
        <w:tc>
          <w:tcPr>
            <w:tcW w:w="1020" w:type="dxa"/>
            <w:vAlign w:val="bottom"/>
            <w:gridSpan w:val="3"/>
          </w:tcPr>
          <w:p>
            <w:pPr>
              <w:ind w:left="40"/>
              <w:spacing w:after="0" w:line="125" w:lineRule="exact"/>
              <w:rPr>
                <w:sz w:val="20"/>
                <w:szCs w:val="20"/>
                <w:color w:val="auto"/>
              </w:rPr>
            </w:pPr>
            <w:r>
              <w:rPr>
                <w:rFonts w:ascii="Arial" w:cs="Arial" w:eastAsia="Arial" w:hAnsi="Arial"/>
                <w:sz w:val="14"/>
                <w:szCs w:val="14"/>
                <w:b w:val="1"/>
                <w:bCs w:val="1"/>
                <w:color w:val="auto"/>
              </w:rPr>
              <w:t>91 to 110 days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ind w:left="12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52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U.S. Treasuries</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F0FF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4720" w:type="dxa"/>
            <w:vAlign w:val="bottom"/>
            <w:gridSpan w:val="2"/>
          </w:tcPr>
          <w:p>
            <w:pPr>
              <w:ind w:left="16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472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16,608</w:t>
            </w:r>
          </w:p>
        </w:tc>
        <w:tc>
          <w:tcPr>
            <w:tcW w:w="280" w:type="dxa"/>
            <w:vAlign w:val="bottom"/>
            <w:shd w:val="clear" w:color="auto" w:fill="F0FFFF"/>
          </w:tcPr>
          <w:p>
            <w:pPr>
              <w:spacing w:after="0"/>
              <w:rPr>
                <w:sz w:val="20"/>
                <w:szCs w:val="20"/>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175,000</w:t>
            </w:r>
          </w:p>
        </w:tc>
        <w:tc>
          <w:tcPr>
            <w:tcW w:w="220" w:type="dxa"/>
            <w:vAlign w:val="bottom"/>
            <w:shd w:val="clear" w:color="auto" w:fill="F0FFFF"/>
          </w:tcPr>
          <w:p>
            <w:pPr>
              <w:spacing w:after="0"/>
              <w:rPr>
                <w:sz w:val="20"/>
                <w:szCs w:val="20"/>
                <w:color w:val="auto"/>
              </w:rPr>
            </w:pP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8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316,608</w:t>
            </w:r>
          </w:p>
        </w:tc>
        <w:tc>
          <w:tcPr>
            <w:tcW w:w="0" w:type="dxa"/>
            <w:vAlign w:val="bottom"/>
          </w:tcPr>
          <w:p>
            <w:pPr>
              <w:spacing w:after="0"/>
              <w:rPr>
                <w:sz w:val="1"/>
                <w:szCs w:val="1"/>
                <w:color w:val="auto"/>
              </w:rPr>
            </w:pPr>
          </w:p>
        </w:tc>
      </w:tr>
      <w:tr>
        <w:trPr>
          <w:trHeight w:val="216"/>
        </w:trPr>
        <w:tc>
          <w:tcPr>
            <w:tcW w:w="1520" w:type="dxa"/>
            <w:vAlign w:val="bottom"/>
            <w:tcBorders>
              <w:top w:val="single" w:sz="8" w:color="F0FFFF"/>
            </w:tcBorders>
          </w:tcPr>
          <w:p>
            <w:pPr>
              <w:spacing w:after="0"/>
              <w:rPr>
                <w:sz w:val="18"/>
                <w:szCs w:val="18"/>
                <w:color w:val="auto"/>
              </w:rPr>
            </w:pPr>
          </w:p>
        </w:tc>
        <w:tc>
          <w:tcPr>
            <w:tcW w:w="32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7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16,640</w:t>
            </w:r>
          </w:p>
        </w:tc>
        <w:tc>
          <w:tcPr>
            <w:tcW w:w="2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25,000</w:t>
            </w:r>
          </w:p>
        </w:tc>
        <w:tc>
          <w:tcPr>
            <w:tcW w:w="340" w:type="dxa"/>
            <w:vAlign w:val="bottom"/>
            <w:gridSpan w:val="2"/>
            <w:shd w:val="clear" w:color="auto" w:fill="F0FFFF"/>
          </w:tcPr>
          <w:p>
            <w:pPr>
              <w:jc w:val="right"/>
              <w:ind w:right="6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275,000</w:t>
            </w:r>
          </w:p>
        </w:tc>
        <w:tc>
          <w:tcPr>
            <w:tcW w:w="220" w:type="dxa"/>
            <w:vAlign w:val="bottom"/>
            <w:shd w:val="clear" w:color="auto" w:fill="F0FF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100,000</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416,640</w:t>
            </w:r>
          </w:p>
        </w:tc>
        <w:tc>
          <w:tcPr>
            <w:tcW w:w="0" w:type="dxa"/>
            <w:vAlign w:val="bottom"/>
          </w:tcPr>
          <w:p>
            <w:pPr>
              <w:spacing w:after="0"/>
              <w:rPr>
                <w:sz w:val="1"/>
                <w:szCs w:val="1"/>
                <w:color w:val="auto"/>
              </w:rPr>
            </w:pPr>
          </w:p>
        </w:tc>
      </w:tr>
      <w:tr>
        <w:trPr>
          <w:trHeight w:val="438"/>
        </w:trPr>
        <w:tc>
          <w:tcPr>
            <w:tcW w:w="4720" w:type="dxa"/>
            <w:vAlign w:val="bottom"/>
            <w:tcBorders>
              <w:top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w w:val="90"/>
              </w:rPr>
              <w:t>Gross amount of recognized liabilities for repurchase agreements</w:t>
            </w:r>
          </w:p>
        </w:tc>
        <w:tc>
          <w:tcPr>
            <w:tcW w:w="120" w:type="dxa"/>
            <w:vAlign w:val="bottom"/>
            <w:tcBorders>
              <w:top w:val="single" w:sz="8" w:color="F0FFFF"/>
            </w:tcBorders>
            <w:shd w:val="clear" w:color="auto" w:fill="F0FFFF"/>
          </w:tcPr>
          <w:p>
            <w:pPr>
              <w:spacing w:after="0"/>
              <w:rPr>
                <w:sz w:val="24"/>
                <w:szCs w:val="24"/>
                <w:color w:val="auto"/>
              </w:rPr>
            </w:pPr>
          </w:p>
        </w:tc>
        <w:tc>
          <w:tcPr>
            <w:tcW w:w="100" w:type="dxa"/>
            <w:vAlign w:val="bottom"/>
            <w:tcBorders>
              <w:top w:val="single" w:sz="8" w:color="auto"/>
            </w:tcBorders>
            <w:shd w:val="clear" w:color="auto" w:fill="F0FFFF"/>
          </w:tcPr>
          <w:p>
            <w:pPr>
              <w:spacing w:after="0"/>
              <w:rPr>
                <w:sz w:val="24"/>
                <w:szCs w:val="24"/>
                <w:color w:val="auto"/>
              </w:rPr>
            </w:pPr>
          </w:p>
        </w:tc>
        <w:tc>
          <w:tcPr>
            <w:tcW w:w="860" w:type="dxa"/>
            <w:vAlign w:val="bottom"/>
            <w:tcBorders>
              <w:top w:val="single" w:sz="8" w:color="auto"/>
            </w:tcBorders>
            <w:shd w:val="clear" w:color="auto" w:fill="F0FFFF"/>
          </w:tcPr>
          <w:p>
            <w:pPr>
              <w:spacing w:after="0"/>
              <w:rPr>
                <w:sz w:val="24"/>
                <w:szCs w:val="24"/>
                <w:color w:val="auto"/>
              </w:rPr>
            </w:pPr>
          </w:p>
        </w:tc>
        <w:tc>
          <w:tcPr>
            <w:tcW w:w="200" w:type="dxa"/>
            <w:vAlign w:val="bottom"/>
            <w:tcBorders>
              <w:top w:val="single" w:sz="8" w:color="F0FFFF"/>
            </w:tcBorders>
            <w:shd w:val="clear" w:color="auto" w:fill="F0FFFF"/>
          </w:tcPr>
          <w:p>
            <w:pPr>
              <w:spacing w:after="0"/>
              <w:rPr>
                <w:sz w:val="24"/>
                <w:szCs w:val="24"/>
                <w:color w:val="auto"/>
              </w:rPr>
            </w:pPr>
          </w:p>
        </w:tc>
        <w:tc>
          <w:tcPr>
            <w:tcW w:w="280" w:type="dxa"/>
            <w:vAlign w:val="bottom"/>
            <w:tcBorders>
              <w:top w:val="single" w:sz="8" w:color="auto"/>
            </w:tcBorders>
            <w:shd w:val="clear" w:color="auto" w:fill="F0FFFF"/>
          </w:tcPr>
          <w:p>
            <w:pPr>
              <w:spacing w:after="0"/>
              <w:rPr>
                <w:sz w:val="24"/>
                <w:szCs w:val="24"/>
                <w:color w:val="auto"/>
              </w:rPr>
            </w:pPr>
          </w:p>
        </w:tc>
        <w:tc>
          <w:tcPr>
            <w:tcW w:w="680" w:type="dxa"/>
            <w:vAlign w:val="bottom"/>
            <w:tcBorders>
              <w:top w:val="single" w:sz="8" w:color="auto"/>
            </w:tcBorders>
            <w:shd w:val="clear" w:color="auto" w:fill="F0FFFF"/>
          </w:tcPr>
          <w:p>
            <w:pPr>
              <w:spacing w:after="0"/>
              <w:rPr>
                <w:sz w:val="24"/>
                <w:szCs w:val="24"/>
                <w:color w:val="auto"/>
              </w:rPr>
            </w:pPr>
          </w:p>
        </w:tc>
        <w:tc>
          <w:tcPr>
            <w:tcW w:w="120" w:type="dxa"/>
            <w:vAlign w:val="bottom"/>
            <w:tcBorders>
              <w:top w:val="single" w:sz="8" w:color="F0FFFF"/>
            </w:tcBorders>
            <w:shd w:val="clear" w:color="auto" w:fill="F0FFFF"/>
          </w:tcPr>
          <w:p>
            <w:pPr>
              <w:spacing w:after="0"/>
              <w:rPr>
                <w:sz w:val="24"/>
                <w:szCs w:val="24"/>
                <w:color w:val="auto"/>
              </w:rPr>
            </w:pPr>
          </w:p>
        </w:tc>
        <w:tc>
          <w:tcPr>
            <w:tcW w:w="100" w:type="dxa"/>
            <w:vAlign w:val="bottom"/>
            <w:tcBorders>
              <w:top w:val="single" w:sz="8" w:color="F0FFFF"/>
            </w:tcBorders>
            <w:shd w:val="clear" w:color="auto" w:fill="F0FFFF"/>
          </w:tcPr>
          <w:p>
            <w:pPr>
              <w:spacing w:after="0"/>
              <w:rPr>
                <w:sz w:val="24"/>
                <w:szCs w:val="24"/>
                <w:color w:val="auto"/>
              </w:rPr>
            </w:pPr>
          </w:p>
        </w:tc>
        <w:tc>
          <w:tcPr>
            <w:tcW w:w="240" w:type="dxa"/>
            <w:vAlign w:val="bottom"/>
            <w:tcBorders>
              <w:top w:val="single" w:sz="8" w:color="auto"/>
            </w:tcBorders>
            <w:shd w:val="clear" w:color="auto" w:fill="F0FFFF"/>
          </w:tcPr>
          <w:p>
            <w:pPr>
              <w:spacing w:after="0"/>
              <w:rPr>
                <w:sz w:val="24"/>
                <w:szCs w:val="24"/>
                <w:color w:val="auto"/>
              </w:rPr>
            </w:pPr>
          </w:p>
        </w:tc>
        <w:tc>
          <w:tcPr>
            <w:tcW w:w="720" w:type="dxa"/>
            <w:vAlign w:val="bottom"/>
            <w:tcBorders>
              <w:top w:val="single" w:sz="8" w:color="auto"/>
            </w:tcBorders>
            <w:shd w:val="clear" w:color="auto" w:fill="F0FFFF"/>
          </w:tcPr>
          <w:p>
            <w:pPr>
              <w:spacing w:after="0"/>
              <w:rPr>
                <w:sz w:val="24"/>
                <w:szCs w:val="24"/>
                <w:color w:val="auto"/>
              </w:rPr>
            </w:pPr>
          </w:p>
        </w:tc>
        <w:tc>
          <w:tcPr>
            <w:tcW w:w="200" w:type="dxa"/>
            <w:vAlign w:val="bottom"/>
            <w:tcBorders>
              <w:top w:val="single" w:sz="8" w:color="F0FFFF"/>
            </w:tcBorders>
            <w:shd w:val="clear" w:color="auto" w:fill="F0FFFF"/>
          </w:tcPr>
          <w:p>
            <w:pPr>
              <w:spacing w:after="0"/>
              <w:rPr>
                <w:sz w:val="24"/>
                <w:szCs w:val="24"/>
                <w:color w:val="auto"/>
              </w:rPr>
            </w:pPr>
          </w:p>
        </w:tc>
        <w:tc>
          <w:tcPr>
            <w:tcW w:w="220" w:type="dxa"/>
            <w:vAlign w:val="bottom"/>
            <w:tcBorders>
              <w:top w:val="single" w:sz="8" w:color="auto"/>
            </w:tcBorders>
            <w:shd w:val="clear" w:color="auto" w:fill="F0FFFF"/>
          </w:tcPr>
          <w:p>
            <w:pPr>
              <w:spacing w:after="0"/>
              <w:rPr>
                <w:sz w:val="24"/>
                <w:szCs w:val="24"/>
                <w:color w:val="auto"/>
              </w:rPr>
            </w:pPr>
          </w:p>
        </w:tc>
        <w:tc>
          <w:tcPr>
            <w:tcW w:w="720" w:type="dxa"/>
            <w:vAlign w:val="bottom"/>
            <w:tcBorders>
              <w:top w:val="single" w:sz="8" w:color="auto"/>
            </w:tcBorders>
            <w:shd w:val="clear" w:color="auto" w:fill="F0FFFF"/>
          </w:tcPr>
          <w:p>
            <w:pPr>
              <w:spacing w:after="0"/>
              <w:rPr>
                <w:sz w:val="24"/>
                <w:szCs w:val="24"/>
                <w:color w:val="auto"/>
              </w:rPr>
            </w:pPr>
          </w:p>
        </w:tc>
        <w:tc>
          <w:tcPr>
            <w:tcW w:w="80" w:type="dxa"/>
            <w:vAlign w:val="bottom"/>
            <w:tcBorders>
              <w:top w:val="single" w:sz="8" w:color="F0FFFF"/>
            </w:tcBorders>
            <w:shd w:val="clear" w:color="auto" w:fill="F0FFFF"/>
          </w:tcPr>
          <w:p>
            <w:pPr>
              <w:spacing w:after="0"/>
              <w:rPr>
                <w:sz w:val="24"/>
                <w:szCs w:val="24"/>
                <w:color w:val="auto"/>
              </w:rPr>
            </w:pPr>
          </w:p>
        </w:tc>
        <w:tc>
          <w:tcPr>
            <w:tcW w:w="100" w:type="dxa"/>
            <w:vAlign w:val="bottom"/>
            <w:tcBorders>
              <w:top w:val="single" w:sz="8" w:color="F0FFFF"/>
            </w:tcBorders>
            <w:shd w:val="clear" w:color="auto" w:fill="F0FFFF"/>
          </w:tcPr>
          <w:p>
            <w:pPr>
              <w:spacing w:after="0"/>
              <w:rPr>
                <w:sz w:val="24"/>
                <w:szCs w:val="24"/>
                <w:color w:val="auto"/>
              </w:rPr>
            </w:pPr>
          </w:p>
        </w:tc>
        <w:tc>
          <w:tcPr>
            <w:tcW w:w="200" w:type="dxa"/>
            <w:vAlign w:val="bottom"/>
            <w:tcBorders>
              <w:top w:val="single" w:sz="8" w:color="auto"/>
            </w:tcBorders>
            <w:shd w:val="clear" w:color="auto" w:fill="F0FFFF"/>
          </w:tcPr>
          <w:p>
            <w:pPr>
              <w:spacing w:after="0"/>
              <w:rPr>
                <w:sz w:val="24"/>
                <w:szCs w:val="24"/>
                <w:color w:val="auto"/>
              </w:rPr>
            </w:pPr>
          </w:p>
        </w:tc>
        <w:tc>
          <w:tcPr>
            <w:tcW w:w="740" w:type="dxa"/>
            <w:vAlign w:val="bottom"/>
            <w:tcBorders>
              <w:top w:val="single" w:sz="8" w:color="auto"/>
            </w:tcBorders>
            <w:shd w:val="clear" w:color="auto" w:fill="F0FFFF"/>
          </w:tcPr>
          <w:p>
            <w:pPr>
              <w:spacing w:after="0"/>
              <w:rPr>
                <w:sz w:val="24"/>
                <w:szCs w:val="24"/>
                <w:color w:val="auto"/>
              </w:rPr>
            </w:pPr>
          </w:p>
        </w:tc>
        <w:tc>
          <w:tcPr>
            <w:tcW w:w="80" w:type="dxa"/>
            <w:vAlign w:val="bottom"/>
            <w:tcBorders>
              <w:top w:val="single" w:sz="8" w:color="F0FFFF"/>
            </w:tcBorders>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72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in offsetting disclosure</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80" w:type="dxa"/>
            <w:vAlign w:val="bottom"/>
            <w:shd w:val="clear" w:color="auto" w:fill="F0FFFF"/>
          </w:tcPr>
          <w:p>
            <w:pPr>
              <w:spacing w:after="0"/>
              <w:rPr>
                <w:sz w:val="24"/>
                <w:szCs w:val="24"/>
                <w:color w:val="auto"/>
              </w:rPr>
            </w:pP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438"/>
        </w:trPr>
        <w:tc>
          <w:tcPr>
            <w:tcW w:w="4720" w:type="dxa"/>
            <w:vAlign w:val="bottom"/>
            <w:tcBorders>
              <w:top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Amounts related to agreements not included in offsetting</w:t>
            </w:r>
          </w:p>
        </w:tc>
        <w:tc>
          <w:tcPr>
            <w:tcW w:w="120" w:type="dxa"/>
            <w:vAlign w:val="bottom"/>
            <w:tcBorders>
              <w:top w:val="single" w:sz="8" w:color="F0FFFF"/>
            </w:tcBorders>
            <w:shd w:val="clear" w:color="auto" w:fill="F0FFFF"/>
          </w:tcPr>
          <w:p>
            <w:pPr>
              <w:spacing w:after="0"/>
              <w:rPr>
                <w:sz w:val="24"/>
                <w:szCs w:val="24"/>
                <w:color w:val="auto"/>
              </w:rPr>
            </w:pPr>
          </w:p>
        </w:tc>
        <w:tc>
          <w:tcPr>
            <w:tcW w:w="100" w:type="dxa"/>
            <w:vAlign w:val="bottom"/>
            <w:tcBorders>
              <w:top w:val="single" w:sz="8" w:color="F0FFFF"/>
            </w:tcBorders>
            <w:shd w:val="clear" w:color="auto" w:fill="F0FFFF"/>
          </w:tcPr>
          <w:p>
            <w:pPr>
              <w:spacing w:after="0"/>
              <w:rPr>
                <w:sz w:val="24"/>
                <w:szCs w:val="24"/>
                <w:color w:val="auto"/>
              </w:rPr>
            </w:pPr>
          </w:p>
        </w:tc>
        <w:tc>
          <w:tcPr>
            <w:tcW w:w="860" w:type="dxa"/>
            <w:vAlign w:val="bottom"/>
            <w:tcBorders>
              <w:top w:val="single" w:sz="8" w:color="F0FFFF"/>
            </w:tcBorders>
            <w:shd w:val="clear" w:color="auto" w:fill="F0FFFF"/>
          </w:tcPr>
          <w:p>
            <w:pPr>
              <w:spacing w:after="0"/>
              <w:rPr>
                <w:sz w:val="24"/>
                <w:szCs w:val="24"/>
                <w:color w:val="auto"/>
              </w:rPr>
            </w:pPr>
          </w:p>
        </w:tc>
        <w:tc>
          <w:tcPr>
            <w:tcW w:w="200" w:type="dxa"/>
            <w:vAlign w:val="bottom"/>
            <w:tcBorders>
              <w:top w:val="single" w:sz="8" w:color="F0FFFF"/>
            </w:tcBorders>
            <w:shd w:val="clear" w:color="auto" w:fill="F0FFFF"/>
          </w:tcPr>
          <w:p>
            <w:pPr>
              <w:spacing w:after="0"/>
              <w:rPr>
                <w:sz w:val="24"/>
                <w:szCs w:val="24"/>
                <w:color w:val="auto"/>
              </w:rPr>
            </w:pPr>
          </w:p>
        </w:tc>
        <w:tc>
          <w:tcPr>
            <w:tcW w:w="280" w:type="dxa"/>
            <w:vAlign w:val="bottom"/>
            <w:tcBorders>
              <w:top w:val="single" w:sz="8" w:color="F0FFFF"/>
            </w:tcBorders>
            <w:shd w:val="clear" w:color="auto" w:fill="F0FFFF"/>
          </w:tcPr>
          <w:p>
            <w:pPr>
              <w:spacing w:after="0"/>
              <w:rPr>
                <w:sz w:val="24"/>
                <w:szCs w:val="24"/>
                <w:color w:val="auto"/>
              </w:rPr>
            </w:pPr>
          </w:p>
        </w:tc>
        <w:tc>
          <w:tcPr>
            <w:tcW w:w="680" w:type="dxa"/>
            <w:vAlign w:val="bottom"/>
            <w:tcBorders>
              <w:top w:val="single" w:sz="8" w:color="F0FFFF"/>
            </w:tcBorders>
            <w:shd w:val="clear" w:color="auto" w:fill="F0FFFF"/>
          </w:tcPr>
          <w:p>
            <w:pPr>
              <w:spacing w:after="0"/>
              <w:rPr>
                <w:sz w:val="24"/>
                <w:szCs w:val="24"/>
                <w:color w:val="auto"/>
              </w:rPr>
            </w:pPr>
          </w:p>
        </w:tc>
        <w:tc>
          <w:tcPr>
            <w:tcW w:w="120" w:type="dxa"/>
            <w:vAlign w:val="bottom"/>
            <w:tcBorders>
              <w:top w:val="single" w:sz="8" w:color="F0FFFF"/>
            </w:tcBorders>
            <w:shd w:val="clear" w:color="auto" w:fill="F0FFFF"/>
          </w:tcPr>
          <w:p>
            <w:pPr>
              <w:spacing w:after="0"/>
              <w:rPr>
                <w:sz w:val="24"/>
                <w:szCs w:val="24"/>
                <w:color w:val="auto"/>
              </w:rPr>
            </w:pPr>
          </w:p>
        </w:tc>
        <w:tc>
          <w:tcPr>
            <w:tcW w:w="100" w:type="dxa"/>
            <w:vAlign w:val="bottom"/>
            <w:tcBorders>
              <w:top w:val="single" w:sz="8" w:color="F0FFFF"/>
            </w:tcBorders>
            <w:shd w:val="clear" w:color="auto" w:fill="F0FFFF"/>
          </w:tcPr>
          <w:p>
            <w:pPr>
              <w:spacing w:after="0"/>
              <w:rPr>
                <w:sz w:val="24"/>
                <w:szCs w:val="24"/>
                <w:color w:val="auto"/>
              </w:rPr>
            </w:pPr>
          </w:p>
        </w:tc>
        <w:tc>
          <w:tcPr>
            <w:tcW w:w="240" w:type="dxa"/>
            <w:vAlign w:val="bottom"/>
            <w:tcBorders>
              <w:top w:val="single" w:sz="8" w:color="F0FFFF"/>
            </w:tcBorders>
            <w:shd w:val="clear" w:color="auto" w:fill="F0FFFF"/>
          </w:tcPr>
          <w:p>
            <w:pPr>
              <w:spacing w:after="0"/>
              <w:rPr>
                <w:sz w:val="24"/>
                <w:szCs w:val="24"/>
                <w:color w:val="auto"/>
              </w:rPr>
            </w:pPr>
          </w:p>
        </w:tc>
        <w:tc>
          <w:tcPr>
            <w:tcW w:w="720" w:type="dxa"/>
            <w:vAlign w:val="bottom"/>
            <w:tcBorders>
              <w:top w:val="single" w:sz="8" w:color="F0FFFF"/>
            </w:tcBorders>
            <w:shd w:val="clear" w:color="auto" w:fill="F0FFFF"/>
          </w:tcPr>
          <w:p>
            <w:pPr>
              <w:spacing w:after="0"/>
              <w:rPr>
                <w:sz w:val="24"/>
                <w:szCs w:val="24"/>
                <w:color w:val="auto"/>
              </w:rPr>
            </w:pPr>
          </w:p>
        </w:tc>
        <w:tc>
          <w:tcPr>
            <w:tcW w:w="200" w:type="dxa"/>
            <w:vAlign w:val="bottom"/>
            <w:tcBorders>
              <w:top w:val="single" w:sz="8" w:color="F0FFFF"/>
            </w:tcBorders>
            <w:shd w:val="clear" w:color="auto" w:fill="F0FFFF"/>
          </w:tcPr>
          <w:p>
            <w:pPr>
              <w:spacing w:after="0"/>
              <w:rPr>
                <w:sz w:val="24"/>
                <w:szCs w:val="24"/>
                <w:color w:val="auto"/>
              </w:rPr>
            </w:pPr>
          </w:p>
        </w:tc>
        <w:tc>
          <w:tcPr>
            <w:tcW w:w="220" w:type="dxa"/>
            <w:vAlign w:val="bottom"/>
            <w:tcBorders>
              <w:top w:val="single" w:sz="8" w:color="F0FFFF"/>
            </w:tcBorders>
            <w:shd w:val="clear" w:color="auto" w:fill="F0FFFF"/>
          </w:tcPr>
          <w:p>
            <w:pPr>
              <w:spacing w:after="0"/>
              <w:rPr>
                <w:sz w:val="24"/>
                <w:szCs w:val="24"/>
                <w:color w:val="auto"/>
              </w:rPr>
            </w:pPr>
          </w:p>
        </w:tc>
        <w:tc>
          <w:tcPr>
            <w:tcW w:w="720" w:type="dxa"/>
            <w:vAlign w:val="bottom"/>
            <w:tcBorders>
              <w:top w:val="single" w:sz="8" w:color="F0FFFF"/>
            </w:tcBorders>
            <w:shd w:val="clear" w:color="auto" w:fill="F0FFFF"/>
          </w:tcPr>
          <w:p>
            <w:pPr>
              <w:spacing w:after="0"/>
              <w:rPr>
                <w:sz w:val="24"/>
                <w:szCs w:val="24"/>
                <w:color w:val="auto"/>
              </w:rPr>
            </w:pPr>
          </w:p>
        </w:tc>
        <w:tc>
          <w:tcPr>
            <w:tcW w:w="80" w:type="dxa"/>
            <w:vAlign w:val="bottom"/>
            <w:tcBorders>
              <w:top w:val="single" w:sz="8" w:color="F0FFFF"/>
            </w:tcBorders>
            <w:shd w:val="clear" w:color="auto" w:fill="F0FFFF"/>
          </w:tcPr>
          <w:p>
            <w:pPr>
              <w:spacing w:after="0"/>
              <w:rPr>
                <w:sz w:val="24"/>
                <w:szCs w:val="24"/>
                <w:color w:val="auto"/>
              </w:rPr>
            </w:pPr>
          </w:p>
        </w:tc>
        <w:tc>
          <w:tcPr>
            <w:tcW w:w="100" w:type="dxa"/>
            <w:vAlign w:val="bottom"/>
            <w:tcBorders>
              <w:top w:val="single" w:sz="8" w:color="F0FFFF"/>
            </w:tcBorders>
            <w:shd w:val="clear" w:color="auto" w:fill="F0FFFF"/>
          </w:tcPr>
          <w:p>
            <w:pPr>
              <w:spacing w:after="0"/>
              <w:rPr>
                <w:sz w:val="24"/>
                <w:szCs w:val="24"/>
                <w:color w:val="auto"/>
              </w:rPr>
            </w:pPr>
          </w:p>
        </w:tc>
        <w:tc>
          <w:tcPr>
            <w:tcW w:w="200" w:type="dxa"/>
            <w:vAlign w:val="bottom"/>
            <w:tcBorders>
              <w:top w:val="single" w:sz="8" w:color="auto"/>
            </w:tcBorders>
            <w:shd w:val="clear" w:color="auto" w:fill="F0FFFF"/>
          </w:tcPr>
          <w:p>
            <w:pPr>
              <w:spacing w:after="0"/>
              <w:rPr>
                <w:sz w:val="24"/>
                <w:szCs w:val="24"/>
                <w:color w:val="auto"/>
              </w:rPr>
            </w:pPr>
          </w:p>
        </w:tc>
        <w:tc>
          <w:tcPr>
            <w:tcW w:w="740" w:type="dxa"/>
            <w:vAlign w:val="bottom"/>
            <w:tcBorders>
              <w:top w:val="single" w:sz="8" w:color="auto"/>
            </w:tcBorders>
            <w:shd w:val="clear" w:color="auto" w:fill="F0FFFF"/>
          </w:tcPr>
          <w:p>
            <w:pPr>
              <w:spacing w:after="0"/>
              <w:rPr>
                <w:sz w:val="24"/>
                <w:szCs w:val="24"/>
                <w:color w:val="auto"/>
              </w:rPr>
            </w:pPr>
          </w:p>
        </w:tc>
        <w:tc>
          <w:tcPr>
            <w:tcW w:w="80" w:type="dxa"/>
            <w:vAlign w:val="bottom"/>
            <w:tcBorders>
              <w:top w:val="single" w:sz="8" w:color="F0FFFF"/>
            </w:tcBorders>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72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disclosure</w:t>
            </w: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86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280" w:type="dxa"/>
            <w:vAlign w:val="bottom"/>
            <w:shd w:val="clear" w:color="auto" w:fill="F0FFFF"/>
          </w:tcPr>
          <w:p>
            <w:pPr>
              <w:spacing w:after="0"/>
              <w:rPr>
                <w:sz w:val="24"/>
                <w:szCs w:val="24"/>
                <w:color w:val="auto"/>
              </w:rPr>
            </w:pPr>
          </w:p>
        </w:tc>
        <w:tc>
          <w:tcPr>
            <w:tcW w:w="680" w:type="dxa"/>
            <w:vAlign w:val="bottom"/>
            <w:shd w:val="clear" w:color="auto" w:fill="F0FFFF"/>
          </w:tcPr>
          <w:p>
            <w:pPr>
              <w:spacing w:after="0"/>
              <w:rPr>
                <w:sz w:val="24"/>
                <w:szCs w:val="24"/>
                <w:color w:val="auto"/>
              </w:rPr>
            </w:pPr>
          </w:p>
        </w:tc>
        <w:tc>
          <w:tcPr>
            <w:tcW w:w="120" w:type="dxa"/>
            <w:vAlign w:val="bottom"/>
            <w:shd w:val="clear" w:color="auto" w:fill="F0FFFF"/>
          </w:tcPr>
          <w:p>
            <w:pPr>
              <w:spacing w:after="0"/>
              <w:rPr>
                <w:sz w:val="24"/>
                <w:szCs w:val="24"/>
                <w:color w:val="auto"/>
              </w:rPr>
            </w:pPr>
          </w:p>
        </w:tc>
        <w:tc>
          <w:tcPr>
            <w:tcW w:w="100" w:type="dxa"/>
            <w:vAlign w:val="bottom"/>
            <w:shd w:val="clear" w:color="auto" w:fill="F0FFFF"/>
          </w:tcPr>
          <w:p>
            <w:pPr>
              <w:spacing w:after="0"/>
              <w:rPr>
                <w:sz w:val="24"/>
                <w:szCs w:val="24"/>
                <w:color w:val="auto"/>
              </w:rPr>
            </w:pPr>
          </w:p>
        </w:tc>
        <w:tc>
          <w:tcPr>
            <w:tcW w:w="24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200" w:type="dxa"/>
            <w:vAlign w:val="bottom"/>
            <w:shd w:val="clear" w:color="auto" w:fill="F0FFFF"/>
          </w:tcPr>
          <w:p>
            <w:pPr>
              <w:spacing w:after="0"/>
              <w:rPr>
                <w:sz w:val="24"/>
                <w:szCs w:val="24"/>
                <w:color w:val="auto"/>
              </w:rPr>
            </w:pPr>
          </w:p>
        </w:tc>
        <w:tc>
          <w:tcPr>
            <w:tcW w:w="220" w:type="dxa"/>
            <w:vAlign w:val="bottom"/>
            <w:shd w:val="clear" w:color="auto" w:fill="F0FFFF"/>
          </w:tcPr>
          <w:p>
            <w:pPr>
              <w:spacing w:after="0"/>
              <w:rPr>
                <w:sz w:val="24"/>
                <w:szCs w:val="24"/>
                <w:color w:val="auto"/>
              </w:rPr>
            </w:pPr>
          </w:p>
        </w:tc>
        <w:tc>
          <w:tcPr>
            <w:tcW w:w="720" w:type="dxa"/>
            <w:vAlign w:val="bottom"/>
            <w:shd w:val="clear" w:color="auto" w:fill="F0FFFF"/>
          </w:tcPr>
          <w:p>
            <w:pPr>
              <w:spacing w:after="0"/>
              <w:rPr>
                <w:sz w:val="24"/>
                <w:szCs w:val="24"/>
                <w:color w:val="auto"/>
              </w:rPr>
            </w:pPr>
          </w:p>
        </w:tc>
        <w:tc>
          <w:tcPr>
            <w:tcW w:w="80" w:type="dxa"/>
            <w:vAlign w:val="bottom"/>
            <w:shd w:val="clear" w:color="auto" w:fill="F0FFFF"/>
          </w:tcPr>
          <w:p>
            <w:pPr>
              <w:spacing w:after="0"/>
              <w:rPr>
                <w:sz w:val="24"/>
                <w:szCs w:val="24"/>
                <w:color w:val="auto"/>
              </w:rPr>
            </w:pP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16,640</w:t>
            </w:r>
          </w:p>
        </w:tc>
        <w:tc>
          <w:tcPr>
            <w:tcW w:w="0" w:type="dxa"/>
            <w:vAlign w:val="bottom"/>
          </w:tcPr>
          <w:p>
            <w:pPr>
              <w:spacing w:after="0"/>
              <w:rPr>
                <w:sz w:val="1"/>
                <w:szCs w:val="1"/>
                <w:color w:val="auto"/>
              </w:rPr>
            </w:pPr>
          </w:p>
        </w:tc>
      </w:tr>
      <w:tr>
        <w:trPr>
          <w:trHeight w:val="20"/>
        </w:trPr>
        <w:tc>
          <w:tcPr>
            <w:tcW w:w="1520" w:type="dxa"/>
            <w:vAlign w:val="bottom"/>
            <w:tcBorders>
              <w:top w:val="single" w:sz="8" w:color="F0FFFF"/>
            </w:tcBorders>
          </w:tcPr>
          <w:p>
            <w:pPr>
              <w:spacing w:after="0" w:line="20" w:lineRule="exact"/>
              <w:rPr>
                <w:sz w:val="1"/>
                <w:szCs w:val="1"/>
                <w:color w:val="auto"/>
              </w:rPr>
            </w:pPr>
          </w:p>
        </w:tc>
        <w:tc>
          <w:tcPr>
            <w:tcW w:w="32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-977265</wp:posOffset>
            </wp:positionV>
            <wp:extent cx="666369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63690" cy="17145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-496570</wp:posOffset>
            </wp:positionV>
            <wp:extent cx="666369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63690" cy="171450"/>
                    </a:xfrm>
                    <a:prstGeom prst="rect">
                      <a:avLst/>
                    </a:prstGeom>
                    <a:noFill/>
                  </pic:spPr>
                </pic:pic>
              </a:graphicData>
            </a:graphic>
          </wp:anchor>
        </w:drawing>
      </w:r>
    </w:p>
    <w:p>
      <w:pPr>
        <w:spacing w:after="0" w:line="18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ectPr>
          <w:pgSz w:w="11900" w:h="16891" w:orient="portrait"/>
          <w:cols w:equalWidth="0" w:num="1">
            <w:col w:w="11420"/>
          </w:cols>
          <w:pgMar w:left="240" w:top="904" w:right="239" w:bottom="0" w:gutter="0" w:footer="0" w:header="0"/>
          <w:type w:val="continuous"/>
        </w:sectPr>
      </w:pPr>
    </w:p>
    <w:bookmarkStart w:id="83" w:name="page84"/>
    <w:bookmarkEnd w:id="83"/>
    <w:p>
      <w:pPr>
        <w:jc w:val="center"/>
        <w:ind w:right="-4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84" w:name="page85"/>
    <w:bookmarkEnd w:id="84"/>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229" w:lineRule="exact"/>
        <w:rPr>
          <w:rFonts w:ascii="Arial" w:cs="Arial" w:eastAsia="Arial" w:hAnsi="Arial"/>
          <w:sz w:val="18"/>
          <w:szCs w:val="18"/>
          <w:b w:val="1"/>
          <w:bCs w:val="1"/>
          <w:color w:val="auto"/>
        </w:rPr>
      </w:pPr>
    </w:p>
    <w:p>
      <w:pPr>
        <w:jc w:val="both"/>
        <w:ind w:left="33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2013, securities available-for-sale with a fair value of $301 million were transferred to held-to-maturity. The securities were transferred at their fair value on the date of transfer. The unrealized loss of $8.31 million on the transferred securities is being amortized into interest revenue as an adjustment to the yield on those securities over the remaining life of the transferred securities.</w:t>
      </w:r>
    </w:p>
    <w:p>
      <w:pPr>
        <w:spacing w:after="0" w:line="181" w:lineRule="exact"/>
        <w:rPr>
          <w:rFonts w:ascii="Arial" w:cs="Arial" w:eastAsia="Arial" w:hAnsi="Arial"/>
          <w:sz w:val="18"/>
          <w:szCs w:val="18"/>
          <w:b w:val="1"/>
          <w:bCs w:val="1"/>
          <w:color w:val="auto"/>
        </w:rPr>
      </w:pPr>
    </w:p>
    <w:p>
      <w:pPr>
        <w:ind w:left="332"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both December 31, 2015 and 2014, securities with a carrying value of $1.63 billion and $1.51 billion, respectively, were pledged to secure public deposits, derivatives and other secured borrowings.</w:t>
      </w:r>
    </w:p>
    <w:p>
      <w:pPr>
        <w:spacing w:after="0" w:line="170"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cost basis, unrealized gains and losses, and fair value of securities held-to-maturity are listed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332"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6"/>
        </w:trPr>
        <w:tc>
          <w:tcPr>
            <w:tcW w:w="3860" w:type="dxa"/>
            <w:vAlign w:val="bottom"/>
            <w:tcBorders>
              <w:top w:val="single" w:sz="8" w:color="F0FFFF"/>
            </w:tcBorders>
            <w:gridSpan w:val="2"/>
            <w:shd w:val="clear" w:color="auto" w:fill="F0FFFF"/>
          </w:tcPr>
          <w:p>
            <w:pPr>
              <w:spacing w:after="0" w:line="176" w:lineRule="exact"/>
              <w:rPr>
                <w:sz w:val="20"/>
                <w:szCs w:val="20"/>
                <w:color w:val="auto"/>
              </w:rPr>
            </w:pPr>
            <w:r>
              <w:rPr>
                <w:rFonts w:ascii="Arial" w:cs="Arial" w:eastAsia="Arial" w:hAnsi="Arial"/>
                <w:sz w:val="18"/>
                <w:szCs w:val="18"/>
                <w:color w:val="auto"/>
              </w:rPr>
              <w:t>As of December 31, 2015</w:t>
            </w:r>
          </w:p>
        </w:tc>
        <w:tc>
          <w:tcPr>
            <w:tcW w:w="146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spacing w:after="0"/>
              <w:rPr>
                <w:sz w:val="15"/>
                <w:szCs w:val="15"/>
                <w:color w:val="auto"/>
              </w:rPr>
            </w:pPr>
          </w:p>
        </w:tc>
        <w:tc>
          <w:tcPr>
            <w:tcW w:w="1000" w:type="dxa"/>
            <w:vAlign w:val="bottom"/>
            <w:tcBorders>
              <w:top w:val="single" w:sz="8" w:color="auto"/>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spacing w:after="0"/>
              <w:rPr>
                <w:sz w:val="15"/>
                <w:szCs w:val="15"/>
                <w:color w:val="auto"/>
              </w:rPr>
            </w:pPr>
          </w:p>
        </w:tc>
        <w:tc>
          <w:tcPr>
            <w:tcW w:w="1000" w:type="dxa"/>
            <w:vAlign w:val="bottom"/>
            <w:tcBorders>
              <w:top w:val="single" w:sz="8" w:color="auto"/>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spacing w:after="0"/>
              <w:rPr>
                <w:sz w:val="15"/>
                <w:szCs w:val="15"/>
                <w:color w:val="auto"/>
              </w:rPr>
            </w:pPr>
          </w:p>
        </w:tc>
        <w:tc>
          <w:tcPr>
            <w:tcW w:w="1020" w:type="dxa"/>
            <w:vAlign w:val="bottom"/>
            <w:tcBorders>
              <w:top w:val="single" w:sz="8" w:color="auto"/>
            </w:tcBorders>
            <w:shd w:val="clear" w:color="auto" w:fill="F0FFFF"/>
          </w:tcPr>
          <w:p>
            <w:pPr>
              <w:spacing w:after="0"/>
              <w:rPr>
                <w:sz w:val="15"/>
                <w:szCs w:val="15"/>
                <w:color w:val="auto"/>
              </w:rPr>
            </w:pPr>
          </w:p>
        </w:tc>
        <w:tc>
          <w:tcPr>
            <w:tcW w:w="200" w:type="dxa"/>
            <w:vAlign w:val="bottom"/>
            <w:tcBorders>
              <w:top w:val="single" w:sz="8" w:color="F0FFFF"/>
            </w:tcBorders>
            <w:shd w:val="clear" w:color="auto" w:fill="F0FFFF"/>
          </w:tcPr>
          <w:p>
            <w:pPr>
              <w:spacing w:after="0"/>
              <w:rPr>
                <w:sz w:val="15"/>
                <w:szCs w:val="15"/>
                <w:color w:val="auto"/>
              </w:rPr>
            </w:pPr>
          </w:p>
        </w:tc>
        <w:tc>
          <w:tcPr>
            <w:tcW w:w="260" w:type="dxa"/>
            <w:vAlign w:val="bottom"/>
            <w:tcBorders>
              <w:top w:val="single" w:sz="8" w:color="auto"/>
            </w:tcBorders>
            <w:shd w:val="clear" w:color="auto" w:fill="F0FFFF"/>
          </w:tcPr>
          <w:p>
            <w:pPr>
              <w:spacing w:after="0"/>
              <w:rPr>
                <w:sz w:val="15"/>
                <w:szCs w:val="15"/>
                <w:color w:val="auto"/>
              </w:rPr>
            </w:pPr>
          </w:p>
        </w:tc>
        <w:tc>
          <w:tcPr>
            <w:tcW w:w="94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40" w:type="dxa"/>
            <w:vAlign w:val="bottom"/>
            <w:tcBorders>
              <w:top w:val="single" w:sz="8" w:color="auto"/>
            </w:tcBorders>
            <w:shd w:val="clear" w:color="auto" w:fill="F0FFFF"/>
          </w:tcPr>
          <w:p>
            <w:pPr>
              <w:spacing w:after="0" w:line="20" w:lineRule="exact"/>
              <w:rPr>
                <w:sz w:val="1"/>
                <w:szCs w:val="1"/>
                <w:color w:val="auto"/>
              </w:rPr>
            </w:pPr>
          </w:p>
        </w:tc>
        <w:tc>
          <w:tcPr>
            <w:tcW w:w="2020" w:type="dxa"/>
            <w:vAlign w:val="bottom"/>
            <w:tcBorders>
              <w:top w:val="single" w:sz="8" w:color="F0FFFF"/>
            </w:tcBorders>
            <w:shd w:val="clear" w:color="auto" w:fill="F0FFFF"/>
          </w:tcPr>
          <w:p>
            <w:pPr>
              <w:spacing w:after="0" w:line="20" w:lineRule="exact"/>
              <w:rPr>
                <w:sz w:val="1"/>
                <w:szCs w:val="1"/>
                <w:color w:val="auto"/>
              </w:rPr>
            </w:pPr>
          </w:p>
        </w:tc>
        <w:tc>
          <w:tcPr>
            <w:tcW w:w="14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2"/>
          </w:tcPr>
          <w:p>
            <w:pPr>
              <w:ind w:left="160"/>
              <w:spacing w:after="0"/>
              <w:rPr>
                <w:sz w:val="20"/>
                <w:szCs w:val="20"/>
                <w:color w:val="auto"/>
              </w:rPr>
            </w:pPr>
            <w:r>
              <w:rPr>
                <w:rFonts w:ascii="Arial" w:cs="Arial" w:eastAsia="Arial" w:hAnsi="Arial"/>
                <w:sz w:val="18"/>
                <w:szCs w:val="18"/>
                <w:color w:val="auto"/>
              </w:rPr>
              <w:t>State and political subdivisions</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62,073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860" w:type="dxa"/>
            <w:vAlign w:val="bottom"/>
            <w:gridSpan w:val="2"/>
            <w:shd w:val="clear" w:color="auto" w:fill="F0FFFF"/>
          </w:tcPr>
          <w:p>
            <w:pPr>
              <w:ind w:left="16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146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302,623</w:t>
            </w:r>
          </w:p>
        </w:tc>
        <w:tc>
          <w:tcPr>
            <w:tcW w:w="180" w:type="dxa"/>
            <w:vAlign w:val="bottom"/>
            <w:shd w:val="clear" w:color="auto" w:fill="F0FFFF"/>
          </w:tcPr>
          <w:p>
            <w:pPr>
              <w:spacing w:after="0"/>
              <w:rPr>
                <w:sz w:val="24"/>
                <w:szCs w:val="24"/>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5,424</w:t>
            </w:r>
          </w:p>
        </w:tc>
        <w:tc>
          <w:tcPr>
            <w:tcW w:w="220" w:type="dxa"/>
            <w:vAlign w:val="bottom"/>
            <w:shd w:val="clear" w:color="auto" w:fill="F0FFFF"/>
          </w:tcPr>
          <w:p>
            <w:pPr>
              <w:spacing w:after="0"/>
              <w:rPr>
                <w:sz w:val="24"/>
                <w:szCs w:val="24"/>
                <w:color w:val="auto"/>
              </w:rPr>
            </w:pPr>
          </w:p>
        </w:tc>
        <w:tc>
          <w:tcPr>
            <w:tcW w:w="180" w:type="dxa"/>
            <w:vAlign w:val="bottom"/>
            <w:shd w:val="clear" w:color="auto" w:fill="F0FFFF"/>
          </w:tcPr>
          <w:p>
            <w:pPr>
              <w:spacing w:after="0"/>
              <w:rPr>
                <w:sz w:val="24"/>
                <w:szCs w:val="24"/>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1,673</w:t>
            </w:r>
          </w:p>
        </w:tc>
        <w:tc>
          <w:tcPr>
            <w:tcW w:w="260" w:type="dxa"/>
            <w:vAlign w:val="bottom"/>
            <w:shd w:val="clear" w:color="auto" w:fill="F0FFFF"/>
          </w:tcPr>
          <w:p>
            <w:pPr>
              <w:spacing w:after="0"/>
              <w:rPr>
                <w:sz w:val="24"/>
                <w:szCs w:val="24"/>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306,374</w:t>
            </w:r>
          </w:p>
        </w:tc>
        <w:tc>
          <w:tcPr>
            <w:tcW w:w="100" w:type="dxa"/>
            <w:vAlign w:val="bottom"/>
            <w:shd w:val="clear" w:color="auto" w:fill="F0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F0FFFF"/>
            </w:tcBorders>
          </w:tcPr>
          <w:p>
            <w:pPr>
              <w:spacing w:after="0"/>
              <w:rPr>
                <w:sz w:val="18"/>
                <w:szCs w:val="18"/>
                <w:color w:val="auto"/>
              </w:rPr>
            </w:pPr>
          </w:p>
        </w:tc>
        <w:tc>
          <w:tcPr>
            <w:tcW w:w="2020" w:type="dxa"/>
            <w:vAlign w:val="bottom"/>
            <w:tcBorders>
              <w:top w:val="single" w:sz="8" w:color="F0FFFF"/>
            </w:tcBorders>
          </w:tcPr>
          <w:p>
            <w:pPr>
              <w:spacing w:after="0"/>
              <w:rPr>
                <w:sz w:val="18"/>
                <w:szCs w:val="18"/>
                <w:color w:val="auto"/>
              </w:rPr>
            </w:pPr>
          </w:p>
        </w:tc>
        <w:tc>
          <w:tcPr>
            <w:tcW w:w="146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86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Total</w:t>
            </w:r>
          </w:p>
        </w:tc>
        <w:tc>
          <w:tcPr>
            <w:tcW w:w="16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364,696</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8,635</w:t>
            </w:r>
          </w:p>
        </w:tc>
        <w:tc>
          <w:tcPr>
            <w:tcW w:w="220" w:type="dxa"/>
            <w:vAlign w:val="bottom"/>
            <w:shd w:val="clear" w:color="auto" w:fill="F0FFFF"/>
          </w:tcPr>
          <w:p>
            <w:pPr>
              <w:spacing w:after="0"/>
              <w:rPr>
                <w:sz w:val="22"/>
                <w:szCs w:val="22"/>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1,673</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371,658</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F0FFFF"/>
              <w:bottom w:val="single" w:sz="8" w:color="F0FFFF"/>
            </w:tcBorders>
            <w:gridSpan w:val="2"/>
            <w:vMerge w:val="restart"/>
          </w:tcPr>
          <w:p>
            <w:pPr>
              <w:spacing w:after="0" w:line="189" w:lineRule="exact"/>
              <w:rPr>
                <w:sz w:val="20"/>
                <w:szCs w:val="20"/>
                <w:color w:val="auto"/>
              </w:rPr>
            </w:pPr>
            <w:r>
              <w:rPr>
                <w:rFonts w:ascii="Arial" w:cs="Arial" w:eastAsia="Arial" w:hAnsi="Arial"/>
                <w:sz w:val="18"/>
                <w:szCs w:val="18"/>
                <w:color w:val="auto"/>
              </w:rPr>
              <w:t>As of December 31, 2014</w:t>
            </w:r>
          </w:p>
        </w:tc>
        <w:tc>
          <w:tcPr>
            <w:tcW w:w="14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6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State and political subdivisions</w:t>
            </w:r>
          </w:p>
        </w:tc>
        <w:tc>
          <w:tcPr>
            <w:tcW w:w="16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48,157</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3,504</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51,661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3860" w:type="dxa"/>
            <w:vAlign w:val="bottom"/>
            <w:gridSpan w:val="2"/>
          </w:tcPr>
          <w:p>
            <w:pPr>
              <w:ind w:left="16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367,110</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1,254</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373,572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F0FFFF"/>
            </w:tcBorders>
            <w:shd w:val="clear" w:color="auto" w:fill="F0FFFF"/>
          </w:tcPr>
          <w:p>
            <w:pPr>
              <w:spacing w:after="0"/>
              <w:rPr>
                <w:sz w:val="18"/>
                <w:szCs w:val="18"/>
                <w:color w:val="auto"/>
              </w:rPr>
            </w:pPr>
          </w:p>
        </w:tc>
        <w:tc>
          <w:tcPr>
            <w:tcW w:w="2020" w:type="dxa"/>
            <w:vAlign w:val="bottom"/>
            <w:tcBorders>
              <w:top w:val="single" w:sz="8" w:color="F0FFFF"/>
            </w:tcBorders>
            <w:shd w:val="clear" w:color="auto" w:fill="F0FFFF"/>
          </w:tcPr>
          <w:p>
            <w:pPr>
              <w:spacing w:after="0"/>
              <w:rPr>
                <w:sz w:val="18"/>
                <w:szCs w:val="18"/>
                <w:color w:val="auto"/>
              </w:rPr>
            </w:pPr>
          </w:p>
        </w:tc>
        <w:tc>
          <w:tcPr>
            <w:tcW w:w="14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415,267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11,220</w:t>
            </w:r>
          </w:p>
        </w:tc>
        <w:tc>
          <w:tcPr>
            <w:tcW w:w="2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1,254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425,233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32" w:right="2240" w:hanging="8"/>
        <w:spacing w:after="0" w:line="425" w:lineRule="auto"/>
        <w:tabs>
          <w:tab w:leader="none" w:pos="552" w:val="left"/>
        </w:tabs>
        <w:numPr>
          <w:ilvl w:val="0"/>
          <w:numId w:val="48"/>
        </w:numPr>
        <w:rPr>
          <w:rFonts w:ascii="Arial" w:cs="Arial" w:eastAsia="Arial" w:hAnsi="Arial"/>
          <w:sz w:val="26"/>
          <w:szCs w:val="26"/>
          <w:color w:val="auto"/>
          <w:vertAlign w:val="superscript"/>
        </w:rPr>
      </w:pPr>
      <w:r>
        <w:rPr>
          <w:rFonts w:ascii="Arial" w:cs="Arial" w:eastAsia="Arial" w:hAnsi="Arial"/>
          <w:sz w:val="16"/>
          <w:szCs w:val="16"/>
          <w:color w:val="auto"/>
        </w:rPr>
        <w:t xml:space="preserve">All are residential type mortgage-backed securities or U.S. government agency commercial mortgage backed securities. The cost basis, unrealized gains and losses, and fair value of securities available-for-sale are listed below </w:t>
      </w:r>
      <w:r>
        <w:rPr>
          <w:rFonts w:ascii="Arial" w:cs="Arial" w:eastAsia="Arial" w:hAnsi="Arial"/>
          <w:sz w:val="16"/>
          <w:szCs w:val="16"/>
          <w:i w:val="1"/>
          <w:iCs w:val="1"/>
          <w:color w:val="auto"/>
        </w:rPr>
        <w:t>(in thousands):</w:t>
      </w:r>
    </w:p>
    <w:tbl>
      <w:tblPr>
        <w:tblLayout w:type="fixed"/>
        <w:tblInd w:w="332"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2"/>
                <w:szCs w:val="12"/>
                <w:color w:val="auto"/>
              </w:rPr>
            </w:pP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3860" w:type="dxa"/>
            <w:vAlign w:val="bottom"/>
            <w:tcBorders>
              <w:top w:val="single" w:sz="8" w:color="F0FFFF"/>
            </w:tcBorders>
            <w:gridSpan w:val="2"/>
            <w:shd w:val="clear" w:color="auto" w:fill="F0FFFF"/>
          </w:tcPr>
          <w:p>
            <w:pPr>
              <w:spacing w:after="0" w:line="176" w:lineRule="exact"/>
              <w:rPr>
                <w:sz w:val="20"/>
                <w:szCs w:val="20"/>
                <w:color w:val="auto"/>
              </w:rPr>
            </w:pPr>
            <w:r>
              <w:rPr>
                <w:rFonts w:ascii="Arial" w:cs="Arial" w:eastAsia="Arial" w:hAnsi="Arial"/>
                <w:sz w:val="18"/>
                <w:szCs w:val="18"/>
                <w:color w:val="auto"/>
              </w:rPr>
              <w:t>As of December 31, 2015</w:t>
            </w:r>
          </w:p>
        </w:tc>
        <w:tc>
          <w:tcPr>
            <w:tcW w:w="146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22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1000" w:type="dxa"/>
            <w:vAlign w:val="bottom"/>
            <w:tcBorders>
              <w:top w:val="single" w:sz="8" w:color="auto"/>
            </w:tcBorders>
            <w:shd w:val="clear" w:color="auto" w:fill="F0FFFF"/>
          </w:tcPr>
          <w:p>
            <w:pPr>
              <w:spacing w:after="0"/>
              <w:rPr>
                <w:sz w:val="17"/>
                <w:szCs w:val="17"/>
                <w:color w:val="auto"/>
              </w:rPr>
            </w:pPr>
          </w:p>
        </w:tc>
        <w:tc>
          <w:tcPr>
            <w:tcW w:w="220" w:type="dxa"/>
            <w:vAlign w:val="bottom"/>
            <w:tcBorders>
              <w:top w:val="single" w:sz="8" w:color="F0FFFF"/>
            </w:tcBorders>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1020" w:type="dxa"/>
            <w:vAlign w:val="bottom"/>
            <w:tcBorders>
              <w:top w:val="single" w:sz="8" w:color="auto"/>
            </w:tcBorders>
            <w:shd w:val="clear" w:color="auto" w:fill="F0FFFF"/>
          </w:tcPr>
          <w:p>
            <w:pPr>
              <w:spacing w:after="0"/>
              <w:rPr>
                <w:sz w:val="17"/>
                <w:szCs w:val="17"/>
                <w:color w:val="auto"/>
              </w:rPr>
            </w:pPr>
          </w:p>
        </w:tc>
        <w:tc>
          <w:tcPr>
            <w:tcW w:w="200" w:type="dxa"/>
            <w:vAlign w:val="bottom"/>
            <w:tcBorders>
              <w:top w:val="single" w:sz="8" w:color="F0FFFF"/>
            </w:tcBorders>
            <w:shd w:val="clear" w:color="auto" w:fill="F0FFFF"/>
          </w:tcPr>
          <w:p>
            <w:pPr>
              <w:spacing w:after="0"/>
              <w:rPr>
                <w:sz w:val="17"/>
                <w:szCs w:val="17"/>
                <w:color w:val="auto"/>
              </w:rPr>
            </w:pPr>
          </w:p>
        </w:tc>
        <w:tc>
          <w:tcPr>
            <w:tcW w:w="260" w:type="dxa"/>
            <w:vAlign w:val="bottom"/>
            <w:tcBorders>
              <w:top w:val="single" w:sz="8" w:color="auto"/>
            </w:tcBorders>
            <w:shd w:val="clear" w:color="auto" w:fill="F0FFFF"/>
          </w:tcPr>
          <w:p>
            <w:pPr>
              <w:spacing w:after="0"/>
              <w:rPr>
                <w:sz w:val="17"/>
                <w:szCs w:val="17"/>
                <w:color w:val="auto"/>
              </w:rPr>
            </w:pPr>
          </w:p>
        </w:tc>
        <w:tc>
          <w:tcPr>
            <w:tcW w:w="94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U.S. Treasuries</w:t>
            </w:r>
          </w:p>
        </w:tc>
        <w:tc>
          <w:tcPr>
            <w:tcW w:w="2020" w:type="dxa"/>
            <w:vAlign w:val="bottom"/>
            <w:tcBorders>
              <w:top w:val="single" w:sz="8" w:color="F0FFFF"/>
            </w:tcBorders>
          </w:tcPr>
          <w:p>
            <w:pPr>
              <w:spacing w:after="0"/>
              <w:rPr>
                <w:sz w:val="18"/>
                <w:szCs w:val="18"/>
                <w:color w:val="auto"/>
              </w:rPr>
            </w:pPr>
          </w:p>
        </w:tc>
        <w:tc>
          <w:tcPr>
            <w:tcW w:w="164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F0FFFF"/>
            </w:tcBorders>
            <w:gridSpan w:val="2"/>
          </w:tcPr>
          <w:p>
            <w:pPr>
              <w:jc w:val="right"/>
              <w:ind w:right="220"/>
              <w:spacing w:after="0"/>
              <w:rPr>
                <w:sz w:val="20"/>
                <w:szCs w:val="20"/>
                <w:color w:val="auto"/>
              </w:rPr>
            </w:pPr>
            <w:r>
              <w:rPr>
                <w:rFonts w:ascii="Arial" w:cs="Arial" w:eastAsia="Arial" w:hAnsi="Arial"/>
                <w:sz w:val="18"/>
                <w:szCs w:val="18"/>
                <w:color w:val="auto"/>
              </w:rPr>
              <w:t>169,034</w:t>
            </w:r>
          </w:p>
        </w:tc>
        <w:tc>
          <w:tcPr>
            <w:tcW w:w="180" w:type="dxa"/>
            <w:vAlign w:val="bottom"/>
            <w:tcBorders>
              <w:top w:val="single" w:sz="8" w:color="F0FF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F0FFFF"/>
            </w:tcBorders>
            <w:gridSpan w:val="2"/>
          </w:tcPr>
          <w:p>
            <w:pPr>
              <w:jc w:val="right"/>
              <w:ind w:right="220"/>
              <w:spacing w:after="0"/>
              <w:rPr>
                <w:sz w:val="20"/>
                <w:szCs w:val="20"/>
                <w:color w:val="auto"/>
              </w:rPr>
            </w:pPr>
            <w:r>
              <w:rPr>
                <w:rFonts w:ascii="Arial" w:cs="Arial" w:eastAsia="Arial" w:hAnsi="Arial"/>
                <w:sz w:val="18"/>
                <w:szCs w:val="18"/>
                <w:color w:val="auto"/>
              </w:rPr>
              <w:t>156</w:t>
            </w:r>
          </w:p>
        </w:tc>
        <w:tc>
          <w:tcPr>
            <w:tcW w:w="18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F0FFFF"/>
            </w:tcBorders>
            <w:gridSpan w:val="2"/>
          </w:tcPr>
          <w:p>
            <w:pPr>
              <w:jc w:val="right"/>
              <w:ind w:right="200"/>
              <w:spacing w:after="0"/>
              <w:rPr>
                <w:sz w:val="20"/>
                <w:szCs w:val="20"/>
                <w:color w:val="auto"/>
              </w:rPr>
            </w:pPr>
            <w:r>
              <w:rPr>
                <w:rFonts w:ascii="Arial" w:cs="Arial" w:eastAsia="Arial" w:hAnsi="Arial"/>
                <w:sz w:val="18"/>
                <w:szCs w:val="18"/>
                <w:color w:val="auto"/>
              </w:rPr>
              <w:t>484</w:t>
            </w:r>
          </w:p>
        </w:tc>
        <w:tc>
          <w:tcPr>
            <w:tcW w:w="260" w:type="dxa"/>
            <w:vAlign w:val="bottom"/>
            <w:tcBorders>
              <w:top w:val="single" w:sz="8" w:color="F0FF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168,706</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U.S. Government agencies</w:t>
            </w:r>
          </w:p>
        </w:tc>
        <w:tc>
          <w:tcPr>
            <w:tcW w:w="14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112,394</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439</w:t>
            </w: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112,340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160"/>
              <w:spacing w:after="0"/>
              <w:rPr>
                <w:sz w:val="20"/>
                <w:szCs w:val="20"/>
                <w:color w:val="auto"/>
              </w:rPr>
            </w:pPr>
            <w:r>
              <w:rPr>
                <w:rFonts w:ascii="Arial" w:cs="Arial" w:eastAsia="Arial" w:hAnsi="Arial"/>
                <w:sz w:val="18"/>
                <w:szCs w:val="18"/>
                <w:color w:val="auto"/>
              </w:rPr>
              <w:t>State and political subdivisions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56,265</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56,268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60" w:type="dxa"/>
            <w:vAlign w:val="bottom"/>
            <w:gridSpan w:val="2"/>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46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1,108,206</w:t>
            </w:r>
          </w:p>
        </w:tc>
        <w:tc>
          <w:tcPr>
            <w:tcW w:w="22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12,077</w:t>
            </w:r>
          </w:p>
        </w:tc>
        <w:tc>
          <w:tcPr>
            <w:tcW w:w="180" w:type="dxa"/>
            <w:vAlign w:val="bottom"/>
            <w:shd w:val="clear" w:color="auto" w:fill="F0FFFF"/>
          </w:tcPr>
          <w:p>
            <w:pPr>
              <w:spacing w:after="0"/>
              <w:rPr>
                <w:sz w:val="22"/>
                <w:szCs w:val="22"/>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7,165</w:t>
            </w:r>
          </w:p>
        </w:tc>
        <w:tc>
          <w:tcPr>
            <w:tcW w:w="260" w:type="dxa"/>
            <w:vAlign w:val="bottom"/>
            <w:shd w:val="clear" w:color="auto" w:fill="F0FFFF"/>
          </w:tcPr>
          <w:p>
            <w:pPr>
              <w:spacing w:after="0"/>
              <w:rPr>
                <w:sz w:val="22"/>
                <w:szCs w:val="22"/>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1,113,118</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160"/>
              <w:spacing w:after="0"/>
              <w:rPr>
                <w:sz w:val="20"/>
                <w:szCs w:val="20"/>
                <w:color w:val="auto"/>
              </w:rPr>
            </w:pPr>
            <w:r>
              <w:rPr>
                <w:rFonts w:ascii="Arial" w:cs="Arial" w:eastAsia="Arial" w:hAnsi="Arial"/>
                <w:sz w:val="18"/>
                <w:szCs w:val="18"/>
                <w:color w:val="auto"/>
              </w:rPr>
              <w:t>Corporate bonds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308,102</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3,009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Asset-backed securities</w:t>
            </w:r>
          </w:p>
        </w:tc>
        <w:tc>
          <w:tcPr>
            <w:tcW w:w="14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538,679</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569</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6,006</w:t>
            </w: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533,242</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1,811</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F0FFFF"/>
            </w:tcBorders>
            <w:shd w:val="clear" w:color="auto" w:fill="F0FFFF"/>
          </w:tcPr>
          <w:p>
            <w:pPr>
              <w:spacing w:after="0"/>
              <w:rPr>
                <w:sz w:val="18"/>
                <w:szCs w:val="18"/>
                <w:color w:val="auto"/>
              </w:rPr>
            </w:pPr>
          </w:p>
        </w:tc>
        <w:tc>
          <w:tcPr>
            <w:tcW w:w="2020" w:type="dxa"/>
            <w:vAlign w:val="bottom"/>
            <w:tcBorders>
              <w:top w:val="single" w:sz="8" w:color="F0FFFF"/>
            </w:tcBorders>
            <w:shd w:val="clear" w:color="auto" w:fill="F0FFFF"/>
          </w:tcPr>
          <w:p>
            <w:pPr>
              <w:spacing w:after="0"/>
              <w:rPr>
                <w:sz w:val="18"/>
                <w:szCs w:val="18"/>
                <w:color w:val="auto"/>
              </w:rPr>
            </w:pPr>
          </w:p>
        </w:tc>
        <w:tc>
          <w:tcPr>
            <w:tcW w:w="14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2,294,491</w:t>
            </w:r>
          </w:p>
        </w:tc>
        <w:tc>
          <w:tcPr>
            <w:tcW w:w="22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14,581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17,561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2,291,511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F0FFFF"/>
            </w:tcBorders>
          </w:tcPr>
          <w:p>
            <w:pPr>
              <w:spacing w:after="0" w:line="20" w:lineRule="exact"/>
              <w:rPr>
                <w:sz w:val="1"/>
                <w:szCs w:val="1"/>
                <w:color w:val="auto"/>
              </w:rPr>
            </w:pPr>
          </w:p>
        </w:tc>
        <w:tc>
          <w:tcPr>
            <w:tcW w:w="2020" w:type="dxa"/>
            <w:vAlign w:val="bottom"/>
            <w:tcBorders>
              <w:bottom w:val="single" w:sz="8" w:color="F0FFFF"/>
            </w:tcBorders>
          </w:tcPr>
          <w:p>
            <w:pPr>
              <w:spacing w:after="0" w:line="20" w:lineRule="exact"/>
              <w:rPr>
                <w:sz w:val="1"/>
                <w:szCs w:val="1"/>
                <w:color w:val="auto"/>
              </w:rPr>
            </w:pPr>
          </w:p>
        </w:tc>
        <w:tc>
          <w:tcPr>
            <w:tcW w:w="146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60" w:type="dxa"/>
            <w:vAlign w:val="bottom"/>
            <w:gridSpan w:val="2"/>
            <w:shd w:val="clear" w:color="auto" w:fill="F0FFFF"/>
          </w:tcPr>
          <w:p>
            <w:pPr>
              <w:spacing w:after="0" w:line="170" w:lineRule="exact"/>
              <w:rPr>
                <w:sz w:val="20"/>
                <w:szCs w:val="20"/>
                <w:color w:val="auto"/>
              </w:rPr>
            </w:pPr>
            <w:r>
              <w:rPr>
                <w:rFonts w:ascii="Arial" w:cs="Arial" w:eastAsia="Arial" w:hAnsi="Arial"/>
                <w:sz w:val="18"/>
                <w:szCs w:val="18"/>
                <w:color w:val="auto"/>
              </w:rPr>
              <w:t>As of December 31, 2014</w:t>
            </w:r>
          </w:p>
        </w:tc>
        <w:tc>
          <w:tcPr>
            <w:tcW w:w="146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U.S. Treasuries</w:t>
            </w:r>
          </w:p>
        </w:tc>
        <w:tc>
          <w:tcPr>
            <w:tcW w:w="2020" w:type="dxa"/>
            <w:vAlign w:val="bottom"/>
            <w:tcBorders>
              <w:top w:val="single" w:sz="8" w:color="F0FFFF"/>
            </w:tcBorders>
          </w:tcPr>
          <w:p>
            <w:pPr>
              <w:spacing w:after="0"/>
              <w:rPr>
                <w:sz w:val="18"/>
                <w:szCs w:val="18"/>
                <w:color w:val="auto"/>
              </w:rPr>
            </w:pPr>
          </w:p>
        </w:tc>
        <w:tc>
          <w:tcPr>
            <w:tcW w:w="164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F0FFFF"/>
            </w:tcBorders>
            <w:gridSpan w:val="2"/>
          </w:tcPr>
          <w:p>
            <w:pPr>
              <w:jc w:val="right"/>
              <w:ind w:right="220"/>
              <w:spacing w:after="0"/>
              <w:rPr>
                <w:sz w:val="20"/>
                <w:szCs w:val="20"/>
                <w:color w:val="auto"/>
              </w:rPr>
            </w:pPr>
            <w:r>
              <w:rPr>
                <w:rFonts w:ascii="Arial" w:cs="Arial" w:eastAsia="Arial" w:hAnsi="Arial"/>
                <w:sz w:val="18"/>
                <w:szCs w:val="18"/>
                <w:color w:val="auto"/>
              </w:rPr>
              <w:t>105,540</w:t>
            </w:r>
          </w:p>
        </w:tc>
        <w:tc>
          <w:tcPr>
            <w:tcW w:w="180" w:type="dxa"/>
            <w:vAlign w:val="bottom"/>
            <w:tcBorders>
              <w:top w:val="single" w:sz="8" w:color="F0FFFF"/>
            </w:tcBorders>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F0FFFF"/>
            </w:tcBorders>
            <w:gridSpan w:val="2"/>
          </w:tcPr>
          <w:p>
            <w:pPr>
              <w:jc w:val="right"/>
              <w:ind w:right="220"/>
              <w:spacing w:after="0"/>
              <w:rPr>
                <w:sz w:val="20"/>
                <w:szCs w:val="20"/>
                <w:color w:val="auto"/>
              </w:rPr>
            </w:pPr>
            <w:r>
              <w:rPr>
                <w:rFonts w:ascii="Arial" w:cs="Arial" w:eastAsia="Arial" w:hAnsi="Arial"/>
                <w:sz w:val="18"/>
                <w:szCs w:val="18"/>
                <w:color w:val="auto"/>
              </w:rPr>
              <w:t>235</w:t>
            </w:r>
          </w:p>
        </w:tc>
        <w:tc>
          <w:tcPr>
            <w:tcW w:w="18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F0FFFF"/>
            </w:tcBorders>
            <w:gridSpan w:val="2"/>
          </w:tcPr>
          <w:p>
            <w:pPr>
              <w:jc w:val="right"/>
              <w:ind w:right="200"/>
              <w:spacing w:after="0"/>
              <w:rPr>
                <w:sz w:val="20"/>
                <w:szCs w:val="20"/>
                <w:color w:val="auto"/>
              </w:rPr>
            </w:pPr>
            <w:r>
              <w:rPr>
                <w:rFonts w:ascii="Arial" w:cs="Arial" w:eastAsia="Arial" w:hAnsi="Arial"/>
                <w:sz w:val="18"/>
                <w:szCs w:val="18"/>
                <w:color w:val="auto"/>
              </w:rPr>
              <w:t>66</w:t>
            </w:r>
          </w:p>
        </w:tc>
        <w:tc>
          <w:tcPr>
            <w:tcW w:w="260" w:type="dxa"/>
            <w:vAlign w:val="bottom"/>
            <w:tcBorders>
              <w:top w:val="single" w:sz="8" w:color="F0FF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105,709</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U.S. Government agencies</w:t>
            </w:r>
          </w:p>
        </w:tc>
        <w:tc>
          <w:tcPr>
            <w:tcW w:w="14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36,474</w:t>
            </w: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175</w:t>
            </w: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36,299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160"/>
              <w:spacing w:after="0"/>
              <w:rPr>
                <w:sz w:val="20"/>
                <w:szCs w:val="20"/>
                <w:color w:val="auto"/>
              </w:rPr>
            </w:pPr>
            <w:r>
              <w:rPr>
                <w:rFonts w:ascii="Arial" w:cs="Arial" w:eastAsia="Arial" w:hAnsi="Arial"/>
                <w:sz w:val="18"/>
                <w:szCs w:val="18"/>
                <w:color w:val="auto"/>
              </w:rPr>
              <w:t>State and political subdivisions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19,748</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860" w:type="dxa"/>
            <w:vAlign w:val="bottom"/>
            <w:gridSpan w:val="2"/>
            <w:shd w:val="clear" w:color="auto" w:fill="F0FFFF"/>
          </w:tcPr>
          <w:p>
            <w:pPr>
              <w:ind w:left="1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46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988,012</w:t>
            </w:r>
          </w:p>
        </w:tc>
        <w:tc>
          <w:tcPr>
            <w:tcW w:w="180" w:type="dxa"/>
            <w:vAlign w:val="bottom"/>
            <w:shd w:val="clear" w:color="auto" w:fill="F0FFFF"/>
          </w:tcPr>
          <w:p>
            <w:pPr>
              <w:spacing w:after="0"/>
              <w:rPr>
                <w:sz w:val="22"/>
                <w:szCs w:val="22"/>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16,273</w:t>
            </w:r>
          </w:p>
        </w:tc>
        <w:tc>
          <w:tcPr>
            <w:tcW w:w="180" w:type="dxa"/>
            <w:vAlign w:val="bottom"/>
            <w:shd w:val="clear" w:color="auto" w:fill="F0FFFF"/>
          </w:tcPr>
          <w:p>
            <w:pPr>
              <w:spacing w:after="0"/>
              <w:rPr>
                <w:sz w:val="22"/>
                <w:szCs w:val="22"/>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7,465</w:t>
            </w:r>
          </w:p>
        </w:tc>
        <w:tc>
          <w:tcPr>
            <w:tcW w:w="260" w:type="dxa"/>
            <w:vAlign w:val="bottom"/>
            <w:shd w:val="clear" w:color="auto" w:fill="F0FFFF"/>
          </w:tcPr>
          <w:p>
            <w:pPr>
              <w:spacing w:after="0"/>
              <w:rPr>
                <w:sz w:val="22"/>
                <w:szCs w:val="22"/>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996,820</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ind w:left="160"/>
              <w:spacing w:after="0"/>
              <w:rPr>
                <w:sz w:val="20"/>
                <w:szCs w:val="20"/>
                <w:color w:val="auto"/>
              </w:rPr>
            </w:pPr>
            <w:r>
              <w:rPr>
                <w:rFonts w:ascii="Arial" w:cs="Arial" w:eastAsia="Arial" w:hAnsi="Arial"/>
                <w:sz w:val="18"/>
                <w:szCs w:val="18"/>
                <w:color w:val="auto"/>
              </w:rPr>
              <w:t>Corporate bonds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165,018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1,686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1,076</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165,628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Asset-backed securities</w:t>
            </w:r>
          </w:p>
        </w:tc>
        <w:tc>
          <w:tcPr>
            <w:tcW w:w="14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455,626</w:t>
            </w: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2,257</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1,955</w:t>
            </w: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455,928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2,117</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F0FFFF"/>
            </w:tcBorders>
            <w:shd w:val="clear" w:color="auto" w:fill="F0FFFF"/>
          </w:tcPr>
          <w:p>
            <w:pPr>
              <w:spacing w:after="0"/>
              <w:rPr>
                <w:sz w:val="18"/>
                <w:szCs w:val="18"/>
                <w:color w:val="auto"/>
              </w:rPr>
            </w:pPr>
          </w:p>
        </w:tc>
        <w:tc>
          <w:tcPr>
            <w:tcW w:w="2020" w:type="dxa"/>
            <w:vAlign w:val="bottom"/>
            <w:tcBorders>
              <w:top w:val="single" w:sz="8" w:color="F0FFFF"/>
            </w:tcBorders>
            <w:shd w:val="clear" w:color="auto" w:fill="F0FFFF"/>
          </w:tcPr>
          <w:p>
            <w:pPr>
              <w:spacing w:after="0"/>
              <w:rPr>
                <w:sz w:val="18"/>
                <w:szCs w:val="18"/>
                <w:color w:val="auto"/>
              </w:rPr>
            </w:pPr>
          </w:p>
        </w:tc>
        <w:tc>
          <w:tcPr>
            <w:tcW w:w="14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1,772,535</w:t>
            </w:r>
          </w:p>
        </w:tc>
        <w:tc>
          <w:tcPr>
            <w:tcW w:w="220" w:type="dxa"/>
            <w:vAlign w:val="bottom"/>
          </w:tcPr>
          <w:p>
            <w:pPr>
              <w:spacing w:after="0"/>
              <w:rPr>
                <w:sz w:val="21"/>
                <w:szCs w:val="21"/>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20,955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10,756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1,782,734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632" w:right="2240" w:hanging="5308"/>
        <w:spacing w:after="0" w:line="683" w:lineRule="auto"/>
        <w:tabs>
          <w:tab w:leader="none" w:pos="554" w:val="left"/>
        </w:tabs>
        <w:numPr>
          <w:ilvl w:val="0"/>
          <w:numId w:val="49"/>
        </w:numPr>
        <w:rPr>
          <w:rFonts w:ascii="Arial" w:cs="Arial" w:eastAsia="Arial" w:hAnsi="Arial"/>
          <w:sz w:val="28"/>
          <w:szCs w:val="28"/>
          <w:color w:val="auto"/>
          <w:vertAlign w:val="superscript"/>
        </w:rPr>
      </w:pPr>
      <w:r>
        <w:rPr>
          <w:rFonts w:ascii="Arial" w:cs="Arial" w:eastAsia="Arial" w:hAnsi="Arial"/>
          <w:sz w:val="17"/>
          <w:szCs w:val="17"/>
          <w:color w:val="auto"/>
        </w:rPr>
        <w:t>All are residential type mortgage-backed securities or U.S. government agency commercial mortgage backed securities.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-376555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summarizes securities held-to-maturity in an unrealized loss position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5"/>
                <w:szCs w:val="15"/>
                <w:color w:val="auto"/>
              </w:rPr>
            </w:pPr>
          </w:p>
        </w:tc>
        <w:tc>
          <w:tcPr>
            <w:tcW w:w="2140" w:type="dxa"/>
            <w:vAlign w:val="bottom"/>
            <w:gridSpan w:val="6"/>
          </w:tcPr>
          <w:p>
            <w:pPr>
              <w:ind w:left="360"/>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ind w:left="80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76"/>
              <w:spacing w:after="0" w:line="126"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6"/>
              <w:spacing w:after="0" w:line="126"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6"/>
              <w:spacing w:after="0" w:line="126"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76"/>
        </w:trPr>
        <w:tc>
          <w:tcPr>
            <w:tcW w:w="3040" w:type="dxa"/>
            <w:vAlign w:val="bottom"/>
            <w:tcBorders>
              <w:top w:val="single" w:sz="8" w:color="F0FFFF"/>
            </w:tcBorders>
            <w:gridSpan w:val="2"/>
            <w:shd w:val="clear" w:color="auto" w:fill="F0FFFF"/>
          </w:tcPr>
          <w:p>
            <w:pPr>
              <w:spacing w:after="0" w:line="176" w:lineRule="exact"/>
              <w:rPr>
                <w:sz w:val="20"/>
                <w:szCs w:val="20"/>
                <w:color w:val="auto"/>
              </w:rPr>
            </w:pPr>
            <w:r>
              <w:rPr>
                <w:rFonts w:ascii="Arial" w:cs="Arial" w:eastAsia="Arial" w:hAnsi="Arial"/>
                <w:sz w:val="18"/>
                <w:szCs w:val="18"/>
                <w:color w:val="auto"/>
              </w:rPr>
              <w:t>As of December 31, 2015</w:t>
            </w:r>
          </w:p>
        </w:tc>
        <w:tc>
          <w:tcPr>
            <w:tcW w:w="760" w:type="dxa"/>
            <w:vAlign w:val="bottom"/>
            <w:tcBorders>
              <w:top w:val="single" w:sz="8" w:color="F0FFFF"/>
            </w:tcBorders>
            <w:shd w:val="clear" w:color="auto" w:fill="F0FFFF"/>
          </w:tcPr>
          <w:p>
            <w:pPr>
              <w:spacing w:after="0"/>
              <w:rPr>
                <w:sz w:val="15"/>
                <w:szCs w:val="15"/>
                <w:color w:val="auto"/>
              </w:rPr>
            </w:pPr>
          </w:p>
        </w:tc>
        <w:tc>
          <w:tcPr>
            <w:tcW w:w="120" w:type="dxa"/>
            <w:vAlign w:val="bottom"/>
            <w:tcBorders>
              <w:top w:val="single" w:sz="8" w:color="auto"/>
            </w:tcBorders>
            <w:shd w:val="clear" w:color="auto" w:fill="F0FFFF"/>
          </w:tcPr>
          <w:p>
            <w:pPr>
              <w:spacing w:after="0"/>
              <w:rPr>
                <w:sz w:val="15"/>
                <w:szCs w:val="15"/>
                <w:color w:val="auto"/>
              </w:rPr>
            </w:pPr>
          </w:p>
        </w:tc>
        <w:tc>
          <w:tcPr>
            <w:tcW w:w="860" w:type="dxa"/>
            <w:vAlign w:val="bottom"/>
            <w:tcBorders>
              <w:top w:val="single" w:sz="8" w:color="auto"/>
            </w:tcBorders>
            <w:shd w:val="clear" w:color="auto" w:fill="F0FFFF"/>
          </w:tcPr>
          <w:p>
            <w:pPr>
              <w:spacing w:after="0"/>
              <w:rPr>
                <w:sz w:val="15"/>
                <w:szCs w:val="15"/>
                <w:color w:val="auto"/>
              </w:rPr>
            </w:pPr>
          </w:p>
        </w:tc>
        <w:tc>
          <w:tcPr>
            <w:tcW w:w="20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auto"/>
            </w:tcBorders>
            <w:shd w:val="clear" w:color="auto" w:fill="F0FFFF"/>
          </w:tcPr>
          <w:p>
            <w:pPr>
              <w:spacing w:after="0"/>
              <w:rPr>
                <w:sz w:val="15"/>
                <w:szCs w:val="15"/>
                <w:color w:val="auto"/>
              </w:rPr>
            </w:pPr>
          </w:p>
        </w:tc>
        <w:tc>
          <w:tcPr>
            <w:tcW w:w="840" w:type="dxa"/>
            <w:vAlign w:val="bottom"/>
            <w:tcBorders>
              <w:top w:val="single" w:sz="8" w:color="auto"/>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120" w:type="dxa"/>
            <w:vAlign w:val="bottom"/>
            <w:tcBorders>
              <w:top w:val="single" w:sz="8" w:color="auto"/>
            </w:tcBorders>
            <w:shd w:val="clear" w:color="auto" w:fill="F0FFFF"/>
          </w:tcPr>
          <w:p>
            <w:pPr>
              <w:spacing w:after="0"/>
              <w:rPr>
                <w:sz w:val="15"/>
                <w:szCs w:val="15"/>
                <w:color w:val="auto"/>
              </w:rPr>
            </w:pPr>
          </w:p>
        </w:tc>
        <w:tc>
          <w:tcPr>
            <w:tcW w:w="840" w:type="dxa"/>
            <w:vAlign w:val="bottom"/>
            <w:tcBorders>
              <w:top w:val="single" w:sz="8" w:color="auto"/>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120" w:type="dxa"/>
            <w:vAlign w:val="bottom"/>
            <w:tcBorders>
              <w:top w:val="single" w:sz="8" w:color="auto"/>
            </w:tcBorders>
            <w:shd w:val="clear" w:color="auto" w:fill="F0FFFF"/>
          </w:tcPr>
          <w:p>
            <w:pPr>
              <w:spacing w:after="0"/>
              <w:rPr>
                <w:sz w:val="15"/>
                <w:szCs w:val="15"/>
                <w:color w:val="auto"/>
              </w:rPr>
            </w:pPr>
          </w:p>
        </w:tc>
        <w:tc>
          <w:tcPr>
            <w:tcW w:w="86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120" w:type="dxa"/>
            <w:vAlign w:val="bottom"/>
            <w:tcBorders>
              <w:top w:val="single" w:sz="8" w:color="F0FFFF"/>
            </w:tcBorders>
            <w:shd w:val="clear" w:color="auto" w:fill="F0FFFF"/>
          </w:tcPr>
          <w:p>
            <w:pPr>
              <w:spacing w:after="0"/>
              <w:rPr>
                <w:sz w:val="15"/>
                <w:szCs w:val="15"/>
                <w:color w:val="auto"/>
              </w:rPr>
            </w:pPr>
          </w:p>
        </w:tc>
        <w:tc>
          <w:tcPr>
            <w:tcW w:w="120" w:type="dxa"/>
            <w:vAlign w:val="bottom"/>
            <w:tcBorders>
              <w:top w:val="single" w:sz="8" w:color="auto"/>
            </w:tcBorders>
            <w:shd w:val="clear" w:color="auto" w:fill="F0FFFF"/>
          </w:tcPr>
          <w:p>
            <w:pPr>
              <w:spacing w:after="0"/>
              <w:rPr>
                <w:sz w:val="15"/>
                <w:szCs w:val="15"/>
                <w:color w:val="auto"/>
              </w:rPr>
            </w:pPr>
          </w:p>
        </w:tc>
        <w:tc>
          <w:tcPr>
            <w:tcW w:w="840" w:type="dxa"/>
            <w:vAlign w:val="bottom"/>
            <w:tcBorders>
              <w:top w:val="single" w:sz="8" w:color="auto"/>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120" w:type="dxa"/>
            <w:vAlign w:val="bottom"/>
            <w:tcBorders>
              <w:top w:val="single" w:sz="8" w:color="auto"/>
            </w:tcBorders>
            <w:shd w:val="clear" w:color="auto" w:fill="F0FFFF"/>
          </w:tcPr>
          <w:p>
            <w:pPr>
              <w:spacing w:after="0"/>
              <w:rPr>
                <w:sz w:val="15"/>
                <w:szCs w:val="15"/>
                <w:color w:val="auto"/>
              </w:rPr>
            </w:pPr>
          </w:p>
        </w:tc>
        <w:tc>
          <w:tcPr>
            <w:tcW w:w="860" w:type="dxa"/>
            <w:vAlign w:val="bottom"/>
            <w:tcBorders>
              <w:top w:val="single" w:sz="8" w:color="auto"/>
            </w:tcBorders>
            <w:shd w:val="clear" w:color="auto" w:fill="F0FFFF"/>
          </w:tcPr>
          <w:p>
            <w:pPr>
              <w:spacing w:after="0"/>
              <w:rPr>
                <w:sz w:val="15"/>
                <w:szCs w:val="15"/>
                <w:color w:val="auto"/>
              </w:rPr>
            </w:pPr>
          </w:p>
        </w:tc>
        <w:tc>
          <w:tcPr>
            <w:tcW w:w="20" w:type="dxa"/>
            <w:vAlign w:val="bottom"/>
            <w:tcBorders>
              <w:top w:val="single" w:sz="8" w:color="F0FFFF"/>
            </w:tcBorders>
            <w:shd w:val="clear" w:color="auto" w:fill="F0FFFF"/>
          </w:tcPr>
          <w:p>
            <w:pPr>
              <w:spacing w:after="0"/>
              <w:rPr>
                <w:sz w:val="15"/>
                <w:szCs w:val="15"/>
                <w:color w:val="auto"/>
              </w:rPr>
            </w:pPr>
          </w:p>
        </w:tc>
        <w:tc>
          <w:tcPr>
            <w:tcW w:w="80" w:type="dxa"/>
            <w:vAlign w:val="bottom"/>
            <w:tcBorders>
              <w:top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40" w:type="dxa"/>
            <w:vAlign w:val="bottom"/>
            <w:tcBorders>
              <w:top w:val="single" w:sz="8" w:color="auto"/>
            </w:tcBorders>
            <w:shd w:val="clear" w:color="auto" w:fill="F0FFFF"/>
          </w:tcPr>
          <w:p>
            <w:pPr>
              <w:spacing w:after="0" w:line="20" w:lineRule="exact"/>
              <w:rPr>
                <w:sz w:val="1"/>
                <w:szCs w:val="1"/>
                <w:color w:val="auto"/>
              </w:rPr>
            </w:pPr>
          </w:p>
        </w:tc>
        <w:tc>
          <w:tcPr>
            <w:tcW w:w="1200" w:type="dxa"/>
            <w:vAlign w:val="bottom"/>
            <w:tcBorders>
              <w:top w:val="single" w:sz="8" w:color="F0FFFF"/>
            </w:tcBorders>
            <w:shd w:val="clear" w:color="auto" w:fill="F0FFFF"/>
          </w:tcPr>
          <w:p>
            <w:pPr>
              <w:spacing w:after="0" w:line="20" w:lineRule="exact"/>
              <w:rPr>
                <w:sz w:val="1"/>
                <w:szCs w:val="1"/>
                <w:color w:val="auto"/>
              </w:rPr>
            </w:pPr>
          </w:p>
        </w:tc>
        <w:tc>
          <w:tcPr>
            <w:tcW w:w="7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4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140,362</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1,331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360"/>
              <w:spacing w:after="0"/>
              <w:rPr>
                <w:sz w:val="20"/>
                <w:szCs w:val="20"/>
                <w:color w:val="auto"/>
              </w:rPr>
            </w:pPr>
            <w:r>
              <w:rPr>
                <w:rFonts w:ascii="Arial" w:cs="Arial" w:eastAsia="Arial" w:hAnsi="Arial"/>
                <w:sz w:val="18"/>
                <w:szCs w:val="18"/>
                <w:color w:val="auto"/>
              </w:rPr>
              <w:t>13,127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153,489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4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Total unrealized loss position</w:t>
            </w:r>
          </w:p>
        </w:tc>
        <w:tc>
          <w:tcPr>
            <w:tcW w:w="76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140,362</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1,331</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ind w:left="360"/>
              <w:spacing w:after="0"/>
              <w:rPr>
                <w:sz w:val="20"/>
                <w:szCs w:val="20"/>
                <w:color w:val="auto"/>
              </w:rPr>
            </w:pPr>
            <w:r>
              <w:rPr>
                <w:rFonts w:ascii="Arial" w:cs="Arial" w:eastAsia="Arial" w:hAnsi="Arial"/>
                <w:sz w:val="18"/>
                <w:szCs w:val="18"/>
                <w:color w:val="auto"/>
                <w:w w:val="83"/>
              </w:rPr>
              <w:t>13,127</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ind w:left="260"/>
              <w:spacing w:after="0"/>
              <w:rPr>
                <w:sz w:val="20"/>
                <w:szCs w:val="20"/>
                <w:color w:val="auto"/>
              </w:rPr>
            </w:pPr>
            <w:r>
              <w:rPr>
                <w:rFonts w:ascii="Arial" w:cs="Arial" w:eastAsia="Arial" w:hAnsi="Arial"/>
                <w:sz w:val="18"/>
                <w:szCs w:val="18"/>
                <w:color w:val="auto"/>
                <w:w w:val="86"/>
              </w:rPr>
              <w:t>153,489</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1,673</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F0FFFF"/>
              <w:bottom w:val="single" w:sz="8" w:color="F0FFFF"/>
            </w:tcBorders>
            <w:gridSpan w:val="2"/>
            <w:vMerge w:val="restart"/>
          </w:tcPr>
          <w:p>
            <w:pPr>
              <w:spacing w:after="0" w:line="189" w:lineRule="exact"/>
              <w:rPr>
                <w:sz w:val="20"/>
                <w:szCs w:val="20"/>
                <w:color w:val="auto"/>
              </w:rPr>
            </w:pPr>
            <w:r>
              <w:rPr>
                <w:rFonts w:ascii="Arial" w:cs="Arial" w:eastAsia="Arial" w:hAnsi="Arial"/>
                <w:sz w:val="18"/>
                <w:szCs w:val="18"/>
                <w:color w:val="auto"/>
              </w:rPr>
              <w:t>As of December 31, 2014</w:t>
            </w:r>
          </w:p>
        </w:tc>
        <w:tc>
          <w:tcPr>
            <w:tcW w:w="76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4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40" w:type="dxa"/>
            <w:vAlign w:val="bottom"/>
            <w:tcBorders>
              <w:top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8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126,514</w:t>
            </w:r>
          </w:p>
        </w:tc>
        <w:tc>
          <w:tcPr>
            <w:tcW w:w="20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ind w:left="360"/>
              <w:spacing w:after="0"/>
              <w:rPr>
                <w:sz w:val="20"/>
                <w:szCs w:val="20"/>
                <w:color w:val="auto"/>
              </w:rPr>
            </w:pPr>
            <w:r>
              <w:rPr>
                <w:rFonts w:ascii="Arial" w:cs="Arial" w:eastAsia="Arial" w:hAnsi="Arial"/>
                <w:sz w:val="18"/>
                <w:szCs w:val="18"/>
                <w:color w:val="auto"/>
              </w:rPr>
              <w:t>17,053</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337</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ind w:left="260"/>
              <w:spacing w:after="0"/>
              <w:rPr>
                <w:sz w:val="20"/>
                <w:szCs w:val="20"/>
                <w:color w:val="auto"/>
              </w:rPr>
            </w:pPr>
            <w:r>
              <w:rPr>
                <w:rFonts w:ascii="Arial" w:cs="Arial" w:eastAsia="Arial" w:hAnsi="Arial"/>
                <w:sz w:val="18"/>
                <w:szCs w:val="18"/>
                <w:color w:val="auto"/>
              </w:rPr>
              <w:t>143,567</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1,254</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40" w:type="dxa"/>
            <w:vAlign w:val="bottom"/>
            <w:tcBorders>
              <w:top w:val="single" w:sz="8" w:color="F0FFFF"/>
            </w:tcBorders>
            <w:gridSpan w:val="2"/>
          </w:tcPr>
          <w:p>
            <w:pPr>
              <w:ind w:left="160"/>
              <w:spacing w:after="0"/>
              <w:rPr>
                <w:sz w:val="20"/>
                <w:szCs w:val="20"/>
                <w:color w:val="auto"/>
              </w:rPr>
            </w:pPr>
            <w:r>
              <w:rPr>
                <w:rFonts w:ascii="Arial" w:cs="Arial" w:eastAsia="Arial" w:hAnsi="Arial"/>
                <w:sz w:val="18"/>
                <w:szCs w:val="18"/>
                <w:color w:val="auto"/>
              </w:rPr>
              <w:t>Total unrealized loss position</w:t>
            </w:r>
          </w:p>
        </w:tc>
        <w:tc>
          <w:tcPr>
            <w:tcW w:w="76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126,514</w:t>
            </w: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3"/>
              </w:rPr>
              <w:t>17,053</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w w:val="86"/>
              </w:rPr>
              <w:t>143,567</w:t>
            </w: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following summarizes securities available-for-sale in an unrealized loss position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5"/>
                <w:szCs w:val="15"/>
                <w:color w:val="auto"/>
              </w:rPr>
            </w:pPr>
          </w:p>
        </w:tc>
        <w:tc>
          <w:tcPr>
            <w:tcW w:w="2140" w:type="dxa"/>
            <w:vAlign w:val="bottom"/>
            <w:gridSpan w:val="6"/>
          </w:tcPr>
          <w:p>
            <w:pPr>
              <w:ind w:left="360"/>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72"/>
              <w:spacing w:after="0" w:line="126"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2"/>
              <w:spacing w:after="0" w:line="126"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32"/>
              <w:spacing w:after="0" w:line="126"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96"/>
        </w:trPr>
        <w:tc>
          <w:tcPr>
            <w:tcW w:w="3040" w:type="dxa"/>
            <w:vAlign w:val="bottom"/>
            <w:tcBorders>
              <w:top w:val="single" w:sz="8" w:color="F0FFFF"/>
            </w:tcBorders>
            <w:gridSpan w:val="2"/>
            <w:shd w:val="clear" w:color="auto" w:fill="F0FFFF"/>
          </w:tcPr>
          <w:p>
            <w:pPr>
              <w:spacing w:after="0" w:line="176" w:lineRule="exact"/>
              <w:rPr>
                <w:sz w:val="20"/>
                <w:szCs w:val="20"/>
                <w:color w:val="auto"/>
              </w:rPr>
            </w:pPr>
            <w:r>
              <w:rPr>
                <w:rFonts w:ascii="Arial" w:cs="Arial" w:eastAsia="Arial" w:hAnsi="Arial"/>
                <w:sz w:val="18"/>
                <w:szCs w:val="18"/>
                <w:color w:val="auto"/>
              </w:rPr>
              <w:t>As of December 31, 2015</w:t>
            </w:r>
          </w:p>
        </w:tc>
        <w:tc>
          <w:tcPr>
            <w:tcW w:w="76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860" w:type="dxa"/>
            <w:vAlign w:val="bottom"/>
            <w:tcBorders>
              <w:top w:val="single" w:sz="8" w:color="auto"/>
            </w:tcBorders>
            <w:shd w:val="clear" w:color="auto" w:fill="F0FFFF"/>
          </w:tcPr>
          <w:p>
            <w:pPr>
              <w:spacing w:after="0"/>
              <w:rPr>
                <w:sz w:val="17"/>
                <w:szCs w:val="17"/>
                <w:color w:val="auto"/>
              </w:rPr>
            </w:pPr>
          </w:p>
        </w:tc>
        <w:tc>
          <w:tcPr>
            <w:tcW w:w="200" w:type="dxa"/>
            <w:vAlign w:val="bottom"/>
            <w:tcBorders>
              <w:top w:val="single" w:sz="8" w:color="F0FFFF"/>
            </w:tcBorders>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22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860" w:type="dxa"/>
            <w:vAlign w:val="bottom"/>
            <w:tcBorders>
              <w:top w:val="single" w:sz="8" w:color="auto"/>
            </w:tcBorders>
            <w:shd w:val="clear" w:color="auto" w:fill="F0FFFF"/>
          </w:tcPr>
          <w:p>
            <w:pPr>
              <w:spacing w:after="0"/>
              <w:rPr>
                <w:sz w:val="17"/>
                <w:szCs w:val="17"/>
                <w:color w:val="auto"/>
              </w:rPr>
            </w:pPr>
          </w:p>
        </w:tc>
        <w:tc>
          <w:tcPr>
            <w:tcW w:w="10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220" w:type="dxa"/>
            <w:vAlign w:val="bottom"/>
            <w:tcBorders>
              <w:top w:val="single" w:sz="8" w:color="F0FFFF"/>
            </w:tcBorders>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860" w:type="dxa"/>
            <w:vAlign w:val="bottom"/>
            <w:tcBorders>
              <w:top w:val="single" w:sz="8" w:color="auto"/>
            </w:tcBorders>
            <w:shd w:val="clear" w:color="auto" w:fill="F0FFFF"/>
          </w:tcPr>
          <w:p>
            <w:pPr>
              <w:spacing w:after="0"/>
              <w:rPr>
                <w:sz w:val="17"/>
                <w:szCs w:val="17"/>
                <w:color w:val="auto"/>
              </w:rPr>
            </w:pPr>
          </w:p>
        </w:tc>
        <w:tc>
          <w:tcPr>
            <w:tcW w:w="20" w:type="dxa"/>
            <w:vAlign w:val="bottom"/>
            <w:tcBorders>
              <w:top w:val="single" w:sz="8" w:color="F0FFFF"/>
            </w:tcBorders>
            <w:shd w:val="clear" w:color="auto" w:fill="F0FFFF"/>
          </w:tcPr>
          <w:p>
            <w:pPr>
              <w:spacing w:after="0"/>
              <w:rPr>
                <w:sz w:val="17"/>
                <w:szCs w:val="17"/>
                <w:color w:val="auto"/>
              </w:rPr>
            </w:pPr>
          </w:p>
        </w:tc>
        <w:tc>
          <w:tcPr>
            <w:tcW w:w="80" w:type="dxa"/>
            <w:vAlign w:val="bottom"/>
            <w:tcBorders>
              <w:top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 Treasuries</w:t>
            </w:r>
          </w:p>
        </w:tc>
        <w:tc>
          <w:tcPr>
            <w:tcW w:w="1200" w:type="dxa"/>
            <w:vAlign w:val="bottom"/>
            <w:tcBorders>
              <w:top w:val="single" w:sz="8" w:color="F0FFFF"/>
            </w:tcBorders>
          </w:tcPr>
          <w:p>
            <w:pPr>
              <w:spacing w:after="0"/>
              <w:rPr>
                <w:sz w:val="18"/>
                <w:szCs w:val="18"/>
                <w:color w:val="auto"/>
              </w:rPr>
            </w:pPr>
          </w:p>
        </w:tc>
        <w:tc>
          <w:tcPr>
            <w:tcW w:w="88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126,066</w:t>
            </w: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F0FFFF"/>
            </w:tcBorders>
            <w:gridSpan w:val="2"/>
          </w:tcPr>
          <w:p>
            <w:pPr>
              <w:jc w:val="right"/>
              <w:ind w:right="220"/>
              <w:spacing w:after="0"/>
              <w:rPr>
                <w:sz w:val="20"/>
                <w:szCs w:val="20"/>
                <w:color w:val="auto"/>
              </w:rPr>
            </w:pPr>
            <w:r>
              <w:rPr>
                <w:rFonts w:ascii="Arial" w:cs="Arial" w:eastAsia="Arial" w:hAnsi="Arial"/>
                <w:sz w:val="18"/>
                <w:szCs w:val="18"/>
                <w:color w:val="auto"/>
              </w:rPr>
              <w:t>484</w:t>
            </w: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F0FFFF"/>
            </w:tcBorders>
            <w:gridSpan w:val="2"/>
          </w:tcPr>
          <w:p>
            <w:pPr>
              <w:jc w:val="right"/>
              <w:ind w:right="220"/>
              <w:spacing w:after="0"/>
              <w:rPr>
                <w:sz w:val="20"/>
                <w:szCs w:val="20"/>
                <w:color w:val="auto"/>
              </w:rPr>
            </w:pPr>
            <w:r>
              <w:rPr>
                <w:rFonts w:ascii="Arial" w:cs="Arial" w:eastAsia="Arial" w:hAnsi="Arial"/>
                <w:sz w:val="18"/>
                <w:szCs w:val="18"/>
                <w:color w:val="auto"/>
              </w:rPr>
              <w:t>126,066</w:t>
            </w: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F0FFFF"/>
            </w:tcBorders>
            <w:gridSpan w:val="2"/>
          </w:tcPr>
          <w:p>
            <w:pPr>
              <w:jc w:val="right"/>
              <w:ind w:right="20"/>
              <w:spacing w:after="0"/>
              <w:rPr>
                <w:sz w:val="20"/>
                <w:szCs w:val="20"/>
                <w:color w:val="auto"/>
              </w:rPr>
            </w:pPr>
            <w:r>
              <w:rPr>
                <w:rFonts w:ascii="Arial" w:cs="Arial" w:eastAsia="Arial" w:hAnsi="Arial"/>
                <w:sz w:val="18"/>
                <w:szCs w:val="18"/>
                <w:color w:val="auto"/>
              </w:rPr>
              <w:t>484</w:t>
            </w: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U.S. Government agencies</w:t>
            </w:r>
          </w:p>
        </w:tc>
        <w:tc>
          <w:tcPr>
            <w:tcW w:w="7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74,189</w:t>
            </w:r>
          </w:p>
        </w:tc>
        <w:tc>
          <w:tcPr>
            <w:tcW w:w="1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439</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74,189</w:t>
            </w:r>
          </w:p>
        </w:tc>
        <w:tc>
          <w:tcPr>
            <w:tcW w:w="1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27,014</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27,014</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7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274,005</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2,580</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173,254</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4,585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447,259</w:t>
            </w:r>
          </w:p>
        </w:tc>
        <w:tc>
          <w:tcPr>
            <w:tcW w:w="1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7,165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221,337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222,087</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Asset-backed securities</w:t>
            </w:r>
          </w:p>
        </w:tc>
        <w:tc>
          <w:tcPr>
            <w:tcW w:w="7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358,940</w:t>
            </w:r>
          </w:p>
        </w:tc>
        <w:tc>
          <w:tcPr>
            <w:tcW w:w="2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5,746</w:t>
            </w:r>
          </w:p>
        </w:tc>
        <w:tc>
          <w:tcPr>
            <w:tcW w:w="1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4,816</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363,756</w:t>
            </w:r>
          </w:p>
        </w:tc>
        <w:tc>
          <w:tcPr>
            <w:tcW w:w="120" w:type="dxa"/>
            <w:vAlign w:val="bottom"/>
            <w:shd w:val="clear" w:color="auto" w:fill="F0FFFF"/>
          </w:tcPr>
          <w:p>
            <w:pPr>
              <w:spacing w:after="0"/>
              <w:rPr>
                <w:sz w:val="21"/>
                <w:szCs w:val="21"/>
                <w:color w:val="auto"/>
              </w:rPr>
            </w:pPr>
          </w:p>
        </w:tc>
        <w:tc>
          <w:tcPr>
            <w:tcW w:w="8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6,006</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40" w:type="dxa"/>
            <w:vAlign w:val="bottom"/>
            <w:tcBorders>
              <w:top w:val="single" w:sz="8" w:color="F0FFFF"/>
            </w:tcBorders>
            <w:gridSpan w:val="2"/>
          </w:tcPr>
          <w:p>
            <w:pPr>
              <w:ind w:left="160"/>
              <w:spacing w:after="0"/>
              <w:rPr>
                <w:sz w:val="20"/>
                <w:szCs w:val="20"/>
                <w:color w:val="auto"/>
              </w:rPr>
            </w:pPr>
            <w:r>
              <w:rPr>
                <w:rFonts w:ascii="Arial" w:cs="Arial" w:eastAsia="Arial" w:hAnsi="Arial"/>
                <w:sz w:val="18"/>
                <w:szCs w:val="18"/>
                <w:color w:val="auto"/>
              </w:rPr>
              <w:t>Total unrealized loss position</w:t>
            </w:r>
          </w:p>
        </w:tc>
        <w:tc>
          <w:tcPr>
            <w:tcW w:w="76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1,081,551</w:t>
            </w: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12,466</w:t>
            </w: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178,820</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1,260,371</w:t>
            </w: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17,561</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F0FFFF"/>
            </w:tcBorders>
          </w:tcPr>
          <w:p>
            <w:pPr>
              <w:spacing w:after="0" w:line="20" w:lineRule="exact"/>
              <w:rPr>
                <w:sz w:val="1"/>
                <w:szCs w:val="1"/>
                <w:color w:val="auto"/>
              </w:rPr>
            </w:pPr>
          </w:p>
        </w:tc>
        <w:tc>
          <w:tcPr>
            <w:tcW w:w="1200" w:type="dxa"/>
            <w:vAlign w:val="bottom"/>
            <w:tcBorders>
              <w:bottom w:val="single" w:sz="8" w:color="F0FFFF"/>
            </w:tcBorders>
          </w:tcPr>
          <w:p>
            <w:pPr>
              <w:spacing w:after="0" w:line="20" w:lineRule="exact"/>
              <w:rPr>
                <w:sz w:val="1"/>
                <w:szCs w:val="1"/>
                <w:color w:val="auto"/>
              </w:rPr>
            </w:pPr>
          </w:p>
        </w:tc>
        <w:tc>
          <w:tcPr>
            <w:tcW w:w="76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040" w:type="dxa"/>
            <w:vAlign w:val="bottom"/>
            <w:gridSpan w:val="2"/>
            <w:shd w:val="clear" w:color="auto" w:fill="F0FFFF"/>
          </w:tcPr>
          <w:p>
            <w:pPr>
              <w:spacing w:after="0" w:line="170" w:lineRule="exact"/>
              <w:rPr>
                <w:sz w:val="20"/>
                <w:szCs w:val="20"/>
                <w:color w:val="auto"/>
              </w:rPr>
            </w:pPr>
            <w:r>
              <w:rPr>
                <w:rFonts w:ascii="Arial" w:cs="Arial" w:eastAsia="Arial" w:hAnsi="Arial"/>
                <w:sz w:val="18"/>
                <w:szCs w:val="18"/>
                <w:color w:val="auto"/>
              </w:rPr>
              <w:t>As of December 31, 2014</w:t>
            </w:r>
          </w:p>
        </w:tc>
        <w:tc>
          <w:tcPr>
            <w:tcW w:w="7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U.S. Treasuries</w:t>
            </w:r>
          </w:p>
        </w:tc>
        <w:tc>
          <w:tcPr>
            <w:tcW w:w="1200" w:type="dxa"/>
            <w:vAlign w:val="bottom"/>
            <w:tcBorders>
              <w:top w:val="single" w:sz="8" w:color="F0FFFF"/>
            </w:tcBorders>
          </w:tcPr>
          <w:p>
            <w:pPr>
              <w:spacing w:after="0"/>
              <w:rPr>
                <w:sz w:val="18"/>
                <w:szCs w:val="18"/>
                <w:color w:val="auto"/>
              </w:rPr>
            </w:pPr>
          </w:p>
        </w:tc>
        <w:tc>
          <w:tcPr>
            <w:tcW w:w="88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F0FFFF"/>
            </w:tcBorders>
            <w:gridSpan w:val="2"/>
          </w:tcPr>
          <w:p>
            <w:pPr>
              <w:jc w:val="right"/>
              <w:ind w:right="200"/>
              <w:spacing w:after="0"/>
              <w:rPr>
                <w:sz w:val="20"/>
                <w:szCs w:val="20"/>
                <w:color w:val="auto"/>
              </w:rPr>
            </w:pPr>
            <w:r>
              <w:rPr>
                <w:rFonts w:ascii="Arial" w:cs="Arial" w:eastAsia="Arial" w:hAnsi="Arial"/>
                <w:sz w:val="18"/>
                <w:szCs w:val="18"/>
                <w:color w:val="auto"/>
              </w:rPr>
              <w:t>34,180</w:t>
            </w:r>
          </w:p>
        </w:tc>
        <w:tc>
          <w:tcPr>
            <w:tcW w:w="14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66</w:t>
            </w: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F0FFFF"/>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F0FFFF"/>
            </w:tcBorders>
            <w:gridSpan w:val="2"/>
          </w:tcPr>
          <w:p>
            <w:pPr>
              <w:jc w:val="right"/>
              <w:ind w:right="220"/>
              <w:spacing w:after="0"/>
              <w:rPr>
                <w:sz w:val="20"/>
                <w:szCs w:val="20"/>
                <w:color w:val="auto"/>
              </w:rPr>
            </w:pPr>
            <w:r>
              <w:rPr>
                <w:rFonts w:ascii="Arial" w:cs="Arial" w:eastAsia="Arial" w:hAnsi="Arial"/>
                <w:sz w:val="18"/>
                <w:szCs w:val="18"/>
                <w:color w:val="auto"/>
              </w:rPr>
              <w:t>34,180</w:t>
            </w:r>
          </w:p>
        </w:tc>
        <w:tc>
          <w:tcPr>
            <w:tcW w:w="12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F0FFFF"/>
            </w:tcBorders>
            <w:gridSpan w:val="2"/>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U.S. Government agencies</w:t>
            </w:r>
          </w:p>
        </w:tc>
        <w:tc>
          <w:tcPr>
            <w:tcW w:w="7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36,299</w:t>
            </w:r>
          </w:p>
        </w:tc>
        <w:tc>
          <w:tcPr>
            <w:tcW w:w="1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36,299</w:t>
            </w:r>
          </w:p>
        </w:tc>
        <w:tc>
          <w:tcPr>
            <w:tcW w:w="1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7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88,741</w:t>
            </w:r>
          </w:p>
        </w:tc>
        <w:tc>
          <w:tcPr>
            <w:tcW w:w="1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251,977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7,019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340,718</w:t>
            </w:r>
          </w:p>
        </w:tc>
        <w:tc>
          <w:tcPr>
            <w:tcW w:w="1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7,465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37,891</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20,275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58,166</w:t>
            </w:r>
          </w:p>
        </w:tc>
        <w:tc>
          <w:tcPr>
            <w:tcW w:w="1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Asset-backed securities</w:t>
            </w:r>
          </w:p>
        </w:tc>
        <w:tc>
          <w:tcPr>
            <w:tcW w:w="76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221,359</w:t>
            </w:r>
          </w:p>
        </w:tc>
        <w:tc>
          <w:tcPr>
            <w:tcW w:w="20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40,952</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262,311</w:t>
            </w:r>
          </w:p>
        </w:tc>
        <w:tc>
          <w:tcPr>
            <w:tcW w:w="120" w:type="dxa"/>
            <w:vAlign w:val="bottom"/>
            <w:shd w:val="clear" w:color="auto" w:fill="F0FFFF"/>
          </w:tcPr>
          <w:p>
            <w:pPr>
              <w:spacing w:after="0"/>
              <w:rPr>
                <w:sz w:val="21"/>
                <w:szCs w:val="21"/>
                <w:color w:val="auto"/>
              </w:rPr>
            </w:pPr>
          </w:p>
        </w:tc>
        <w:tc>
          <w:tcPr>
            <w:tcW w:w="8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1,955</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40" w:type="dxa"/>
            <w:vAlign w:val="bottom"/>
            <w:tcBorders>
              <w:top w:val="single" w:sz="8" w:color="F0FFFF"/>
            </w:tcBorders>
            <w:gridSpan w:val="2"/>
          </w:tcPr>
          <w:p>
            <w:pPr>
              <w:ind w:left="160"/>
              <w:spacing w:after="0"/>
              <w:rPr>
                <w:sz w:val="20"/>
                <w:szCs w:val="20"/>
                <w:color w:val="auto"/>
              </w:rPr>
            </w:pPr>
            <w:r>
              <w:rPr>
                <w:rFonts w:ascii="Arial" w:cs="Arial" w:eastAsia="Arial" w:hAnsi="Arial"/>
                <w:sz w:val="18"/>
                <w:szCs w:val="18"/>
                <w:color w:val="auto"/>
              </w:rPr>
              <w:t>Total unrealized loss position</w:t>
            </w:r>
          </w:p>
        </w:tc>
        <w:tc>
          <w:tcPr>
            <w:tcW w:w="76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420,951</w:t>
            </w:r>
          </w:p>
        </w:tc>
        <w:tc>
          <w:tcPr>
            <w:tcW w:w="20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w:t>
            </w: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313,204</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8,087</w:t>
            </w: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734,155</w:t>
            </w: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10,756</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At December 31, 2015, there were 200 available-for-sale securities and 26 held-to-maturity securities that were in an unrealized loss position. Management does not intend to sell nor believes it will be required to sell securities in an unrealized loss position prior to the recovery of its amortized cost basis. Unrealized losses at December 31, 2015 and 2014 were primarily attributable to changes in interest rates.</w:t>
      </w:r>
    </w:p>
    <w:p>
      <w:pPr>
        <w:spacing w:after="0" w:line="166"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2015, 2014 or 2013.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Realized gains and losses are derived using the specific identification method for determining the cost of the securities sold.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229" w:lineRule="exact"/>
        <w:rPr>
          <w:rFonts w:ascii="Arial" w:cs="Arial" w:eastAsia="Arial" w:hAnsi="Arial"/>
          <w:sz w:val="18"/>
          <w:szCs w:val="18"/>
          <w:b w:val="1"/>
          <w:bCs w:val="1"/>
          <w:color w:val="auto"/>
        </w:rPr>
      </w:pPr>
    </w:p>
    <w:p>
      <w:pPr>
        <w:ind w:left="3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amortized cost and fair value of available-for-sale and held-to-maturity securities at December 31, 2015,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332" w:type="dxa"/>
        <w:tblCellMar>
          <w:top w:w="0" w:type="dxa"/>
          <w:left w:w="0" w:type="dxa"/>
          <w:bottom w:w="0" w:type="dxa"/>
          <w:right w:w="0" w:type="dxa"/>
        </w:tblCellMar>
      </w:tblPr>
      <w:tr>
        <w:trPr>
          <w:trHeight w:val="178"/>
        </w:trPr>
        <w:tc>
          <w:tcPr>
            <w:tcW w:w="4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Available-for-Sale</w:t>
            </w:r>
          </w:p>
        </w:tc>
        <w:tc>
          <w:tcPr>
            <w:tcW w:w="100" w:type="dxa"/>
            <w:vAlign w:val="bottom"/>
          </w:tcPr>
          <w:p>
            <w:pPr>
              <w:spacing w:after="0"/>
              <w:rPr>
                <w:sz w:val="15"/>
                <w:szCs w:val="15"/>
                <w:color w:val="auto"/>
              </w:rPr>
            </w:pPr>
          </w:p>
        </w:tc>
        <w:tc>
          <w:tcPr>
            <w:tcW w:w="2600" w:type="dxa"/>
            <w:vAlign w:val="bottom"/>
            <w:gridSpan w:val="6"/>
          </w:tcPr>
          <w:p>
            <w:pPr>
              <w:ind w:left="660"/>
              <w:spacing w:after="0"/>
              <w:rPr>
                <w:sz w:val="20"/>
                <w:szCs w:val="20"/>
                <w:color w:val="auto"/>
              </w:rPr>
            </w:pPr>
            <w:r>
              <w:rPr>
                <w:rFonts w:ascii="Arial" w:cs="Arial" w:eastAsia="Arial" w:hAnsi="Arial"/>
                <w:sz w:val="14"/>
                <w:szCs w:val="14"/>
                <w:b w:val="1"/>
                <w:bCs w:val="1"/>
                <w:color w:val="auto"/>
              </w:rPr>
              <w:t>Held-to-Maturity</w:t>
            </w:r>
          </w:p>
        </w:tc>
      </w:tr>
      <w:tr>
        <w:trPr>
          <w:trHeight w:val="169"/>
        </w:trPr>
        <w:tc>
          <w:tcPr>
            <w:tcW w:w="4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2"/>
              </w:rPr>
              <w:t>Amortized Cost</w:t>
            </w:r>
          </w:p>
        </w:tc>
        <w:tc>
          <w:tcPr>
            <w:tcW w:w="1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r>
      <w:tr>
        <w:trPr>
          <w:trHeight w:val="216"/>
        </w:trPr>
        <w:tc>
          <w:tcPr>
            <w:tcW w:w="4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US Treasuries:</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94,550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94,194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7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74,484</w:t>
            </w:r>
          </w:p>
        </w:tc>
        <w:tc>
          <w:tcPr>
            <w:tcW w:w="18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74,512</w:t>
            </w:r>
          </w:p>
        </w:tc>
        <w:tc>
          <w:tcPr>
            <w:tcW w:w="10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tcBorders>
              <w:top w:val="single" w:sz="8" w:color="F0FFFF"/>
              <w:bottom w:val="single" w:sz="8" w:color="F0FFFF"/>
            </w:tcBorders>
          </w:tcPr>
          <w:p>
            <w:pPr>
              <w:spacing w:after="0"/>
              <w:rPr>
                <w:sz w:val="18"/>
                <w:szCs w:val="18"/>
                <w:color w:val="auto"/>
              </w:rPr>
            </w:pPr>
          </w:p>
        </w:tc>
        <w:tc>
          <w:tcPr>
            <w:tcW w:w="7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169,034</w:t>
            </w:r>
          </w:p>
        </w:tc>
        <w:tc>
          <w:tcPr>
            <w:tcW w:w="22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168,706</w:t>
            </w:r>
          </w:p>
        </w:tc>
        <w:tc>
          <w:tcPr>
            <w:tcW w:w="2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r>
      <w:tr>
        <w:trPr>
          <w:trHeight w:val="216"/>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US Government agencies:</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20,030</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19,897</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7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92,364</w:t>
            </w:r>
          </w:p>
        </w:tc>
        <w:tc>
          <w:tcPr>
            <w:tcW w:w="18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92,443</w:t>
            </w:r>
          </w:p>
        </w:tc>
        <w:tc>
          <w:tcPr>
            <w:tcW w:w="10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tcBorders>
              <w:top w:val="single" w:sz="8" w:color="F0FFFF"/>
              <w:bottom w:val="single" w:sz="8" w:color="F0FFFF"/>
            </w:tcBorders>
          </w:tcPr>
          <w:p>
            <w:pPr>
              <w:spacing w:after="0"/>
              <w:rPr>
                <w:sz w:val="18"/>
                <w:szCs w:val="18"/>
                <w:color w:val="auto"/>
              </w:rPr>
            </w:pPr>
          </w:p>
        </w:tc>
        <w:tc>
          <w:tcPr>
            <w:tcW w:w="7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112,394</w:t>
            </w:r>
          </w:p>
        </w:tc>
        <w:tc>
          <w:tcPr>
            <w:tcW w:w="22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112,340</w:t>
            </w:r>
          </w:p>
        </w:tc>
        <w:tc>
          <w:tcPr>
            <w:tcW w:w="2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r>
      <w:tr>
        <w:trPr>
          <w:trHeight w:val="216"/>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4,041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3,572</w:t>
            </w:r>
          </w:p>
        </w:tc>
      </w:tr>
      <w:tr>
        <w:trPr>
          <w:trHeight w:val="216"/>
        </w:trPr>
        <w:tc>
          <w:tcPr>
            <w:tcW w:w="4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10,638</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10,852</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16,426</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32,695</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32,305</w:t>
            </w: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21,235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23,124</w:t>
            </w:r>
          </w:p>
        </w:tc>
      </w:tr>
      <w:tr>
        <w:trPr>
          <w:trHeight w:val="250"/>
        </w:trPr>
        <w:tc>
          <w:tcPr>
            <w:tcW w:w="4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8,891</w:t>
            </w:r>
          </w:p>
        </w:tc>
        <w:tc>
          <w:tcPr>
            <w:tcW w:w="1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9,052</w:t>
            </w:r>
          </w:p>
        </w:tc>
        <w:tc>
          <w:tcPr>
            <w:tcW w:w="2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21,832</w:t>
            </w:r>
          </w:p>
        </w:tc>
        <w:tc>
          <w:tcPr>
            <w:tcW w:w="1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22,162</w:t>
            </w:r>
          </w:p>
        </w:tc>
      </w:tr>
      <w:tr>
        <w:trPr>
          <w:trHeight w:val="210"/>
        </w:trPr>
        <w:tc>
          <w:tcPr>
            <w:tcW w:w="4620" w:type="dxa"/>
            <w:vAlign w:val="bottom"/>
            <w:tcBorders>
              <w:top w:val="single" w:sz="8" w:color="F0FFFF"/>
              <w:bottom w:val="single" w:sz="8" w:color="F0FFFF"/>
            </w:tcBorders>
          </w:tcPr>
          <w:p>
            <w:pPr>
              <w:spacing w:after="0"/>
              <w:rPr>
                <w:sz w:val="18"/>
                <w:szCs w:val="18"/>
                <w:color w:val="auto"/>
              </w:rPr>
            </w:pPr>
          </w:p>
        </w:tc>
        <w:tc>
          <w:tcPr>
            <w:tcW w:w="7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56,265</w:t>
            </w:r>
          </w:p>
        </w:tc>
        <w:tc>
          <w:tcPr>
            <w:tcW w:w="22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56,268</w:t>
            </w:r>
          </w:p>
        </w:tc>
        <w:tc>
          <w:tcPr>
            <w:tcW w:w="2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62,073</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65,284</w:t>
            </w:r>
          </w:p>
        </w:tc>
        <w:tc>
          <w:tcPr>
            <w:tcW w:w="100" w:type="dxa"/>
            <w:vAlign w:val="bottom"/>
            <w:tcBorders>
              <w:top w:val="single" w:sz="8" w:color="F0FFFF"/>
              <w:bottom w:val="single" w:sz="8" w:color="F0FFFF"/>
            </w:tcBorders>
          </w:tcPr>
          <w:p>
            <w:pPr>
              <w:spacing w:after="0"/>
              <w:rPr>
                <w:sz w:val="18"/>
                <w:szCs w:val="18"/>
                <w:color w:val="auto"/>
              </w:rPr>
            </w:pPr>
          </w:p>
        </w:tc>
      </w:tr>
      <w:tr>
        <w:trPr>
          <w:trHeight w:val="216"/>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197,903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197,798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77,776</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77,329</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32,423</w:t>
            </w:r>
          </w:p>
        </w:tc>
        <w:tc>
          <w:tcPr>
            <w:tcW w:w="1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30,899</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620" w:type="dxa"/>
            <w:vAlign w:val="bottom"/>
            <w:tcBorders>
              <w:top w:val="single" w:sz="8" w:color="F0FFFF"/>
              <w:bottom w:val="single" w:sz="8" w:color="F0FFFF"/>
            </w:tcBorders>
            <w:shd w:val="clear" w:color="auto" w:fill="F0FFFF"/>
          </w:tcPr>
          <w:p>
            <w:pPr>
              <w:spacing w:after="0"/>
              <w:rPr>
                <w:sz w:val="20"/>
                <w:szCs w:val="20"/>
                <w:color w:val="auto"/>
              </w:rPr>
            </w:pPr>
          </w:p>
        </w:tc>
        <w:tc>
          <w:tcPr>
            <w:tcW w:w="7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308,102</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306,026</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Asset-backed securities: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2,849</w:t>
            </w: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2,831</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243,705</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241,230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4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7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292,125</w:t>
            </w:r>
          </w:p>
        </w:tc>
        <w:tc>
          <w:tcPr>
            <w:tcW w:w="180" w:type="dxa"/>
            <w:vAlign w:val="bottom"/>
            <w:shd w:val="clear" w:color="auto" w:fill="F0FFFF"/>
          </w:tcPr>
          <w:p>
            <w:pPr>
              <w:spacing w:after="0"/>
              <w:rPr>
                <w:sz w:val="21"/>
                <w:szCs w:val="21"/>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289,181</w:t>
            </w:r>
          </w:p>
        </w:tc>
        <w:tc>
          <w:tcPr>
            <w:tcW w:w="2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4620" w:type="dxa"/>
            <w:vAlign w:val="bottom"/>
            <w:tcBorders>
              <w:top w:val="single" w:sz="8" w:color="F0FFFF"/>
              <w:bottom w:val="single" w:sz="8" w:color="F0FFFF"/>
            </w:tcBorders>
          </w:tcPr>
          <w:p>
            <w:pPr>
              <w:spacing w:after="0"/>
              <w:rPr>
                <w:sz w:val="18"/>
                <w:szCs w:val="18"/>
                <w:color w:val="auto"/>
              </w:rPr>
            </w:pPr>
          </w:p>
        </w:tc>
        <w:tc>
          <w:tcPr>
            <w:tcW w:w="7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538,679</w:t>
            </w:r>
          </w:p>
        </w:tc>
        <w:tc>
          <w:tcPr>
            <w:tcW w:w="22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533,242</w:t>
            </w:r>
          </w:p>
        </w:tc>
        <w:tc>
          <w:tcPr>
            <w:tcW w:w="2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tcPr>
          <w:p>
            <w:pPr>
              <w:spacing w:after="0"/>
              <w:rPr>
                <w:sz w:val="18"/>
                <w:szCs w:val="18"/>
                <w:color w:val="auto"/>
              </w:rPr>
            </w:pPr>
          </w:p>
        </w:tc>
      </w:tr>
      <w:tr>
        <w:trPr>
          <w:trHeight w:val="216"/>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7"/>
        </w:trPr>
        <w:tc>
          <w:tcPr>
            <w:tcW w:w="462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1,811</w:t>
            </w:r>
          </w:p>
        </w:tc>
        <w:tc>
          <w:tcPr>
            <w:tcW w:w="1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1,811</w:t>
            </w: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620" w:type="dxa"/>
            <w:vAlign w:val="bottom"/>
            <w:tcBorders>
              <w:top w:val="single" w:sz="8" w:color="F0FFFF"/>
              <w:bottom w:val="single" w:sz="8" w:color="F0FFFF"/>
            </w:tcBorders>
            <w:shd w:val="clear" w:color="auto" w:fill="F0FFFF"/>
          </w:tcPr>
          <w:p>
            <w:pPr>
              <w:spacing w:after="0"/>
              <w:rPr>
                <w:sz w:val="20"/>
                <w:szCs w:val="20"/>
                <w:color w:val="auto"/>
              </w:rPr>
            </w:pPr>
          </w:p>
        </w:tc>
        <w:tc>
          <w:tcPr>
            <w:tcW w:w="7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1,811</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1,811</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1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80" w:type="dxa"/>
            <w:vAlign w:val="bottom"/>
            <w:tcBorders>
              <w:top w:val="single" w:sz="8" w:color="auto"/>
              <w:bottom w:val="single" w:sz="8" w:color="auto"/>
            </w:tcBorders>
            <w:shd w:val="clear" w:color="auto" w:fill="F0FFFF"/>
          </w:tcPr>
          <w:p>
            <w:pPr>
              <w:spacing w:after="0"/>
              <w:rPr>
                <w:sz w:val="20"/>
                <w:szCs w:val="20"/>
                <w:color w:val="auto"/>
              </w:rPr>
            </w:pP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r>
      <w:tr>
        <w:trPr>
          <w:trHeight w:val="203"/>
        </w:trPr>
        <w:tc>
          <w:tcPr>
            <w:tcW w:w="4620" w:type="dxa"/>
            <w:vAlign w:val="bottom"/>
          </w:tcPr>
          <w:p>
            <w:pPr>
              <w:spacing w:after="0" w:line="203" w:lineRule="exact"/>
              <w:rPr>
                <w:sz w:val="20"/>
                <w:szCs w:val="20"/>
                <w:color w:val="auto"/>
              </w:rPr>
            </w:pPr>
            <w:r>
              <w:rPr>
                <w:rFonts w:ascii="Arial" w:cs="Arial" w:eastAsia="Arial" w:hAnsi="Arial"/>
                <w:sz w:val="18"/>
                <w:szCs w:val="18"/>
                <w:color w:val="auto"/>
              </w:rPr>
              <w:t>Total securities other than mortgage-backed securities: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Within 1 year</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4,041</w:t>
            </w: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4,059</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3,506</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3,572</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325,970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325,572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16,426</w:t>
            </w:r>
          </w:p>
        </w:tc>
      </w:tr>
      <w:tr>
        <w:trPr>
          <w:trHeight w:val="216"/>
        </w:trPr>
        <w:tc>
          <w:tcPr>
            <w:tcW w:w="46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7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521,024</w:t>
            </w:r>
          </w:p>
        </w:tc>
        <w:tc>
          <w:tcPr>
            <w:tcW w:w="18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517,819</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21,235</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23,124</w:t>
            </w: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335,250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330,943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21,832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22,162</w:t>
            </w:r>
          </w:p>
        </w:tc>
      </w:tr>
      <w:tr>
        <w:trPr>
          <w:trHeight w:val="237"/>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7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1,108,206</w:t>
            </w:r>
          </w:p>
        </w:tc>
        <w:tc>
          <w:tcPr>
            <w:tcW w:w="2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1,113,118</w:t>
            </w:r>
          </w:p>
        </w:tc>
        <w:tc>
          <w:tcPr>
            <w:tcW w:w="10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302,623</w:t>
            </w:r>
          </w:p>
        </w:tc>
        <w:tc>
          <w:tcPr>
            <w:tcW w:w="1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306,374</w:t>
            </w:r>
          </w:p>
        </w:tc>
      </w:tr>
      <w:tr>
        <w:trPr>
          <w:trHeight w:val="216"/>
        </w:trPr>
        <w:tc>
          <w:tcPr>
            <w:tcW w:w="4620" w:type="dxa"/>
            <w:vAlign w:val="bottom"/>
            <w:tcBorders>
              <w:top w:val="single" w:sz="8" w:color="F0FFFF"/>
            </w:tcBorders>
          </w:tcPr>
          <w:p>
            <w:pPr>
              <w:spacing w:after="0"/>
              <w:rPr>
                <w:sz w:val="18"/>
                <w:szCs w:val="18"/>
                <w:color w:val="auto"/>
              </w:rPr>
            </w:pPr>
          </w:p>
        </w:tc>
        <w:tc>
          <w:tcPr>
            <w:tcW w:w="70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r>
      <w:tr>
        <w:trPr>
          <w:trHeight w:val="263"/>
        </w:trPr>
        <w:tc>
          <w:tcPr>
            <w:tcW w:w="4620" w:type="dxa"/>
            <w:vAlign w:val="bottom"/>
            <w:shd w:val="clear" w:color="auto" w:fill="F0FFFF"/>
          </w:tcPr>
          <w:p>
            <w:pPr>
              <w:spacing w:after="0"/>
              <w:rPr>
                <w:sz w:val="22"/>
                <w:szCs w:val="22"/>
                <w:color w:val="auto"/>
              </w:rPr>
            </w:pPr>
          </w:p>
        </w:tc>
        <w:tc>
          <w:tcPr>
            <w:tcW w:w="8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2,294,491</w:t>
            </w:r>
          </w:p>
        </w:tc>
        <w:tc>
          <w:tcPr>
            <w:tcW w:w="220" w:type="dxa"/>
            <w:vAlign w:val="bottom"/>
            <w:shd w:val="clear" w:color="auto" w:fill="F0FFFF"/>
          </w:tcPr>
          <w:p>
            <w:pPr>
              <w:spacing w:after="0"/>
              <w:rPr>
                <w:sz w:val="22"/>
                <w:szCs w:val="22"/>
                <w:color w:val="auto"/>
              </w:rPr>
            </w:pP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2,291,511</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364,696</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371,658</w:t>
            </w:r>
          </w:p>
        </w:tc>
      </w:tr>
      <w:tr>
        <w:trPr>
          <w:trHeight w:val="20"/>
        </w:trPr>
        <w:tc>
          <w:tcPr>
            <w:tcW w:w="462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5" w:right="259" w:bottom="1440" w:gutter="0" w:footer="0" w:header="0"/>
        </w:sectPr>
      </w:pPr>
    </w:p>
    <w:bookmarkStart w:id="87" w:name="page88"/>
    <w:bookmarkEnd w:id="87"/>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summarizes available-for-sale securities sales activities for the years ended December 31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772"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Proceeds from sales</w:t>
            </w:r>
          </w:p>
        </w:tc>
        <w:tc>
          <w:tcPr>
            <w:tcW w:w="1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353,860</w:t>
            </w:r>
          </w:p>
        </w:tc>
        <w:tc>
          <w:tcPr>
            <w:tcW w:w="120" w:type="dxa"/>
            <w:vAlign w:val="bottom"/>
            <w:shd w:val="clear" w:color="auto" w:fill="F0FFFF"/>
          </w:tcPr>
          <w:p>
            <w:pPr>
              <w:spacing w:after="0"/>
              <w:rPr>
                <w:sz w:val="22"/>
                <w:szCs w:val="22"/>
                <w:color w:val="auto"/>
              </w:rPr>
            </w:pPr>
          </w:p>
        </w:tc>
        <w:tc>
          <w:tcPr>
            <w:tcW w:w="3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419,201</w:t>
            </w:r>
          </w:p>
        </w:tc>
        <w:tc>
          <w:tcPr>
            <w:tcW w:w="160" w:type="dxa"/>
            <w:vAlign w:val="bottom"/>
            <w:shd w:val="clear" w:color="auto" w:fill="F0FFFF"/>
          </w:tcPr>
          <w:p>
            <w:pPr>
              <w:spacing w:after="0"/>
              <w:rPr>
                <w:sz w:val="22"/>
                <w:szCs w:val="22"/>
                <w:color w:val="auto"/>
              </w:rPr>
            </w:pPr>
          </w:p>
        </w:tc>
        <w:tc>
          <w:tcPr>
            <w:tcW w:w="2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39,731</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3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F0FFFF"/>
          </w:tcPr>
          <w:p>
            <w:pPr>
              <w:spacing w:after="0"/>
              <w:rPr>
                <w:sz w:val="20"/>
                <w:szCs w:val="20"/>
                <w:color w:val="auto"/>
              </w:rPr>
            </w:pPr>
            <w:r>
              <w:rPr>
                <w:rFonts w:ascii="Arial" w:cs="Arial" w:eastAsia="Arial" w:hAnsi="Arial"/>
                <w:sz w:val="18"/>
                <w:szCs w:val="18"/>
                <w:color w:val="auto"/>
              </w:rPr>
              <w:t>Gross gains on sales</w:t>
            </w:r>
          </w:p>
        </w:tc>
        <w:tc>
          <w:tcPr>
            <w:tcW w:w="140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2,409</w:t>
            </w:r>
          </w:p>
        </w:tc>
        <w:tc>
          <w:tcPr>
            <w:tcW w:w="120" w:type="dxa"/>
            <w:vAlign w:val="bottom"/>
            <w:shd w:val="clear" w:color="auto" w:fill="F0FFFF"/>
          </w:tcPr>
          <w:p>
            <w:pPr>
              <w:spacing w:after="0"/>
              <w:rPr>
                <w:sz w:val="18"/>
                <w:szCs w:val="18"/>
                <w:color w:val="auto"/>
              </w:rPr>
            </w:pPr>
          </w:p>
        </w:tc>
        <w:tc>
          <w:tcPr>
            <w:tcW w:w="3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6,003</w:t>
            </w:r>
          </w:p>
        </w:tc>
        <w:tc>
          <w:tcPr>
            <w:tcW w:w="16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Gross losses on sales</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Borders>
              <w:top w:val="single" w:sz="8" w:color="F0FFFF"/>
            </w:tcBorders>
            <w:shd w:val="clear" w:color="auto" w:fill="F0FFFF"/>
          </w:tcPr>
          <w:p>
            <w:pPr>
              <w:spacing w:after="0"/>
              <w:rPr>
                <w:sz w:val="18"/>
                <w:szCs w:val="18"/>
                <w:color w:val="auto"/>
              </w:rPr>
            </w:pPr>
          </w:p>
        </w:tc>
        <w:tc>
          <w:tcPr>
            <w:tcW w:w="11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ind w:left="140"/>
              <w:spacing w:after="0"/>
              <w:rPr>
                <w:sz w:val="20"/>
                <w:szCs w:val="20"/>
                <w:color w:val="auto"/>
              </w:rPr>
            </w:pPr>
            <w:r>
              <w:rPr>
                <w:rFonts w:ascii="Arial" w:cs="Arial" w:eastAsia="Arial" w:hAnsi="Arial"/>
                <w:sz w:val="18"/>
                <w:szCs w:val="18"/>
                <w:color w:val="auto"/>
              </w:rPr>
              <w:t>Net gains on sales of securities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2,255</w:t>
            </w:r>
          </w:p>
        </w:tc>
        <w:tc>
          <w:tcPr>
            <w:tcW w:w="120" w:type="dxa"/>
            <w:vAlign w:val="bottom"/>
          </w:tcPr>
          <w:p>
            <w:pPr>
              <w:spacing w:after="0"/>
              <w:rPr>
                <w:sz w:val="21"/>
                <w:szCs w:val="21"/>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4,871</w:t>
            </w:r>
          </w:p>
        </w:tc>
        <w:tc>
          <w:tcPr>
            <w:tcW w:w="16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F0FFFF"/>
            </w:tcBorders>
          </w:tcPr>
          <w:p>
            <w:pPr>
              <w:spacing w:after="0" w:line="20" w:lineRule="exact"/>
              <w:rPr>
                <w:sz w:val="1"/>
                <w:szCs w:val="1"/>
                <w:color w:val="auto"/>
              </w:rPr>
            </w:pPr>
          </w:p>
        </w:tc>
        <w:tc>
          <w:tcPr>
            <w:tcW w:w="112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6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F0FFFF"/>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Income tax expense attributable to sales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21"/>
                <w:szCs w:val="21"/>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1,902</w:t>
            </w:r>
          </w:p>
        </w:tc>
        <w:tc>
          <w:tcPr>
            <w:tcW w:w="160" w:type="dxa"/>
            <w:vAlign w:val="bottom"/>
          </w:tcPr>
          <w:p>
            <w:pPr>
              <w:spacing w:after="0"/>
              <w:rPr>
                <w:sz w:val="21"/>
                <w:szCs w:val="21"/>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2"/>
        <w:spacing w:after="0" w:line="277" w:lineRule="auto"/>
        <w:rPr>
          <w:sz w:val="20"/>
          <w:szCs w:val="20"/>
          <w:color w:val="auto"/>
        </w:rPr>
      </w:pPr>
      <w:r>
        <w:rPr>
          <w:rFonts w:ascii="Arial" w:cs="Arial" w:eastAsia="Arial" w:hAnsi="Arial"/>
          <w:sz w:val="18"/>
          <w:szCs w:val="18"/>
          <w:color w:val="auto"/>
        </w:rPr>
        <w:t>At year-end 2015 and 2014, there were no holdings of securities of any one issuer, other than the U.S. Government and its agencies, in an amount greater than 10% of shareholders’ equity.</w:t>
      </w:r>
    </w:p>
    <w:p>
      <w:pPr>
        <w:spacing w:after="0" w:line="166" w:lineRule="exact"/>
        <w:rPr>
          <w:sz w:val="20"/>
          <w:szCs w:val="20"/>
          <w:color w:val="auto"/>
        </w:rPr>
      </w:pPr>
    </w:p>
    <w:p>
      <w:pPr>
        <w:ind w:left="332" w:hanging="332"/>
        <w:spacing w:after="0"/>
        <w:tabs>
          <w:tab w:leader="none" w:pos="33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Credit Losses</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 xml:space="preserve">Major classifications of loans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12"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30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1,493,966</w:t>
            </w:r>
          </w:p>
        </w:tc>
        <w:tc>
          <w:tcPr>
            <w:tcW w:w="140" w:type="dxa"/>
            <w:vAlign w:val="bottom"/>
            <w:shd w:val="clear" w:color="auto" w:fill="F0FFFF"/>
          </w:tcPr>
          <w:p>
            <w:pPr>
              <w:spacing w:after="0"/>
              <w:rPr>
                <w:sz w:val="18"/>
                <w:szCs w:val="18"/>
                <w:color w:val="auto"/>
              </w:rPr>
            </w:pPr>
          </w:p>
        </w:tc>
        <w:tc>
          <w:tcPr>
            <w:tcW w:w="420" w:type="dxa"/>
            <w:vAlign w:val="bottom"/>
            <w:shd w:val="clear" w:color="auto" w:fill="F0FFFF"/>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1,163,480</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823,729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598,537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30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785,417</w:t>
            </w:r>
          </w:p>
        </w:tc>
        <w:tc>
          <w:tcPr>
            <w:tcW w:w="1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710,256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342,078</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196,030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top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30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3,445,190</w:t>
            </w:r>
          </w:p>
        </w:tc>
        <w:tc>
          <w:tcPr>
            <w:tcW w:w="14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2,668,303</w:t>
            </w:r>
          </w:p>
        </w:tc>
        <w:tc>
          <w:tcPr>
            <w:tcW w:w="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Residential mortgage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1,029,663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865,789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30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597,806</w:t>
            </w:r>
          </w:p>
        </w:tc>
        <w:tc>
          <w:tcPr>
            <w:tcW w:w="1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465,872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351,700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298,627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30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115,111</w:t>
            </w:r>
          </w:p>
        </w:tc>
        <w:tc>
          <w:tcPr>
            <w:tcW w:w="1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104,899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Indirect auto</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455,971</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5,995,441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4,672,119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3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(68,448)</w:t>
            </w:r>
          </w:p>
        </w:tc>
        <w:tc>
          <w:tcPr>
            <w:tcW w:w="4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5,926,993</w:t>
            </w:r>
          </w:p>
        </w:tc>
        <w:tc>
          <w:tcPr>
            <w:tcW w:w="140" w:type="dxa"/>
            <w:vAlign w:val="bottom"/>
          </w:tcPr>
          <w:p>
            <w:pPr>
              <w:spacing w:after="0"/>
              <w:rPr>
                <w:sz w:val="21"/>
                <w:szCs w:val="21"/>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4,600,500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32"/>
        <w:spacing w:after="0" w:line="277" w:lineRule="auto"/>
        <w:rPr>
          <w:sz w:val="20"/>
          <w:szCs w:val="20"/>
          <w:color w:val="auto"/>
        </w:rPr>
      </w:pPr>
      <w:r>
        <w:rPr>
          <w:rFonts w:ascii="Arial" w:cs="Arial" w:eastAsia="Arial" w:hAnsi="Arial"/>
          <w:sz w:val="18"/>
          <w:szCs w:val="18"/>
          <w:color w:val="auto"/>
        </w:rPr>
        <w:t>At December 31, 2015 and 2014, $827,000 and $1.05 million, respectively, in overdrawn deposit accounts were reclassified as commercial and industrial loans. No specific allowance for loan losses was deemed necessary for these accounts at December 31, 2015 and 2014.</w:t>
      </w:r>
    </w:p>
    <w:p>
      <w:pPr>
        <w:spacing w:after="0" w:line="170" w:lineRule="exact"/>
        <w:rPr>
          <w:sz w:val="20"/>
          <w:szCs w:val="20"/>
          <w:color w:val="auto"/>
        </w:rPr>
      </w:pPr>
    </w:p>
    <w:p>
      <w:pPr>
        <w:ind w:left="332" w:right="20"/>
        <w:spacing w:after="0" w:line="277" w:lineRule="auto"/>
        <w:rPr>
          <w:sz w:val="20"/>
          <w:szCs w:val="20"/>
          <w:color w:val="auto"/>
        </w:rPr>
      </w:pPr>
      <w:r>
        <w:rPr>
          <w:rFonts w:ascii="Arial" w:cs="Arial" w:eastAsia="Arial" w:hAnsi="Arial"/>
          <w:sz w:val="18"/>
          <w:szCs w:val="18"/>
          <w:color w:val="auto"/>
        </w:rPr>
        <w:t>At December 31, 2015 and 2014, loans with a carrying value of $2.44 billion and $2.35 billion were pledged as collateral to secure FHLB advances and other contingent funding sources.</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Credit Losses, continued</w:t>
      </w:r>
    </w:p>
    <w:p>
      <w:pPr>
        <w:spacing w:after="0" w:line="22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At December 31, 2015, the carrying value and outstanding balance of PCI loans accounted for under ASC 310-30 was $51.3 million and $71.0 million, respectively. The following table presents changes in the value of the accretable yield for acquired loans accounted for under ASC Topic 310-30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-124460</wp:posOffset>
            </wp:positionV>
            <wp:extent cx="434784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6" w:lineRule="exact"/>
        <w:rPr>
          <w:sz w:val="20"/>
          <w:szCs w:val="20"/>
          <w:color w:val="auto"/>
        </w:rPr>
      </w:pPr>
    </w:p>
    <w:p>
      <w:pPr>
        <w:ind w:left="2300"/>
        <w:spacing w:after="0"/>
        <w:rPr>
          <w:sz w:val="20"/>
          <w:szCs w:val="20"/>
          <w:color w:val="auto"/>
        </w:rPr>
      </w:pPr>
      <w:r>
        <w:rPr>
          <w:rFonts w:ascii="Arial" w:cs="Arial" w:eastAsia="Arial" w:hAnsi="Arial"/>
          <w:sz w:val="17"/>
          <w:szCs w:val="17"/>
          <w:color w:val="auto"/>
        </w:rPr>
        <w:t>Additions due to acquisitions</w:t>
      </w:r>
    </w:p>
    <w:p>
      <w:pPr>
        <w:spacing w:after="0" w:line="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Accretion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2360"/>
        <w:spacing w:after="0"/>
        <w:rPr>
          <w:sz w:val="20"/>
          <w:szCs w:val="20"/>
          <w:color w:val="auto"/>
        </w:rPr>
      </w:pPr>
      <w:r>
        <w:rPr>
          <w:rFonts w:ascii="Arial" w:cs="Arial" w:eastAsia="Arial" w:hAnsi="Arial"/>
          <w:sz w:val="14"/>
          <w:szCs w:val="14"/>
          <w:b w:val="1"/>
          <w:bCs w:val="1"/>
          <w:color w:val="auto"/>
        </w:rPr>
        <w:t>Year Ended</w:t>
      </w:r>
    </w:p>
    <w:p>
      <w:pPr>
        <w:spacing w:after="0" w:line="17" w:lineRule="exact"/>
        <w:rPr>
          <w:sz w:val="20"/>
          <w:szCs w:val="20"/>
          <w:color w:val="auto"/>
        </w:rPr>
      </w:pPr>
    </w:p>
    <w:p>
      <w:pPr>
        <w:jc w:val="center"/>
        <w:ind w:right="2340"/>
        <w:spacing w:after="0"/>
        <w:rPr>
          <w:sz w:val="20"/>
          <w:szCs w:val="20"/>
          <w:color w:val="auto"/>
        </w:rPr>
      </w:pPr>
      <w:r>
        <w:rPr>
          <w:rFonts w:ascii="Arial" w:cs="Arial" w:eastAsia="Arial" w:hAnsi="Arial"/>
          <w:sz w:val="14"/>
          <w:szCs w:val="14"/>
          <w:b w:val="1"/>
          <w:bCs w:val="1"/>
          <w:color w:val="auto"/>
        </w:rPr>
        <w:t>December 31, 2015</w:t>
      </w:r>
    </w:p>
    <w:p>
      <w:pPr>
        <w:spacing w:after="0" w:line="9" w:lineRule="exact"/>
        <w:rPr>
          <w:sz w:val="20"/>
          <w:szCs w:val="20"/>
          <w:color w:val="auto"/>
        </w:rPr>
      </w:pPr>
    </w:p>
    <w:p>
      <w:pPr>
        <w:ind w:left="1280" w:hanging="1273"/>
        <w:spacing w:after="0"/>
        <w:tabs>
          <w:tab w:leader="none" w:pos="12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5,335</w:t>
      </w:r>
    </w:p>
    <w:p>
      <w:pPr>
        <w:spacing w:after="0" w:line="9"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(1,056)</w:t>
      </w:r>
    </w:p>
    <w:p>
      <w:pPr>
        <w:spacing w:after="0" w:line="49" w:lineRule="exact"/>
        <w:rPr>
          <w:sz w:val="20"/>
          <w:szCs w:val="20"/>
          <w:color w:val="auto"/>
        </w:rPr>
      </w:pPr>
    </w:p>
    <w:p>
      <w:pPr>
        <w:ind w:left="920" w:hanging="913"/>
        <w:spacing w:after="0"/>
        <w:tabs>
          <w:tab w:leader="none" w:pos="9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4,279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8407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4074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40640</wp:posOffset>
            </wp:positionV>
            <wp:extent cx="84074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680"/>
          </w:cols>
          <w:pgMar w:left="240" w:top="904" w:right="239" w:bottom="1440" w:gutter="0" w:footer="0" w:header="0"/>
          <w:type w:val="continuous"/>
        </w:sectPr>
      </w:pPr>
    </w:p>
    <w:p>
      <w:pPr>
        <w:spacing w:after="0" w:line="7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addition to the accretable yield on PCI loans, the fair value adjustments on purchased loans outside the scope of ASC Topic 310-30 are also accreted to interest income over the life of the loans. At December 31, 2015, the remaining accretable fair value mark on loans acquired through a business combination and not accounted for under ASC Topic 310-30 was $7.03 million. In addition, indirect auto loans purchased at a premium outside of a business combination have a remaining premium of $12.0 million at December 31, 2015.</w:t>
      </w:r>
    </w:p>
    <w:p>
      <w:pPr>
        <w:spacing w:after="0" w:line="18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year-end. In 2013, United established an allowance for unfunded commitments separate from the allowance for loan losses due to significant growth in unfunded loan commitments. The allowance for unfunded commitments is included in other liabilities in the consolidated balance sheet. Combined, the allowance for loan losses and allowance for unfunded commitments are referred to as the allowance for credit losses.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Credit Losses, continued</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presents the balance and activity in the allowance for credit losses by portfolio segment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Charge-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Allocation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Ending</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Recoveries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Provision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3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Offs</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Unallocated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16,041</w:t>
            </w: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(2,096)</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2,429</w:t>
            </w:r>
          </w:p>
        </w:tc>
        <w:tc>
          <w:tcPr>
            <w:tcW w:w="2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16,732</w:t>
            </w: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10,296</w:t>
            </w: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(2,236)</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3,255</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(1,358)</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2,174</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4,747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1,266</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20,311</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(3,178)</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(1,563)</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17,232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2,336</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10,603</w:t>
            </w: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832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(1,183)</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731</w:t>
            </w: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1,061</w:t>
            </w: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1,018</w:t>
            </w:r>
          </w:p>
        </w:tc>
        <w:tc>
          <w:tcPr>
            <w:tcW w:w="16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1,393</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3680" w:type="dxa"/>
            <w:vAlign w:val="bottom"/>
            <w:tcBorders>
              <w:top w:val="single" w:sz="8" w:color="F0FFFF"/>
            </w:tcBorders>
          </w:tcPr>
          <w:p>
            <w:pPr>
              <w:ind w:left="160"/>
              <w:spacing w:after="0" w:line="203" w:lineRule="exact"/>
              <w:rPr>
                <w:sz w:val="20"/>
                <w:szCs w:val="20"/>
                <w:color w:val="auto"/>
              </w:rPr>
            </w:pPr>
            <w:r>
              <w:rPr>
                <w:rFonts w:ascii="Arial" w:cs="Arial" w:eastAsia="Arial" w:hAnsi="Arial"/>
                <w:sz w:val="18"/>
                <w:szCs w:val="18"/>
                <w:color w:val="auto"/>
              </w:rPr>
              <w:t>Total allowance for loan losses</w:t>
            </w:r>
          </w:p>
        </w:tc>
        <w:tc>
          <w:tcPr>
            <w:tcW w:w="1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71,619</w:t>
            </w:r>
          </w:p>
        </w:tc>
        <w:tc>
          <w:tcPr>
            <w:tcW w:w="20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(13,415)</w:t>
            </w: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7,156</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3,088</w:t>
            </w:r>
          </w:p>
        </w:tc>
        <w:tc>
          <w:tcPr>
            <w:tcW w:w="2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68,448</w:t>
            </w:r>
          </w:p>
        </w:tc>
        <w:tc>
          <w:tcPr>
            <w:tcW w:w="100" w:type="dxa"/>
            <w:vAlign w:val="bottom"/>
            <w:tcBorders>
              <w:top w:val="single" w:sz="8" w:color="F0FFFF"/>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Allowance for unfunded commitments</w:t>
            </w: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1,930</w:t>
            </w: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612</w:t>
            </w:r>
          </w:p>
        </w:tc>
        <w:tc>
          <w:tcPr>
            <w:tcW w:w="160" w:type="dxa"/>
            <w:vAlign w:val="bottom"/>
            <w:shd w:val="clear" w:color="auto" w:fill="F0FFFF"/>
          </w:tcPr>
          <w:p>
            <w:pPr>
              <w:spacing w:after="0"/>
              <w:rPr>
                <w:sz w:val="21"/>
                <w:szCs w:val="21"/>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2,542</w:t>
            </w: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368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allowance for credit losses</w:t>
            </w:r>
          </w:p>
        </w:tc>
        <w:tc>
          <w:tcPr>
            <w:tcW w:w="12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73,549</w:t>
            </w: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(13,415</w:t>
            </w:r>
          </w:p>
        </w:tc>
        <w:tc>
          <w:tcPr>
            <w:tcW w:w="220" w:type="dxa"/>
            <w:vAlign w:val="bottom"/>
            <w:tcBorders>
              <w:top w:val="single" w:sz="8" w:color="F0FF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7,156</w:t>
            </w: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22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70,990</w:t>
            </w:r>
          </w:p>
        </w:tc>
        <w:tc>
          <w:tcPr>
            <w:tcW w:w="100" w:type="dxa"/>
            <w:vAlign w:val="bottom"/>
            <w:tcBorders>
              <w:top w:val="single" w:sz="8" w:color="F0FFFF"/>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5"/>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24"/>
                <w:szCs w:val="2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Charge-</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Allocation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Ending</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Recoveries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Provision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3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Offs</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Unallocated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17,164</w:t>
            </w: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(3,136)</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3,056</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1,278</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(2,321)</w:t>
            </w:r>
          </w:p>
        </w:tc>
        <w:tc>
          <w:tcPr>
            <w:tcW w:w="2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16,041</w:t>
            </w: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3,320</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10,296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6,527</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(2,145)</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1,698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(3,143)</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3,255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919</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4,747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15,446</w:t>
            </w: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(7,502)</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1,452</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9,805</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20,311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682</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12,532</w:t>
            </w: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(3,176)</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1,728</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(1,108)</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10,603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1,126</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1,061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Unallocated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6,243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(6,243)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Borders>
              <w:top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allowance for loan losses</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76,762</w:t>
            </w: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(22,667)</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8,789</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8,735</w:t>
            </w:r>
          </w:p>
        </w:tc>
        <w:tc>
          <w:tcPr>
            <w:tcW w:w="2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71,619</w:t>
            </w: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Allowance for unfunded commitments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1,930</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1"/>
                <w:szCs w:val="21"/>
                <w:color w:val="auto"/>
              </w:rPr>
            </w:pPr>
          </w:p>
        </w:tc>
        <w:tc>
          <w:tcPr>
            <w:tcW w:w="36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allowance for credit losses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78,927</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(22,667</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8,789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8,500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73,549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24"/>
                <w:szCs w:val="2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Charge-</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Allocation</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Ending</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0"/>
              </w:rPr>
              <w:t>Recoveries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7"/>
              </w:rPr>
              <w:t>Provision</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3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Offs</w:t>
            </w: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Unallocated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Balance</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17,265</w:t>
            </w: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(24,965)</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23,559</w:t>
            </w:r>
          </w:p>
        </w:tc>
        <w:tc>
          <w:tcPr>
            <w:tcW w:w="2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17,164</w:t>
            </w: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10,582</w:t>
            </w: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(11,505)</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7,457</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5,537</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(18,914)</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18,016</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6,527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8,389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(6,483)</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1,694</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3,669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19,117</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(8,840)</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4,558</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15,446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(3,437)</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1,336</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5,528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26,662</w:t>
            </w: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(23,049)</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8,746</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12,532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Consumer installment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(2,184)</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1,126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Unallocated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6,243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80" w:type="dxa"/>
            <w:vAlign w:val="bottom"/>
            <w:tcBorders>
              <w:top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allowance for loan losses</w:t>
            </w:r>
          </w:p>
        </w:tc>
        <w:tc>
          <w:tcPr>
            <w:tcW w:w="12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107,137</w:t>
            </w: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(99,654)</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63,335</w:t>
            </w:r>
          </w:p>
        </w:tc>
        <w:tc>
          <w:tcPr>
            <w:tcW w:w="22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76,762</w:t>
            </w: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Allowance for unfunded commitments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2,165</w:t>
            </w: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2,165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1"/>
                <w:szCs w:val="21"/>
                <w:color w:val="auto"/>
              </w:rPr>
            </w:pPr>
          </w:p>
        </w:tc>
        <w:tc>
          <w:tcPr>
            <w:tcW w:w="36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allowance for credit losses</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107,137</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(99,654</w:t>
            </w:r>
          </w:p>
        </w:tc>
        <w:tc>
          <w:tcPr>
            <w:tcW w:w="220" w:type="dxa"/>
            <w:vAlign w:val="bottom"/>
            <w:tcBorders>
              <w:top w:val="single" w:sz="8" w:color="F0FFFF"/>
              <w:bottom w:val="single" w:sz="8" w:color="F0FFFF"/>
            </w:tcBorders>
            <w:shd w:val="clear" w:color="auto" w:fill="F0FF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5,944</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65,500</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78,927</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68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40" w:type="dxa"/>
            <w:vAlign w:val="bottom"/>
            <w:tcBorders>
              <w:bottom w:val="single" w:sz="8" w:color="DCDCDC"/>
            </w:tcBorders>
          </w:tcPr>
          <w:p>
            <w:pPr>
              <w:spacing w:after="0"/>
              <w:rPr>
                <w:sz w:val="24"/>
                <w:szCs w:val="24"/>
                <w:color w:val="auto"/>
              </w:rPr>
            </w:pPr>
          </w:p>
        </w:tc>
        <w:tc>
          <w:tcPr>
            <w:tcW w:w="36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jc w:val="right"/>
              <w:ind w:right="392"/>
              <w:spacing w:after="0"/>
              <w:rPr>
                <w:sz w:val="20"/>
                <w:szCs w:val="20"/>
                <w:color w:val="auto"/>
              </w:rPr>
            </w:pPr>
            <w:r>
              <w:rPr>
                <w:rFonts w:ascii="Arial" w:cs="Arial" w:eastAsia="Arial" w:hAnsi="Arial"/>
                <w:sz w:val="18"/>
                <w:szCs w:val="18"/>
                <w:color w:val="auto"/>
              </w:rPr>
              <w:t>84</w:t>
            </w:r>
          </w:p>
        </w:tc>
        <w:tc>
          <w:tcPr>
            <w:tcW w:w="2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Credit Losses, continued</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presents the recorded investment in loans by portfolio segment and the balance of the allowance for loan losses assigned to each segment based on the method of evaluating the loans for impairment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7"/>
          </w:tcPr>
          <w:p>
            <w:pPr>
              <w:jc w:val="center"/>
              <w:ind w:left="352"/>
              <w:spacing w:after="0"/>
              <w:rPr>
                <w:sz w:val="20"/>
                <w:szCs w:val="20"/>
                <w:color w:val="auto"/>
              </w:rPr>
            </w:pPr>
            <w:r>
              <w:rPr>
                <w:rFonts w:ascii="Arial" w:cs="Arial" w:eastAsia="Arial" w:hAnsi="Arial"/>
                <w:sz w:val="14"/>
                <w:szCs w:val="14"/>
                <w:b w:val="1"/>
                <w:bCs w:val="1"/>
                <w:color w:val="auto"/>
                <w:w w:val="90"/>
              </w:rPr>
              <w:t>Allowance for Loan Losses</w:t>
            </w: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2014</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tcPr>
          <w:p>
            <w:pPr>
              <w:jc w:val="center"/>
              <w:ind w:right="100"/>
              <w:spacing w:after="0" w:line="126" w:lineRule="exact"/>
              <w:rPr>
                <w:sz w:val="20"/>
                <w:szCs w:val="20"/>
                <w:color w:val="auto"/>
              </w:rPr>
            </w:pPr>
            <w:r>
              <w:rPr>
                <w:rFonts w:ascii="Arial" w:cs="Arial" w:eastAsia="Arial" w:hAnsi="Arial"/>
                <w:sz w:val="14"/>
                <w:szCs w:val="14"/>
                <w:b w:val="1"/>
                <w:bCs w:val="1"/>
                <w:color w:val="auto"/>
                <w:w w:val="98"/>
              </w:rPr>
              <w:t>Individually</w:t>
            </w:r>
          </w:p>
        </w:tc>
        <w:tc>
          <w:tcPr>
            <w:tcW w:w="100" w:type="dxa"/>
            <w:vAlign w:val="bottom"/>
          </w:tcPr>
          <w:p>
            <w:pPr>
              <w:spacing w:after="0"/>
              <w:rPr>
                <w:sz w:val="10"/>
                <w:szCs w:val="10"/>
                <w:color w:val="auto"/>
              </w:rPr>
            </w:pPr>
          </w:p>
        </w:tc>
        <w:tc>
          <w:tcPr>
            <w:tcW w:w="1080" w:type="dxa"/>
            <w:vAlign w:val="bottom"/>
            <w:gridSpan w:val="3"/>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Collectively</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Ending</w:t>
            </w:r>
          </w:p>
        </w:tc>
        <w:tc>
          <w:tcPr>
            <w:tcW w:w="88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rPr>
              <w:t>Individually</w:t>
            </w:r>
          </w:p>
        </w:tc>
        <w:tc>
          <w:tcPr>
            <w:tcW w:w="200" w:type="dxa"/>
            <w:vAlign w:val="bottom"/>
          </w:tcPr>
          <w:p>
            <w:pPr>
              <w:spacing w:after="0"/>
              <w:rPr>
                <w:sz w:val="10"/>
                <w:szCs w:val="10"/>
                <w:color w:val="auto"/>
              </w:rPr>
            </w:pPr>
          </w:p>
        </w:tc>
        <w:tc>
          <w:tcPr>
            <w:tcW w:w="1080" w:type="dxa"/>
            <w:vAlign w:val="bottom"/>
            <w:gridSpan w:val="3"/>
          </w:tcPr>
          <w:p>
            <w:pPr>
              <w:jc w:val="center"/>
              <w:ind w:right="240"/>
              <w:spacing w:after="0" w:line="126" w:lineRule="exact"/>
              <w:rPr>
                <w:sz w:val="20"/>
                <w:szCs w:val="20"/>
                <w:color w:val="auto"/>
              </w:rPr>
            </w:pPr>
            <w:r>
              <w:rPr>
                <w:rFonts w:ascii="Arial" w:cs="Arial" w:eastAsia="Arial" w:hAnsi="Arial"/>
                <w:sz w:val="14"/>
                <w:szCs w:val="14"/>
                <w:b w:val="1"/>
                <w:bCs w:val="1"/>
                <w:color w:val="auto"/>
                <w:w w:val="92"/>
              </w:rPr>
              <w:t>Collectively</w:t>
            </w:r>
          </w:p>
        </w:tc>
        <w:tc>
          <w:tcPr>
            <w:tcW w:w="100" w:type="dxa"/>
            <w:vAlign w:val="bottom"/>
          </w:tcPr>
          <w:p>
            <w:pPr>
              <w:spacing w:after="0"/>
              <w:rPr>
                <w:sz w:val="10"/>
                <w:szCs w:val="10"/>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20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evaluated for</w:t>
            </w:r>
          </w:p>
        </w:tc>
        <w:tc>
          <w:tcPr>
            <w:tcW w:w="2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5"/>
                <w:szCs w:val="15"/>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impairment</w:t>
            </w: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5"/>
                <w:szCs w:val="15"/>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6"/>
        </w:trPr>
        <w:tc>
          <w:tcPr>
            <w:tcW w:w="31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w w:val="99"/>
              </w:rPr>
              <w:t>Owner occupied commercial real estate</w:t>
            </w: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2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15,267</w:t>
            </w: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16,732</w:t>
            </w: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2,737</w:t>
            </w:r>
          </w:p>
        </w:tc>
        <w:tc>
          <w:tcPr>
            <w:tcW w:w="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13,304</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16,041</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w w:val="95"/>
              </w:rPr>
              <w:t>Income producing commercial real estate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7,274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8,235</w:t>
            </w:r>
          </w:p>
        </w:tc>
        <w:tc>
          <w:tcPr>
            <w:tcW w:w="2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8,379</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10,296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4,162</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4,442</w:t>
            </w:r>
          </w:p>
        </w:tc>
        <w:tc>
          <w:tcPr>
            <w:tcW w:w="220" w:type="dxa"/>
            <w:vAlign w:val="bottom"/>
            <w:shd w:val="clear" w:color="auto" w:fill="F0FFFF"/>
          </w:tcPr>
          <w:p>
            <w:pPr>
              <w:spacing w:after="0"/>
              <w:rPr>
                <w:sz w:val="18"/>
                <w:szCs w:val="18"/>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3,255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5,570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5,583</w:t>
            </w:r>
          </w:p>
        </w:tc>
        <w:tc>
          <w:tcPr>
            <w:tcW w:w="2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3,885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13,347</w:t>
            </w:r>
          </w:p>
        </w:tc>
        <w:tc>
          <w:tcPr>
            <w:tcW w:w="2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17,232</w:t>
            </w:r>
          </w:p>
        </w:tc>
        <w:tc>
          <w:tcPr>
            <w:tcW w:w="22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3,227</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17,084</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20,311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6,042</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4,527</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7,787</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7,961</w:t>
            </w:r>
          </w:p>
        </w:tc>
        <w:tc>
          <w:tcPr>
            <w:tcW w:w="22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1,192</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9,411</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10,603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Consumer installment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815</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828</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1,393</w:t>
            </w:r>
          </w:p>
        </w:tc>
        <w:tc>
          <w:tcPr>
            <w:tcW w:w="2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1,393</w:t>
            </w:r>
          </w:p>
        </w:tc>
        <w:tc>
          <w:tcPr>
            <w:tcW w:w="220" w:type="dxa"/>
            <w:vAlign w:val="bottom"/>
            <w:shd w:val="clear" w:color="auto" w:fill="F0FFFF"/>
          </w:tcPr>
          <w:p>
            <w:pPr>
              <w:spacing w:after="0"/>
              <w:rPr>
                <w:sz w:val="21"/>
                <w:szCs w:val="21"/>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1,061</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160" w:type="dxa"/>
            <w:vAlign w:val="bottom"/>
            <w:tcBorders>
              <w:top w:val="single" w:sz="8" w:color="F0FFFF"/>
            </w:tcBorders>
          </w:tcPr>
          <w:p>
            <w:pPr>
              <w:ind w:left="160"/>
              <w:spacing w:after="0" w:line="203" w:lineRule="exact"/>
              <w:rPr>
                <w:sz w:val="20"/>
                <w:szCs w:val="20"/>
                <w:color w:val="auto"/>
              </w:rPr>
            </w:pPr>
            <w:r>
              <w:rPr>
                <w:rFonts w:ascii="Arial" w:cs="Arial" w:eastAsia="Arial" w:hAnsi="Arial"/>
                <w:sz w:val="18"/>
                <w:szCs w:val="18"/>
                <w:color w:val="auto"/>
              </w:rPr>
              <w:t>Total allowance for loan losses</w:t>
            </w:r>
          </w:p>
        </w:tc>
        <w:tc>
          <w:tcPr>
            <w:tcW w:w="20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6,797</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61,651</w:t>
            </w:r>
          </w:p>
        </w:tc>
        <w:tc>
          <w:tcPr>
            <w:tcW w:w="20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F0FFFF"/>
            </w:tcBorders>
          </w:tcPr>
          <w:p>
            <w:pPr>
              <w:spacing w:after="0"/>
              <w:rPr>
                <w:sz w:val="17"/>
                <w:szCs w:val="17"/>
                <w:color w:val="auto"/>
              </w:rPr>
            </w:pPr>
          </w:p>
        </w:tc>
        <w:tc>
          <w:tcPr>
            <w:tcW w:w="1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68,448</w:t>
            </w:r>
          </w:p>
        </w:tc>
        <w:tc>
          <w:tcPr>
            <w:tcW w:w="22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9,882</w:t>
            </w:r>
          </w:p>
        </w:tc>
        <w:tc>
          <w:tcPr>
            <w:tcW w:w="2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61,737</w:t>
            </w: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71,619</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F0FFFF"/>
          </w:tcPr>
          <w:p>
            <w:pPr>
              <w:spacing w:after="0"/>
              <w:rPr>
                <w:sz w:val="20"/>
                <w:szCs w:val="20"/>
                <w:color w:val="auto"/>
              </w:rPr>
            </w:pPr>
            <w:r>
              <w:rPr>
                <w:rFonts w:ascii="Arial" w:cs="Arial" w:eastAsia="Arial" w:hAnsi="Arial"/>
                <w:sz w:val="18"/>
                <w:szCs w:val="18"/>
                <w:color w:val="auto"/>
              </w:rPr>
              <w:t>Allowance for unfunded commitments</w:t>
            </w:r>
          </w:p>
        </w:tc>
        <w:tc>
          <w:tcPr>
            <w:tcW w:w="2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2,542</w:t>
            </w:r>
          </w:p>
        </w:tc>
        <w:tc>
          <w:tcPr>
            <w:tcW w:w="2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2,542</w:t>
            </w:r>
          </w:p>
        </w:tc>
        <w:tc>
          <w:tcPr>
            <w:tcW w:w="220" w:type="dxa"/>
            <w:vAlign w:val="bottom"/>
            <w:shd w:val="clear" w:color="auto" w:fill="F0FFFF"/>
          </w:tcPr>
          <w:p>
            <w:pPr>
              <w:spacing w:after="0"/>
              <w:rPr>
                <w:sz w:val="21"/>
                <w:szCs w:val="21"/>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16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allowance for credit losses</w:t>
            </w:r>
          </w:p>
        </w:tc>
        <w:tc>
          <w:tcPr>
            <w:tcW w:w="20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64,193</w:t>
            </w:r>
          </w:p>
        </w:tc>
        <w:tc>
          <w:tcPr>
            <w:tcW w:w="20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70,990</w:t>
            </w:r>
          </w:p>
        </w:tc>
        <w:tc>
          <w:tcPr>
            <w:tcW w:w="2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9,882</w:t>
            </w:r>
          </w:p>
        </w:tc>
        <w:tc>
          <w:tcPr>
            <w:tcW w:w="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63,667</w:t>
            </w: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73,549</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3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Loans Outstanding</w:t>
            </w: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2015</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2014</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3"/>
          </w:tcPr>
          <w:p>
            <w:pPr>
              <w:jc w:val="center"/>
              <w:ind w:right="100"/>
              <w:spacing w:after="0" w:line="126" w:lineRule="exact"/>
              <w:rPr>
                <w:sz w:val="20"/>
                <w:szCs w:val="20"/>
                <w:color w:val="auto"/>
              </w:rPr>
            </w:pPr>
            <w:r>
              <w:rPr>
                <w:rFonts w:ascii="Arial" w:cs="Arial" w:eastAsia="Arial" w:hAnsi="Arial"/>
                <w:sz w:val="14"/>
                <w:szCs w:val="14"/>
                <w:b w:val="1"/>
                <w:bCs w:val="1"/>
                <w:color w:val="auto"/>
                <w:w w:val="98"/>
              </w:rPr>
              <w:t>Individually</w:t>
            </w:r>
          </w:p>
        </w:tc>
        <w:tc>
          <w:tcPr>
            <w:tcW w:w="100" w:type="dxa"/>
            <w:vAlign w:val="bottom"/>
          </w:tcPr>
          <w:p>
            <w:pPr>
              <w:spacing w:after="0"/>
              <w:rPr>
                <w:sz w:val="10"/>
                <w:szCs w:val="10"/>
                <w:color w:val="auto"/>
              </w:rPr>
            </w:pPr>
          </w:p>
        </w:tc>
        <w:tc>
          <w:tcPr>
            <w:tcW w:w="1080" w:type="dxa"/>
            <w:vAlign w:val="bottom"/>
            <w:gridSpan w:val="3"/>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Collectively</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Ending</w:t>
            </w:r>
          </w:p>
        </w:tc>
        <w:tc>
          <w:tcPr>
            <w:tcW w:w="880" w:type="dxa"/>
            <w:vAlign w:val="bottom"/>
            <w:gridSpan w:val="3"/>
          </w:tcPr>
          <w:p>
            <w:pPr>
              <w:ind w:left="40"/>
              <w:spacing w:after="0" w:line="126" w:lineRule="exact"/>
              <w:rPr>
                <w:sz w:val="20"/>
                <w:szCs w:val="20"/>
                <w:color w:val="auto"/>
              </w:rPr>
            </w:pPr>
            <w:r>
              <w:rPr>
                <w:rFonts w:ascii="Arial" w:cs="Arial" w:eastAsia="Arial" w:hAnsi="Arial"/>
                <w:sz w:val="14"/>
                <w:szCs w:val="14"/>
                <w:b w:val="1"/>
                <w:bCs w:val="1"/>
                <w:color w:val="auto"/>
              </w:rPr>
              <w:t>Individually</w:t>
            </w:r>
          </w:p>
        </w:tc>
        <w:tc>
          <w:tcPr>
            <w:tcW w:w="200" w:type="dxa"/>
            <w:vAlign w:val="bottom"/>
          </w:tcPr>
          <w:p>
            <w:pPr>
              <w:spacing w:after="0"/>
              <w:rPr>
                <w:sz w:val="10"/>
                <w:szCs w:val="10"/>
                <w:color w:val="auto"/>
              </w:rPr>
            </w:pPr>
          </w:p>
        </w:tc>
        <w:tc>
          <w:tcPr>
            <w:tcW w:w="1080" w:type="dxa"/>
            <w:vAlign w:val="bottom"/>
            <w:gridSpan w:val="3"/>
          </w:tcPr>
          <w:p>
            <w:pPr>
              <w:jc w:val="center"/>
              <w:ind w:right="240"/>
              <w:spacing w:after="0" w:line="126" w:lineRule="exact"/>
              <w:rPr>
                <w:sz w:val="20"/>
                <w:szCs w:val="20"/>
                <w:color w:val="auto"/>
              </w:rPr>
            </w:pPr>
            <w:r>
              <w:rPr>
                <w:rFonts w:ascii="Arial" w:cs="Arial" w:eastAsia="Arial" w:hAnsi="Arial"/>
                <w:sz w:val="14"/>
                <w:szCs w:val="14"/>
                <w:b w:val="1"/>
                <w:bCs w:val="1"/>
                <w:color w:val="auto"/>
                <w:w w:val="92"/>
              </w:rPr>
              <w:t>Collectively</w:t>
            </w:r>
          </w:p>
        </w:tc>
        <w:tc>
          <w:tcPr>
            <w:tcW w:w="100" w:type="dxa"/>
            <w:vAlign w:val="bottom"/>
          </w:tcPr>
          <w:p>
            <w:pPr>
              <w:spacing w:after="0"/>
              <w:rPr>
                <w:sz w:val="10"/>
                <w:szCs w:val="10"/>
                <w:color w:val="auto"/>
              </w:rPr>
            </w:pPr>
          </w:p>
        </w:tc>
        <w:tc>
          <w:tcPr>
            <w:tcW w:w="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100" w:type="dxa"/>
            <w:vAlign w:val="bottom"/>
          </w:tcPr>
          <w:p>
            <w:pPr>
              <w:spacing w:after="0"/>
              <w:rPr>
                <w:sz w:val="12"/>
                <w:szCs w:val="12"/>
                <w:color w:val="auto"/>
              </w:rPr>
            </w:pPr>
          </w:p>
        </w:tc>
        <w:tc>
          <w:tcPr>
            <w:tcW w:w="10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20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evaluated for</w:t>
            </w:r>
          </w:p>
        </w:tc>
        <w:tc>
          <w:tcPr>
            <w:tcW w:w="20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evaluated for</w:t>
            </w:r>
          </w:p>
        </w:tc>
        <w:tc>
          <w:tcPr>
            <w:tcW w:w="1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5"/>
                <w:szCs w:val="15"/>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impairment</w:t>
            </w:r>
          </w:p>
        </w:tc>
        <w:tc>
          <w:tcPr>
            <w:tcW w:w="2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Balance</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impairment</w:t>
            </w:r>
          </w:p>
        </w:tc>
        <w:tc>
          <w:tcPr>
            <w:tcW w:w="200" w:type="dxa"/>
            <w:vAlign w:val="bottom"/>
          </w:tcPr>
          <w:p>
            <w:pPr>
              <w:spacing w:after="0"/>
              <w:rPr>
                <w:sz w:val="15"/>
                <w:szCs w:val="15"/>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0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16"/>
        </w:trPr>
        <w:tc>
          <w:tcPr>
            <w:tcW w:w="31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w w:val="99"/>
              </w:rPr>
              <w:t>Owner occupied commercial real estate</w:t>
            </w: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2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38,268</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88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w w:val="90"/>
              </w:rPr>
              <w:t>$ 1,442,024</w:t>
            </w:r>
          </w:p>
        </w:tc>
        <w:tc>
          <w:tcPr>
            <w:tcW w:w="20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13,674</w:t>
            </w: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88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w w:val="90"/>
              </w:rPr>
              <w:t>$ 1,493,966</w:t>
            </w:r>
          </w:p>
        </w:tc>
        <w:tc>
          <w:tcPr>
            <w:tcW w:w="22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34,654</w:t>
            </w:r>
          </w:p>
        </w:tc>
        <w:tc>
          <w:tcPr>
            <w:tcW w:w="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auto"/>
            </w:tcBorders>
            <w:gridSpan w:val="2"/>
            <w:shd w:val="clear" w:color="auto" w:fill="F0FFFF"/>
          </w:tcPr>
          <w:p>
            <w:pPr>
              <w:jc w:val="right"/>
              <w:spacing w:after="0"/>
              <w:rPr>
                <w:sz w:val="20"/>
                <w:szCs w:val="20"/>
                <w:color w:val="auto"/>
              </w:rPr>
            </w:pPr>
            <w:r>
              <w:rPr>
                <w:rFonts w:ascii="Arial" w:cs="Arial" w:eastAsia="Arial" w:hAnsi="Arial"/>
                <w:sz w:val="18"/>
                <w:szCs w:val="18"/>
                <w:color w:val="auto"/>
                <w:w w:val="88"/>
              </w:rPr>
              <w:t>$ 1,128,826</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2"/>
              </w:rPr>
              <w:t>1,163,480</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w w:val="95"/>
              </w:rPr>
              <w:t>Income producing commercial real estate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772,945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27,771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823,729</w:t>
            </w:r>
          </w:p>
        </w:tc>
        <w:tc>
          <w:tcPr>
            <w:tcW w:w="2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24,484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574,053</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598,537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3,339</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781,423</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655</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785,417</w:t>
            </w:r>
          </w:p>
        </w:tc>
        <w:tc>
          <w:tcPr>
            <w:tcW w:w="22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3,977</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706,279</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710,256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329,320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342,078</w:t>
            </w:r>
          </w:p>
        </w:tc>
        <w:tc>
          <w:tcPr>
            <w:tcW w:w="2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12,321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183,709</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196,030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19,627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2"/>
              </w:rPr>
              <w:t>1,005,860</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4,176</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2"/>
              </w:rPr>
              <w:t>1,029,663</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18,775</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847,014</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865,789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595,951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597,806</w:t>
            </w:r>
          </w:p>
        </w:tc>
        <w:tc>
          <w:tcPr>
            <w:tcW w:w="2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465,394</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465,872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342,677</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1,123</w:t>
            </w:r>
          </w:p>
        </w:tc>
        <w:tc>
          <w:tcPr>
            <w:tcW w:w="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351,700</w:t>
            </w:r>
          </w:p>
        </w:tc>
        <w:tc>
          <w:tcPr>
            <w:tcW w:w="22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11,604</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287,023</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298,627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Consumer installment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114,741</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115,111</w:t>
            </w:r>
          </w:p>
        </w:tc>
        <w:tc>
          <w:tcPr>
            <w:tcW w:w="2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104,720</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104,899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6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455,173</w:t>
            </w:r>
          </w:p>
        </w:tc>
        <w:tc>
          <w:tcPr>
            <w:tcW w:w="20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455,971</w:t>
            </w:r>
          </w:p>
        </w:tc>
        <w:tc>
          <w:tcPr>
            <w:tcW w:w="220" w:type="dxa"/>
            <w:vAlign w:val="bottom"/>
            <w:shd w:val="clear" w:color="auto" w:fill="F0FFFF"/>
          </w:tcPr>
          <w:p>
            <w:pPr>
              <w:spacing w:after="0"/>
              <w:rPr>
                <w:sz w:val="21"/>
                <w:szCs w:val="21"/>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268,629</w:t>
            </w:r>
          </w:p>
        </w:tc>
        <w:tc>
          <w:tcPr>
            <w:tcW w:w="10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268,629</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160" w:type="dxa"/>
            <w:vAlign w:val="bottom"/>
            <w:tcBorders>
              <w:top w:val="single" w:sz="8" w:color="F0FFFF"/>
            </w:tcBorders>
          </w:tcPr>
          <w:p>
            <w:pPr>
              <w:ind w:left="160"/>
              <w:spacing w:after="0"/>
              <w:rPr>
                <w:sz w:val="20"/>
                <w:szCs w:val="20"/>
                <w:color w:val="auto"/>
              </w:rPr>
            </w:pPr>
            <w:r>
              <w:rPr>
                <w:rFonts w:ascii="Arial" w:cs="Arial" w:eastAsia="Arial" w:hAnsi="Arial"/>
                <w:sz w:val="18"/>
                <w:szCs w:val="18"/>
                <w:color w:val="auto"/>
              </w:rPr>
              <w:t>Total loans</w:t>
            </w:r>
          </w:p>
        </w:tc>
        <w:tc>
          <w:tcPr>
            <w:tcW w:w="20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104,008</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$ 5,840,114</w:t>
            </w:r>
          </w:p>
        </w:tc>
        <w:tc>
          <w:tcPr>
            <w:tcW w:w="20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51,319</w:t>
            </w:r>
          </w:p>
        </w:tc>
        <w:tc>
          <w:tcPr>
            <w:tcW w:w="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$ 5,995,441</w:t>
            </w:r>
          </w:p>
        </w:tc>
        <w:tc>
          <w:tcPr>
            <w:tcW w:w="220" w:type="dxa"/>
            <w:vAlign w:val="bottom"/>
            <w:tcBorders>
              <w:top w:val="single" w:sz="8" w:color="F0FF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106,472</w:t>
            </w:r>
          </w:p>
        </w:tc>
        <w:tc>
          <w:tcPr>
            <w:tcW w:w="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$ 4,565,647</w:t>
            </w: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4,672,119</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Management considers all non-PCI loans that are on nonaccrual with a balance of $500,000 or greater and all TDRs to be impaired. In addition, management reviews all accruing substandard loans greater than $2 million to determine if the loan is impaired. A loan is considered impaired when, based on current events and circumstances, it is probable that all amounts due according to the original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For TDRs less than $500,000, impairment is estimated based on the average impairment of TDRs greater than $500,000 by loan category. For loan types that do not have TDRs greater than $500,000, the average impairment for all TDR loans is used to quantify the amount of required specific reserve. A specific reserve is established for impaired loans for the amount of calculated impairment. Interest payments received on impaired nonaccrual loans are applied as a reduction of the outstanding principal balance.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Credit Losses, continued</w:t>
      </w:r>
    </w:p>
    <w:p>
      <w:pPr>
        <w:spacing w:after="0" w:line="229"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Each quarter, management prepares an analysis of the allowance for credit losses to determine the appropriate balance that measures and quantifies the amount of probable incurred losses in the loan portfolio.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 Management uses eight quarters of historical loss experience to determine the loss factors to be used in the reserve calculation for loans evaluated in the aggregate.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In previous years, a weighted average giving more weight to recent quarters was calculated by multiplying each quarter’s annualized historical net charge-off rate by 1 through 8, with 8 representing the most recent quarter and 1 representing the oldest quarter. Management adopted this method of weighting quarterly loss rates to capture the rapidly deteriorating credit conditions in its loss factors during the financial crisis. Pursuant to stabilization of credit conditions, management concluded that it was appropriate to apply a more level weighting moving forward to capture the full range and impacts of credit losses experienced during the most recent economic and credit cycle. For the four quarters of 2014, management applied a weighting factor of 1.75 to the most recent four quarters and a weighting of 1.00 for the four oldest quarters. Beginning with the first quarter of 2015, management began applying equal weight to all eight quarters to capture the full range of the loss cycle. Management believes the current weightings are more appropriate to measure the probable losses incurred within the loan portfolio.</w:t>
      </w:r>
    </w:p>
    <w:p>
      <w:pPr>
        <w:spacing w:after="0" w:line="171"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Also, beginning in the first quarter of 2014, management updated its measurement of the loss emergence period in the calculation of the allowance for credit losses. The rapidly deteriorating credit conditions during the peak of the credit cycle shortened the length of time between management’s estimation of the incurrence of a loss and its recognition as a charge-off. In most cases, the loss emergence period was within a twelve month period which made the use of annualized loss factors appropriate for measuring the amount of incurred yet unconfirmed credit losses within the loan portfolio. As United has moved out beyond the peak of the financial crisis, management has observed that the loss emergence period has extended. Management calculates the loss emergence period for each pool of loans based on the average length of time between the date a loan first exceeds 30 days past due and the date the loan is charged off.</w:t>
      </w:r>
    </w:p>
    <w:p>
      <w:pPr>
        <w:spacing w:after="0" w:line="189"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updates to the weightings to the eight quarters of loss history and the update to the estimation of the loss emergence period did not have a material effect on the total allowance for loan losses or the provision for loan losses for 2014. These updates resulted in the full allocation of the previously unallocated portion of the allowance for loan losses.</w:t>
      </w:r>
    </w:p>
    <w:p>
      <w:pPr>
        <w:spacing w:after="0" w:line="181"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rFonts w:ascii="Arial" w:cs="Arial" w:eastAsia="Arial" w:hAnsi="Arial"/>
          <w:sz w:val="18"/>
          <w:szCs w:val="18"/>
          <w:b w:val="1"/>
          <w:bCs w:val="1"/>
          <w:color w:val="auto"/>
        </w:rPr>
      </w:pPr>
    </w:p>
    <w:p>
      <w:pPr>
        <w:jc w:val="both"/>
        <w:ind w:lef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146"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rFonts w:ascii="Arial" w:cs="Arial" w:eastAsia="Arial" w:hAnsi="Arial"/>
          <w:sz w:val="18"/>
          <w:szCs w:val="18"/>
          <w:b w:val="1"/>
          <w:bCs w:val="1"/>
          <w:color w:val="auto"/>
        </w:rPr>
      </w:pPr>
    </w:p>
    <w:p>
      <w:pPr>
        <w:jc w:val="both"/>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When a loan officer determines that a loan is uncollectible, he or she is responsible for recommending that the loan be placed on nonaccrual and charged off. Full or partial charge-offs may also be recommended by the Collections Department, the Special Assets Department, the Loss Mitigation Department and the Foreclosure/OREO Department. Nonaccrual real estate loans that are collateral dependent are generally charged down to 80% of the appraised value of the underlying collateral at the time they are placed on nonaccrual status in order to approximate fair value less costs to sell.</w:t>
      </w:r>
    </w:p>
    <w:p>
      <w:pPr>
        <w:spacing w:after="0" w:line="154"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Commercial and consumer asset quality committees consisting of the Chief Credit Officer, Senior Risk Officers and Senior Credit Officers meet monthly to review charge-offs that have occurred during the previous month.</w:t>
      </w:r>
    </w:p>
    <w:p>
      <w:pPr>
        <w:spacing w:after="0" w:line="170"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unless the loan is well secured and in process of collection (within the next 90 days). Open-end unsecured (revolving) retail loans which are past due 90 cumulative days from their contractual due date are generally charged off.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Credit Losses, continued</w:t>
      </w:r>
    </w:p>
    <w:p>
      <w:pPr>
        <w:spacing w:after="0" w:line="229"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In the ordinary course of business, the Bank grants loans to executive officers, and directors of the holding company and the Bank, including their immediate families and companies with which they are associated. Management believes that such loans are made on substantially the same terms, including interest rate and collateral, as those prevailing at the time for comparable transactions with other customers. The following is a summary of such loans outstanding and the activity in these loans for the years ended December 31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880" w:type="dxa"/>
            <w:vAlign w:val="bottom"/>
            <w:gridSpan w:val="2"/>
          </w:tcPr>
          <w:p>
            <w:pPr>
              <w:jc w:val="right"/>
              <w:spacing w:after="0"/>
              <w:rPr>
                <w:sz w:val="20"/>
                <w:szCs w:val="20"/>
                <w:color w:val="auto"/>
              </w:rPr>
            </w:pPr>
            <w:r>
              <w:rPr>
                <w:rFonts w:ascii="Arial" w:cs="Arial" w:eastAsia="Arial" w:hAnsi="Arial"/>
                <w:sz w:val="14"/>
                <w:szCs w:val="14"/>
                <w:color w:val="auto"/>
              </w:rPr>
              <w:t>2015</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ind w:right="454"/>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41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Balance at beginning of period</w:t>
            </w:r>
          </w:p>
        </w:tc>
        <w:tc>
          <w:tcPr>
            <w:tcW w:w="196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jc w:val="right"/>
              <w:ind w:right="73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3,204</w:t>
            </w:r>
          </w:p>
        </w:tc>
        <w:tc>
          <w:tcPr>
            <w:tcW w:w="10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2,898</w:t>
            </w:r>
          </w:p>
        </w:tc>
        <w:tc>
          <w:tcPr>
            <w:tcW w:w="80" w:type="dxa"/>
            <w:vAlign w:val="bottom"/>
            <w:tcBorders>
              <w:top w:val="single" w:sz="8" w:color="F0FFFF"/>
            </w:tcBorders>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New loans and advances</w:t>
            </w:r>
          </w:p>
        </w:tc>
        <w:tc>
          <w:tcPr>
            <w:tcW w:w="1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160" w:type="dxa"/>
            <w:vAlign w:val="bottom"/>
            <w:shd w:val="clear" w:color="auto" w:fill="F0FFFF"/>
          </w:tcPr>
          <w:p>
            <w:pPr>
              <w:spacing w:after="0"/>
              <w:rPr>
                <w:sz w:val="20"/>
                <w:szCs w:val="20"/>
                <w:color w:val="auto"/>
              </w:rPr>
            </w:pPr>
            <w:r>
              <w:rPr>
                <w:rFonts w:ascii="Arial" w:cs="Arial" w:eastAsia="Arial" w:hAnsi="Arial"/>
                <w:sz w:val="18"/>
                <w:szCs w:val="18"/>
                <w:color w:val="auto"/>
              </w:rPr>
              <w:t>Repayments</w:t>
            </w:r>
          </w:p>
        </w:tc>
        <w:tc>
          <w:tcPr>
            <w:tcW w:w="1960" w:type="dxa"/>
            <w:vAlign w:val="bottom"/>
            <w:shd w:val="clear" w:color="auto" w:fill="F0FFFF"/>
          </w:tcPr>
          <w:p>
            <w:pPr>
              <w:spacing w:after="0"/>
              <w:rPr>
                <w:sz w:val="20"/>
                <w:szCs w:val="20"/>
                <w:color w:val="auto"/>
              </w:rPr>
            </w:pPr>
          </w:p>
        </w:tc>
        <w:tc>
          <w:tcPr>
            <w:tcW w:w="920" w:type="dxa"/>
            <w:vAlign w:val="bottom"/>
            <w:shd w:val="clear" w:color="auto" w:fill="F0FFFF"/>
          </w:tcPr>
          <w:p>
            <w:pPr>
              <w:spacing w:after="0"/>
              <w:rPr>
                <w:sz w:val="20"/>
                <w:szCs w:val="20"/>
                <w:color w:val="auto"/>
              </w:rPr>
            </w:pPr>
          </w:p>
        </w:tc>
        <w:tc>
          <w:tcPr>
            <w:tcW w:w="5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(512)</w:t>
            </w:r>
          </w:p>
        </w:tc>
        <w:tc>
          <w:tcPr>
            <w:tcW w:w="6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4160" w:type="dxa"/>
            <w:vAlign w:val="bottom"/>
            <w:tcBorders>
              <w:top w:val="single" w:sz="8" w:color="F0FFFF"/>
            </w:tcBorders>
          </w:tcPr>
          <w:p>
            <w:pPr>
              <w:spacing w:after="0"/>
              <w:rPr>
                <w:sz w:val="18"/>
                <w:szCs w:val="18"/>
                <w:color w:val="auto"/>
              </w:rPr>
            </w:pPr>
          </w:p>
        </w:tc>
        <w:tc>
          <w:tcPr>
            <w:tcW w:w="1960" w:type="dxa"/>
            <w:vAlign w:val="bottom"/>
            <w:tcBorders>
              <w:top w:val="single" w:sz="8" w:color="F0FF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r>
      <w:tr>
        <w:trPr>
          <w:trHeight w:val="263"/>
        </w:trPr>
        <w:tc>
          <w:tcPr>
            <w:tcW w:w="20" w:type="dxa"/>
            <w:vAlign w:val="bottom"/>
          </w:tcPr>
          <w:p>
            <w:pPr>
              <w:spacing w:after="0"/>
              <w:rPr>
                <w:sz w:val="22"/>
                <w:szCs w:val="22"/>
                <w:color w:val="auto"/>
              </w:rPr>
            </w:pPr>
          </w:p>
        </w:tc>
        <w:tc>
          <w:tcPr>
            <w:tcW w:w="41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Balance at end of period</w:t>
            </w:r>
          </w:p>
        </w:tc>
        <w:tc>
          <w:tcPr>
            <w:tcW w:w="2880" w:type="dxa"/>
            <w:vAlign w:val="bottom"/>
            <w:gridSpan w:val="2"/>
            <w:shd w:val="clear" w:color="auto" w:fill="F0FFFF"/>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2,732</w:t>
            </w:r>
          </w:p>
        </w:tc>
        <w:tc>
          <w:tcPr>
            <w:tcW w:w="100" w:type="dxa"/>
            <w:vAlign w:val="bottom"/>
            <w:shd w:val="clear" w:color="auto" w:fill="F0FFFF"/>
          </w:tcPr>
          <w:p>
            <w:pPr>
              <w:spacing w:after="0"/>
              <w:rPr>
                <w:sz w:val="22"/>
                <w:szCs w:val="22"/>
                <w:color w:val="auto"/>
              </w:rPr>
            </w:pPr>
          </w:p>
        </w:tc>
        <w:tc>
          <w:tcPr>
            <w:tcW w:w="360" w:type="dxa"/>
            <w:vAlign w:val="bottom"/>
            <w:gridSpan w:val="2"/>
            <w:shd w:val="clear" w:color="auto" w:fill="F0FFFF"/>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3,204</w:t>
            </w:r>
          </w:p>
        </w:tc>
        <w:tc>
          <w:tcPr>
            <w:tcW w:w="80" w:type="dxa"/>
            <w:vAlign w:val="bottom"/>
            <w:shd w:val="clear" w:color="auto" w:fill="F0FF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F0FFFF"/>
            </w:tcBorders>
          </w:tcPr>
          <w:p>
            <w:pPr>
              <w:spacing w:after="0" w:line="20" w:lineRule="exact"/>
              <w:rPr>
                <w:sz w:val="1"/>
                <w:szCs w:val="1"/>
                <w:color w:val="auto"/>
              </w:rPr>
            </w:pPr>
          </w:p>
        </w:tc>
        <w:tc>
          <w:tcPr>
            <w:tcW w:w="1960" w:type="dxa"/>
            <w:vAlign w:val="bottom"/>
            <w:tcBorders>
              <w:top w:val="single" w:sz="8" w:color="F0FF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is presented below for the last three years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2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0"/>
                <w:szCs w:val="10"/>
                <w:color w:val="auto"/>
              </w:rPr>
            </w:pPr>
          </w:p>
        </w:tc>
        <w:tc>
          <w:tcPr>
            <w:tcW w:w="8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7"/>
              </w:rPr>
              <w:t>Cash Basis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4"/>
              </w:rPr>
              <w:t>Interest</w:t>
            </w: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7"/>
              </w:rPr>
              <w:t>Cash Basis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0"/>
                <w:szCs w:val="10"/>
                <w:color w:val="auto"/>
              </w:rPr>
            </w:pPr>
          </w:p>
        </w:tc>
        <w:tc>
          <w:tcPr>
            <w:tcW w:w="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Cash Basis</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Revenue</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Revenue</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Revenue</w:t>
            </w:r>
          </w:p>
        </w:tc>
        <w:tc>
          <w:tcPr>
            <w:tcW w:w="1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Interest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Average</w:t>
            </w:r>
          </w:p>
        </w:tc>
        <w:tc>
          <w:tcPr>
            <w:tcW w:w="12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Recognized</w:t>
            </w:r>
          </w:p>
        </w:tc>
        <w:tc>
          <w:tcPr>
            <w:tcW w:w="8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During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During</w:t>
            </w:r>
          </w:p>
        </w:tc>
        <w:tc>
          <w:tcPr>
            <w:tcW w:w="80" w:type="dxa"/>
            <w:vAlign w:val="bottom"/>
          </w:tcPr>
          <w:p>
            <w:pPr>
              <w:spacing w:after="0"/>
              <w:rPr>
                <w:sz w:val="12"/>
                <w:szCs w:val="12"/>
                <w:color w:val="auto"/>
              </w:rPr>
            </w:pPr>
          </w:p>
        </w:tc>
        <w:tc>
          <w:tcPr>
            <w:tcW w:w="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Revenue</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During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78"/>
        </w:trPr>
        <w:tc>
          <w:tcPr>
            <w:tcW w:w="2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5"/>
                <w:szCs w:val="15"/>
                <w:color w:val="auto"/>
              </w:rPr>
            </w:pP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Impairment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Received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Impairment</w:t>
            </w:r>
          </w:p>
        </w:tc>
        <w:tc>
          <w:tcPr>
            <w:tcW w:w="80" w:type="dxa"/>
            <w:vAlign w:val="bottom"/>
          </w:tcPr>
          <w:p>
            <w:pPr>
              <w:spacing w:after="0"/>
              <w:rPr>
                <w:sz w:val="15"/>
                <w:szCs w:val="15"/>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Received</w:t>
            </w:r>
          </w:p>
        </w:tc>
        <w:tc>
          <w:tcPr>
            <w:tcW w:w="10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Received</w:t>
            </w:r>
          </w:p>
        </w:tc>
        <w:tc>
          <w:tcPr>
            <w:tcW w:w="0" w:type="dxa"/>
            <w:vAlign w:val="bottom"/>
          </w:tcPr>
          <w:p>
            <w:pPr>
              <w:spacing w:after="0"/>
              <w:rPr>
                <w:sz w:val="1"/>
                <w:szCs w:val="1"/>
                <w:color w:val="auto"/>
              </w:rPr>
            </w:pPr>
          </w:p>
        </w:tc>
      </w:tr>
      <w:tr>
        <w:trPr>
          <w:trHeight w:val="116"/>
        </w:trPr>
        <w:tc>
          <w:tcPr>
            <w:tcW w:w="2080" w:type="dxa"/>
            <w:vAlign w:val="bottom"/>
            <w:tcBorders>
              <w:top w:val="single" w:sz="8" w:color="F0FFFF"/>
            </w:tcBorders>
            <w:shd w:val="clear" w:color="auto" w:fill="F0FFFF"/>
          </w:tcPr>
          <w:p>
            <w:pPr>
              <w:spacing w:after="0" w:line="116" w:lineRule="exact"/>
              <w:rPr>
                <w:sz w:val="20"/>
                <w:szCs w:val="20"/>
                <w:color w:val="auto"/>
              </w:rPr>
            </w:pPr>
            <w:r>
              <w:rPr>
                <w:rFonts w:ascii="Arial" w:cs="Arial" w:eastAsia="Arial" w:hAnsi="Arial"/>
                <w:sz w:val="13"/>
                <w:szCs w:val="13"/>
                <w:color w:val="auto"/>
              </w:rPr>
              <w:t>Owner occupied commercial real</w:t>
            </w:r>
          </w:p>
        </w:tc>
        <w:tc>
          <w:tcPr>
            <w:tcW w:w="6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6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auto"/>
            </w:tcBorders>
            <w:shd w:val="clear" w:color="auto" w:fill="F0FFFF"/>
          </w:tcPr>
          <w:p>
            <w:pPr>
              <w:spacing w:after="0"/>
              <w:rPr>
                <w:sz w:val="10"/>
                <w:szCs w:val="10"/>
                <w:color w:val="auto"/>
              </w:rPr>
            </w:pPr>
          </w:p>
        </w:tc>
        <w:tc>
          <w:tcPr>
            <w:tcW w:w="660" w:type="dxa"/>
            <w:vAlign w:val="bottom"/>
            <w:tcBorders>
              <w:top w:val="single" w:sz="8" w:color="auto"/>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6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auto"/>
            </w:tcBorders>
            <w:shd w:val="clear" w:color="auto" w:fill="F0FFFF"/>
          </w:tcPr>
          <w:p>
            <w:pPr>
              <w:spacing w:after="0"/>
              <w:rPr>
                <w:sz w:val="10"/>
                <w:szCs w:val="10"/>
                <w:color w:val="auto"/>
              </w:rPr>
            </w:pPr>
          </w:p>
        </w:tc>
        <w:tc>
          <w:tcPr>
            <w:tcW w:w="680" w:type="dxa"/>
            <w:vAlign w:val="bottom"/>
            <w:tcBorders>
              <w:top w:val="single" w:sz="8" w:color="auto"/>
            </w:tcBorders>
            <w:shd w:val="clear" w:color="auto" w:fill="F0FFFF"/>
          </w:tcPr>
          <w:p>
            <w:pPr>
              <w:spacing w:after="0"/>
              <w:rPr>
                <w:sz w:val="10"/>
                <w:szCs w:val="10"/>
                <w:color w:val="auto"/>
              </w:rPr>
            </w:pPr>
          </w:p>
        </w:tc>
        <w:tc>
          <w:tcPr>
            <w:tcW w:w="20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40" w:type="dxa"/>
            <w:vAlign w:val="bottom"/>
            <w:tcBorders>
              <w:top w:val="single" w:sz="8" w:color="auto"/>
            </w:tcBorders>
            <w:shd w:val="clear" w:color="auto" w:fill="F0FFFF"/>
          </w:tcPr>
          <w:p>
            <w:pPr>
              <w:spacing w:after="0"/>
              <w:rPr>
                <w:sz w:val="10"/>
                <w:szCs w:val="10"/>
                <w:color w:val="auto"/>
              </w:rPr>
            </w:pPr>
          </w:p>
        </w:tc>
        <w:tc>
          <w:tcPr>
            <w:tcW w:w="18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auto"/>
            </w:tcBorders>
            <w:shd w:val="clear" w:color="auto" w:fill="F0FFFF"/>
          </w:tcPr>
          <w:p>
            <w:pPr>
              <w:spacing w:after="0"/>
              <w:rPr>
                <w:sz w:val="10"/>
                <w:szCs w:val="10"/>
                <w:color w:val="auto"/>
              </w:rPr>
            </w:pPr>
          </w:p>
        </w:tc>
        <w:tc>
          <w:tcPr>
            <w:tcW w:w="66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80" w:type="dxa"/>
            <w:vAlign w:val="bottom"/>
            <w:tcBorders>
              <w:top w:val="single" w:sz="8" w:color="auto"/>
            </w:tcBorders>
            <w:shd w:val="clear" w:color="auto" w:fill="F0FFFF"/>
          </w:tcPr>
          <w:p>
            <w:pPr>
              <w:spacing w:after="0"/>
              <w:rPr>
                <w:sz w:val="10"/>
                <w:szCs w:val="10"/>
                <w:color w:val="auto"/>
              </w:rPr>
            </w:pPr>
          </w:p>
        </w:tc>
        <w:tc>
          <w:tcPr>
            <w:tcW w:w="640" w:type="dxa"/>
            <w:vAlign w:val="bottom"/>
            <w:tcBorders>
              <w:top w:val="single" w:sz="8" w:color="auto"/>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F0FFFF"/>
          </w:tcPr>
          <w:p>
            <w:pPr>
              <w:ind w:left="160"/>
              <w:spacing w:after="0"/>
              <w:rPr>
                <w:sz w:val="20"/>
                <w:szCs w:val="20"/>
                <w:color w:val="auto"/>
              </w:rPr>
            </w:pPr>
            <w:r>
              <w:rPr>
                <w:rFonts w:ascii="Arial" w:cs="Arial" w:eastAsia="Arial" w:hAnsi="Arial"/>
                <w:sz w:val="14"/>
                <w:szCs w:val="14"/>
                <w:color w:val="auto"/>
              </w:rPr>
              <w:t>estate</w:t>
            </w:r>
          </w:p>
        </w:tc>
        <w:tc>
          <w:tcPr>
            <w:tcW w:w="16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37,842</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1,895</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1,975</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32,748</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1,647</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4"/>
                <w:szCs w:val="14"/>
                <w:color w:val="auto"/>
              </w:rPr>
              <w:t>1,712</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180"/>
              <w:spacing w:after="0"/>
              <w:rPr>
                <w:sz w:val="20"/>
                <w:szCs w:val="20"/>
                <w:color w:val="auto"/>
              </w:rPr>
            </w:pPr>
            <w:r>
              <w:rPr>
                <w:rFonts w:ascii="Arial" w:cs="Arial" w:eastAsia="Arial" w:hAnsi="Arial"/>
                <w:sz w:val="14"/>
                <w:szCs w:val="14"/>
                <w:color w:val="auto"/>
              </w:rPr>
              <w:t>31,935</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1,923</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2,044</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6"/>
              </w:rPr>
              <w:t>Income producing commercial real</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160"/>
              <w:spacing w:after="0"/>
              <w:rPr>
                <w:sz w:val="20"/>
                <w:szCs w:val="20"/>
                <w:color w:val="auto"/>
              </w:rPr>
            </w:pPr>
            <w:r>
              <w:rPr>
                <w:rFonts w:ascii="Arial" w:cs="Arial" w:eastAsia="Arial" w:hAnsi="Arial"/>
                <w:sz w:val="14"/>
                <w:szCs w:val="14"/>
                <w:color w:val="auto"/>
              </w:rPr>
              <w:t>estate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21,889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25,920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1,270</w:t>
            </w: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1,311</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27,789</w:t>
            </w: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Commercial &amp; industrial</w:t>
            </w:r>
          </w:p>
        </w:tc>
        <w:tc>
          <w:tcPr>
            <w:tcW w:w="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4,360</w:t>
            </w: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166</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263</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4,290</w:t>
            </w: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175</w:t>
            </w:r>
          </w:p>
        </w:tc>
        <w:tc>
          <w:tcPr>
            <w:tcW w:w="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231</w:t>
            </w:r>
          </w:p>
        </w:tc>
        <w:tc>
          <w:tcPr>
            <w:tcW w:w="10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4,609</w:t>
            </w: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401</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20"/>
                <w:szCs w:val="20"/>
                <w:color w:val="auto"/>
              </w:rPr>
            </w:pPr>
            <w:r>
              <w:rPr>
                <w:rFonts w:ascii="Arial" w:cs="Arial" w:eastAsia="Arial" w:hAnsi="Arial"/>
                <w:sz w:val="14"/>
                <w:szCs w:val="14"/>
                <w:color w:val="auto"/>
              </w:rPr>
              <w:t>Commercial construction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11,920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12,156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455</w:t>
            </w: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13,946</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49"/>
        </w:trPr>
        <w:tc>
          <w:tcPr>
            <w:tcW w:w="2080" w:type="dxa"/>
            <w:vAlign w:val="bottom"/>
            <w:tcBorders>
              <w:top w:val="single" w:sz="8" w:color="F0FFFF"/>
            </w:tcBorders>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commercial</w:t>
            </w:r>
          </w:p>
        </w:tc>
        <w:tc>
          <w:tcPr>
            <w:tcW w:w="6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76,011</w:t>
            </w: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3,583</w:t>
            </w: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3,758</w:t>
            </w: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75,114</w:t>
            </w:r>
          </w:p>
        </w:tc>
        <w:tc>
          <w:tcPr>
            <w:tcW w:w="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3,547</w:t>
            </w:r>
          </w:p>
        </w:tc>
        <w:tc>
          <w:tcPr>
            <w:tcW w:w="22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3,712</w:t>
            </w:r>
          </w:p>
        </w:tc>
        <w:tc>
          <w:tcPr>
            <w:tcW w:w="2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78,279</w:t>
            </w:r>
          </w:p>
        </w:tc>
        <w:tc>
          <w:tcPr>
            <w:tcW w:w="18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66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4,587</w:t>
            </w:r>
          </w:p>
        </w:tc>
        <w:tc>
          <w:tcPr>
            <w:tcW w:w="10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5,392</w:t>
            </w:r>
          </w:p>
        </w:tc>
        <w:tc>
          <w:tcPr>
            <w:tcW w:w="100" w:type="dxa"/>
            <w:vAlign w:val="bottom"/>
            <w:tcBorders>
              <w:top w:val="single" w:sz="8" w:color="F0FFFF"/>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Residential mortgage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21,396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868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838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20,132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873</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869</w:t>
            </w: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20,906</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420</w:t>
            </w: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518</w:t>
            </w: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507</w:t>
            </w: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23</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Residential construction</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13,058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576</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575</w:t>
            </w:r>
          </w:p>
        </w:tc>
        <w:tc>
          <w:tcPr>
            <w:tcW w:w="1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14,558</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149"/>
        </w:trPr>
        <w:tc>
          <w:tcPr>
            <w:tcW w:w="208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Consumer installment</w:t>
            </w:r>
          </w:p>
        </w:tc>
        <w:tc>
          <w:tcPr>
            <w:tcW w:w="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223</w:t>
            </w: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305</w:t>
            </w:r>
          </w:p>
        </w:tc>
        <w:tc>
          <w:tcPr>
            <w:tcW w:w="12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8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F0FFFF"/>
          </w:tcPr>
          <w:p>
            <w:pPr>
              <w:spacing w:after="0"/>
              <w:rPr>
                <w:sz w:val="12"/>
                <w:szCs w:val="12"/>
                <w:color w:val="auto"/>
              </w:rPr>
            </w:pPr>
          </w:p>
        </w:tc>
        <w:tc>
          <w:tcPr>
            <w:tcW w:w="6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383</w:t>
            </w:r>
          </w:p>
        </w:tc>
        <w:tc>
          <w:tcPr>
            <w:tcW w:w="18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9"/>
        </w:trPr>
        <w:tc>
          <w:tcPr>
            <w:tcW w:w="2080" w:type="dxa"/>
            <w:vAlign w:val="bottom"/>
          </w:tcPr>
          <w:p>
            <w:pPr>
              <w:spacing w:after="0"/>
              <w:rPr>
                <w:sz w:val="20"/>
                <w:szCs w:val="20"/>
                <w:color w:val="auto"/>
              </w:rPr>
            </w:pPr>
            <w:r>
              <w:rPr>
                <w:rFonts w:ascii="Arial" w:cs="Arial" w:eastAsia="Arial" w:hAnsi="Arial"/>
                <w:sz w:val="14"/>
                <w:szCs w:val="14"/>
                <w:color w:val="auto"/>
              </w:rPr>
              <w:t>Indirect auto</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208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4"/>
                <w:szCs w:val="14"/>
                <w:color w:val="auto"/>
              </w:rPr>
              <w:t>Total</w:t>
            </w:r>
          </w:p>
        </w:tc>
        <w:tc>
          <w:tcPr>
            <w:tcW w:w="6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107,236</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4,962</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5,121</w:t>
            </w: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109,127</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5,036</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5,200</w:t>
            </w:r>
          </w:p>
        </w:tc>
        <w:tc>
          <w:tcPr>
            <w:tcW w:w="2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114,633</w:t>
            </w:r>
          </w:p>
        </w:tc>
        <w:tc>
          <w:tcPr>
            <w:tcW w:w="18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6,715</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7,524</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6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3" w:name="page94"/>
    <w:bookmarkEnd w:id="93"/>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Credit Losses, continued</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presents loans individually evaluated for impairment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332" w:type="dxa"/>
        <w:tblCellMar>
          <w:top w:w="0" w:type="dxa"/>
          <w:left w:w="0" w:type="dxa"/>
          <w:bottom w:w="0" w:type="dxa"/>
          <w:right w:w="0" w:type="dxa"/>
        </w:tblCellMar>
      </w:tblPr>
      <w:tr>
        <w:trPr>
          <w:trHeight w:val="178"/>
        </w:trPr>
        <w:tc>
          <w:tcPr>
            <w:tcW w:w="5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6"/>
          </w:tcPr>
          <w:p>
            <w:pPr>
              <w:jc w:val="center"/>
              <w:ind w:left="553"/>
              <w:spacing w:after="0"/>
              <w:rPr>
                <w:sz w:val="20"/>
                <w:szCs w:val="20"/>
                <w:color w:val="auto"/>
              </w:rPr>
            </w:pPr>
            <w:r>
              <w:rPr>
                <w:rFonts w:ascii="Arial" w:cs="Arial" w:eastAsia="Arial" w:hAnsi="Arial"/>
                <w:sz w:val="14"/>
                <w:szCs w:val="14"/>
                <w:b w:val="1"/>
                <w:bCs w:val="1"/>
                <w:color w:val="auto"/>
                <w:w w:val="91"/>
              </w:rPr>
              <w:t>December 31, 2014</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5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2"/>
              </w:rPr>
              <w:t>Unpaid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Unpaid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Allowance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for Loan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9"/>
              </w:rPr>
              <w:t>Recorded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for Loan</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78"/>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Balance</w:t>
            </w:r>
          </w:p>
        </w:tc>
        <w:tc>
          <w:tcPr>
            <w:tcW w:w="220" w:type="dxa"/>
            <w:vAlign w:val="bottom"/>
          </w:tcPr>
          <w:p>
            <w:pPr>
              <w:spacing w:after="0"/>
              <w:rPr>
                <w:sz w:val="15"/>
                <w:szCs w:val="15"/>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c>
          <w:tcPr>
            <w:tcW w:w="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Allocated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5"/>
                <w:szCs w:val="15"/>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Investment</w:t>
            </w:r>
          </w:p>
        </w:tc>
        <w:tc>
          <w:tcPr>
            <w:tcW w:w="20" w:type="dxa"/>
            <w:vAlign w:val="bottom"/>
          </w:tcPr>
          <w:p>
            <w:pPr>
              <w:spacing w:after="0"/>
              <w:rPr>
                <w:sz w:val="15"/>
                <w:szCs w:val="15"/>
                <w:color w:val="auto"/>
              </w:rPr>
            </w:pPr>
          </w:p>
        </w:tc>
        <w:tc>
          <w:tcPr>
            <w:tcW w:w="8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Allocated</w:t>
            </w:r>
          </w:p>
        </w:tc>
        <w:tc>
          <w:tcPr>
            <w:tcW w:w="0" w:type="dxa"/>
            <w:vAlign w:val="bottom"/>
          </w:tcPr>
          <w:p>
            <w:pPr>
              <w:spacing w:after="0"/>
              <w:rPr>
                <w:sz w:val="1"/>
                <w:szCs w:val="1"/>
                <w:color w:val="auto"/>
              </w:rPr>
            </w:pPr>
          </w:p>
        </w:tc>
      </w:tr>
      <w:tr>
        <w:trPr>
          <w:trHeight w:val="216"/>
        </w:trPr>
        <w:tc>
          <w:tcPr>
            <w:tcW w:w="50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With no related allowance recorded:</w:t>
            </w:r>
          </w:p>
        </w:tc>
        <w:tc>
          <w:tcPr>
            <w:tcW w:w="10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14,793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14,460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12,025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11,325</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13,044</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12,827</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8,311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8,311</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1,042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construction</w:t>
            </w:r>
          </w:p>
        </w:tc>
        <w:tc>
          <w:tcPr>
            <w:tcW w:w="100" w:type="dxa"/>
            <w:vAlign w:val="bottom"/>
            <w:shd w:val="clear" w:color="auto" w:fill="F0FFFF"/>
          </w:tcPr>
          <w:p>
            <w:pPr>
              <w:spacing w:after="0"/>
              <w:rPr>
                <w:sz w:val="21"/>
                <w:szCs w:val="21"/>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040" w:type="dxa"/>
            <w:vAlign w:val="bottom"/>
            <w:tcBorders>
              <w:top w:val="single" w:sz="8" w:color="F0FFFF"/>
            </w:tcBorders>
          </w:tcPr>
          <w:p>
            <w:pPr>
              <w:ind w:left="320"/>
              <w:spacing w:after="0" w:line="203" w:lineRule="exact"/>
              <w:rPr>
                <w:sz w:val="20"/>
                <w:szCs w:val="20"/>
                <w:color w:val="auto"/>
              </w:rPr>
            </w:pPr>
            <w:r>
              <w:rPr>
                <w:rFonts w:ascii="Arial" w:cs="Arial" w:eastAsia="Arial" w:hAnsi="Arial"/>
                <w:sz w:val="18"/>
                <w:szCs w:val="18"/>
                <w:color w:val="auto"/>
              </w:rPr>
              <w:t>Total commercial</w:t>
            </w: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28,330</w:t>
            </w:r>
          </w:p>
        </w:tc>
        <w:tc>
          <w:tcPr>
            <w:tcW w:w="2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27,756</w:t>
            </w:r>
          </w:p>
        </w:tc>
        <w:tc>
          <w:tcPr>
            <w:tcW w:w="20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22,015</w:t>
            </w: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20,678</w:t>
            </w:r>
          </w:p>
        </w:tc>
        <w:tc>
          <w:tcPr>
            <w:tcW w:w="220" w:type="dxa"/>
            <w:vAlign w:val="bottom"/>
            <w:tcBorders>
              <w:top w:val="single" w:sz="8" w:color="F0FFFF"/>
            </w:tcBorders>
          </w:tcPr>
          <w:p>
            <w:pPr>
              <w:spacing w:after="0"/>
              <w:rPr>
                <w:sz w:val="17"/>
                <w:szCs w:val="17"/>
                <w:color w:val="auto"/>
              </w:rPr>
            </w:pPr>
          </w:p>
        </w:tc>
        <w:tc>
          <w:tcPr>
            <w:tcW w:w="20" w:type="dxa"/>
            <w:vAlign w:val="bottom"/>
            <w:tcBorders>
              <w:top w:val="single" w:sz="8" w:color="F0FF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791</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2,569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1,472</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Arial" w:cs="Arial" w:eastAsia="Arial" w:hAnsi="Arial"/>
                <w:sz w:val="18"/>
                <w:szCs w:val="18"/>
                <w:color w:val="auto"/>
              </w:rPr>
              <w:t>Home equity lines of credit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construction</w:t>
            </w: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3,731</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3,429</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4,338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3,338</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Indirect auto</w:t>
            </w:r>
          </w:p>
        </w:tc>
        <w:tc>
          <w:tcPr>
            <w:tcW w:w="100" w:type="dxa"/>
            <w:vAlign w:val="bottom"/>
            <w:shd w:val="clear" w:color="auto" w:fill="F0FFFF"/>
          </w:tcPr>
          <w:p>
            <w:pPr>
              <w:spacing w:after="0"/>
              <w:rPr>
                <w:sz w:val="21"/>
                <w:szCs w:val="21"/>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F0FFFF"/>
          </w:tcPr>
          <w:p>
            <w:pPr>
              <w:spacing w:after="0"/>
              <w:rPr>
                <w:sz w:val="21"/>
                <w:szCs w:val="21"/>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F0FFFF"/>
              <w:bottom w:val="single" w:sz="8" w:color="F0FFFF"/>
            </w:tcBorders>
          </w:tcPr>
          <w:p>
            <w:pPr>
              <w:ind w:left="320"/>
              <w:spacing w:after="0" w:line="203" w:lineRule="exact"/>
              <w:rPr>
                <w:sz w:val="20"/>
                <w:szCs w:val="20"/>
                <w:color w:val="auto"/>
              </w:rPr>
            </w:pPr>
            <w:r>
              <w:rPr>
                <w:rFonts w:ascii="Arial" w:cs="Arial" w:eastAsia="Arial" w:hAnsi="Arial"/>
                <w:sz w:val="18"/>
                <w:szCs w:val="18"/>
                <w:color w:val="auto"/>
              </w:rPr>
              <w:t>Total with no related allowance recorded</w:t>
            </w: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33,601</w:t>
            </w:r>
          </w:p>
        </w:tc>
        <w:tc>
          <w:tcPr>
            <w:tcW w:w="2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32,725</w:t>
            </w:r>
          </w:p>
        </w:tc>
        <w:tc>
          <w:tcPr>
            <w:tcW w:w="2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F0FFFF"/>
              <w:bottom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28,922</w:t>
            </w:r>
          </w:p>
        </w:tc>
        <w:tc>
          <w:tcPr>
            <w:tcW w:w="10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F0FFFF"/>
              <w:bottom w:val="single" w:sz="8" w:color="F0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25,488</w:t>
            </w:r>
          </w:p>
        </w:tc>
        <w:tc>
          <w:tcPr>
            <w:tcW w:w="220" w:type="dxa"/>
            <w:vAlign w:val="bottom"/>
            <w:tcBorders>
              <w:top w:val="single" w:sz="8" w:color="F0FFFF"/>
              <w:bottom w:val="single" w:sz="8" w:color="F0FFFF"/>
            </w:tcBorders>
          </w:tcPr>
          <w:p>
            <w:pPr>
              <w:spacing w:after="0"/>
              <w:rPr>
                <w:sz w:val="18"/>
                <w:szCs w:val="18"/>
                <w:color w:val="auto"/>
              </w:rPr>
            </w:pPr>
          </w:p>
        </w:tc>
        <w:tc>
          <w:tcPr>
            <w:tcW w:w="20" w:type="dxa"/>
            <w:vAlign w:val="bottom"/>
            <w:tcBorders>
              <w:top w:val="single" w:sz="8" w:color="F0FFFF"/>
              <w:bottom w:val="single" w:sz="8" w:color="F0FF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F0FFFF"/>
              <w:bottom w:val="single" w:sz="8" w:color="F0FFFF"/>
            </w:tcBorders>
          </w:tcPr>
          <w:p>
            <w:pPr>
              <w:spacing w:after="0"/>
              <w:rPr>
                <w:sz w:val="18"/>
                <w:szCs w:val="18"/>
                <w:color w:val="auto"/>
              </w:rPr>
            </w:pPr>
          </w:p>
        </w:tc>
        <w:tc>
          <w:tcPr>
            <w:tcW w:w="80" w:type="dxa"/>
            <w:vAlign w:val="bottom"/>
            <w:tcBorders>
              <w:top w:val="single" w:sz="8" w:color="F0FFFF"/>
              <w:bottom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6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With an allowance recorded: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24,043</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23,808</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24,728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23,329</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2,737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10,186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16,173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2,957</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2,936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2,935</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10,787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10,616</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12,401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12,321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tcBorders>
              <w:top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10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48,068</w:t>
            </w:r>
          </w:p>
        </w:tc>
        <w:tc>
          <w:tcPr>
            <w:tcW w:w="2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47,480</w:t>
            </w:r>
          </w:p>
        </w:tc>
        <w:tc>
          <w:tcPr>
            <w:tcW w:w="2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2,719</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6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56,417</w:t>
            </w: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6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54,758</w:t>
            </w:r>
          </w:p>
        </w:tc>
        <w:tc>
          <w:tcPr>
            <w:tcW w:w="22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auto"/>
            </w:tcBorders>
            <w:shd w:val="clear" w:color="auto" w:fill="F0FFFF"/>
          </w:tcPr>
          <w:p>
            <w:pPr>
              <w:spacing w:after="0"/>
              <w:rPr>
                <w:sz w:val="18"/>
                <w:szCs w:val="18"/>
                <w:color w:val="auto"/>
              </w:rPr>
            </w:pPr>
          </w:p>
        </w:tc>
        <w:tc>
          <w:tcPr>
            <w:tcW w:w="6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5,398</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18,836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17,303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Home equity lines of credit</w:t>
            </w: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478</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8,962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8,266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Consumer installment</w:t>
            </w:r>
          </w:p>
        </w:tc>
        <w:tc>
          <w:tcPr>
            <w:tcW w:w="100" w:type="dxa"/>
            <w:vAlign w:val="bottom"/>
            <w:shd w:val="clear" w:color="auto" w:fill="F0FFFF"/>
          </w:tcPr>
          <w:p>
            <w:pPr>
              <w:spacing w:after="0"/>
              <w:rPr>
                <w:sz w:val="18"/>
                <w:szCs w:val="18"/>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354</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F0FFFF"/>
          </w:tcPr>
          <w:p>
            <w:pPr>
              <w:spacing w:after="0"/>
              <w:rPr>
                <w:sz w:val="18"/>
                <w:szCs w:val="18"/>
                <w:color w:val="auto"/>
              </w:rPr>
            </w:pP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040" w:type="dxa"/>
            <w:vAlign w:val="bottom"/>
            <w:tcBorders>
              <w:top w:val="single" w:sz="8" w:color="F0FFFF"/>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with an allowance recorded</w:t>
            </w: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72,789</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71,283</w:t>
            </w:r>
          </w:p>
        </w:tc>
        <w:tc>
          <w:tcPr>
            <w:tcW w:w="2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6,797</w:t>
            </w: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spacing w:after="0"/>
              <w:rPr>
                <w:sz w:val="20"/>
                <w:szCs w:val="20"/>
                <w:color w:val="auto"/>
              </w:rPr>
            </w:pPr>
          </w:p>
        </w:tc>
        <w:tc>
          <w:tcPr>
            <w:tcW w:w="6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83,768</w:t>
            </w:r>
          </w:p>
        </w:tc>
        <w:tc>
          <w:tcPr>
            <w:tcW w:w="10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F0FFFF"/>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spacing w:after="0"/>
              <w:rPr>
                <w:sz w:val="20"/>
                <w:szCs w:val="20"/>
                <w:color w:val="auto"/>
              </w:rPr>
            </w:pP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80,984</w:t>
            </w:r>
          </w:p>
        </w:tc>
        <w:tc>
          <w:tcPr>
            <w:tcW w:w="220" w:type="dxa"/>
            <w:vAlign w:val="bottom"/>
            <w:tcBorders>
              <w:top w:val="single" w:sz="8" w:color="F0FFFF"/>
              <w:bottom w:val="single" w:sz="8" w:color="F0FFFF"/>
            </w:tcBorders>
            <w:shd w:val="clear" w:color="auto" w:fill="F0FFFF"/>
          </w:tcPr>
          <w:p>
            <w:pPr>
              <w:spacing w:after="0"/>
              <w:rPr>
                <w:sz w:val="20"/>
                <w:szCs w:val="20"/>
                <w:color w:val="auto"/>
              </w:rPr>
            </w:pP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60" w:type="dxa"/>
            <w:vAlign w:val="bottom"/>
            <w:tcBorders>
              <w:top w:val="single" w:sz="8" w:color="auto"/>
              <w:bottom w:val="single" w:sz="8" w:color="auto"/>
            </w:tcBorders>
            <w:shd w:val="clear" w:color="auto" w:fill="F0FFFF"/>
          </w:tcPr>
          <w:p>
            <w:pPr>
              <w:spacing w:after="0"/>
              <w:rPr>
                <w:sz w:val="20"/>
                <w:szCs w:val="20"/>
                <w:color w:val="auto"/>
              </w:rPr>
            </w:pP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9,882</w:t>
            </w:r>
          </w:p>
        </w:tc>
        <w:tc>
          <w:tcPr>
            <w:tcW w:w="20" w:type="dxa"/>
            <w:vAlign w:val="bottom"/>
            <w:tcBorders>
              <w:top w:val="single" w:sz="8" w:color="F0FFFF"/>
              <w:bottom w:val="single" w:sz="8" w:color="F0FFFF"/>
            </w:tcBorders>
            <w:shd w:val="clear" w:color="auto" w:fill="F0FFFF"/>
          </w:tcPr>
          <w:p>
            <w:pPr>
              <w:spacing w:after="0"/>
              <w:rPr>
                <w:sz w:val="20"/>
                <w:szCs w:val="20"/>
                <w:color w:val="auto"/>
              </w:rPr>
            </w:pPr>
          </w:p>
        </w:tc>
        <w:tc>
          <w:tcPr>
            <w:tcW w:w="80" w:type="dxa"/>
            <w:vAlign w:val="bottom"/>
            <w:tcBorders>
              <w:top w:val="single" w:sz="8" w:color="F0FFFF"/>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5040" w:type="dxa"/>
            <w:vAlign w:val="bottom"/>
          </w:tcPr>
          <w:p>
            <w:pPr>
              <w:ind w:left="4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106,390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104,008</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112,690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106,472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32"/>
        <w:spacing w:after="0" w:line="255" w:lineRule="auto"/>
        <w:rPr>
          <w:sz w:val="20"/>
          <w:szCs w:val="20"/>
          <w:color w:val="auto"/>
        </w:rPr>
      </w:pPr>
      <w:r>
        <w:rPr>
          <w:rFonts w:ascii="Arial" w:cs="Arial" w:eastAsia="Arial" w:hAnsi="Arial"/>
          <w:sz w:val="18"/>
          <w:szCs w:val="18"/>
          <w:color w:val="auto"/>
        </w:rPr>
        <w:t>Excluding PCI loans, there were no loans more than 90 days past due and still accruing interest at December 31, 2015 and 2014.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93" w:lineRule="exact"/>
        <w:rPr>
          <w:sz w:val="20"/>
          <w:szCs w:val="20"/>
          <w:color w:val="auto"/>
        </w:rPr>
      </w:pPr>
    </w:p>
    <w:p>
      <w:pPr>
        <w:jc w:val="both"/>
        <w:ind w:left="332"/>
        <w:spacing w:after="0" w:line="272" w:lineRule="auto"/>
        <w:rPr>
          <w:sz w:val="20"/>
          <w:szCs w:val="20"/>
          <w:color w:val="auto"/>
        </w:rPr>
      </w:pPr>
      <w:r>
        <w:rPr>
          <w:rFonts w:ascii="Arial" w:cs="Arial" w:eastAsia="Arial" w:hAnsi="Arial"/>
          <w:sz w:val="17"/>
          <w:szCs w:val="17"/>
          <w:color w:val="auto"/>
        </w:rPr>
        <w:t>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Loans accounted for under ASC 310-30 were not classified as nonaccrual at December 31, 2015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acquired loans being accounted for under ASC 310-30.</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94" w:name="page95"/>
    <w:bookmarkEnd w:id="94"/>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Credit Losses, continued</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7"/>
          <w:szCs w:val="17"/>
          <w:color w:val="auto"/>
        </w:rPr>
        <w:t xml:space="preserve">The following table presents the recorded investment (unpaid principal less amounts charged-off) in nonaccrual loans by loan class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1132"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2440" w:type="dxa"/>
            <w:vAlign w:val="bottom"/>
            <w:gridSpan w:val="2"/>
            <w:shd w:val="clear" w:color="auto" w:fill="F0FFFF"/>
          </w:tcPr>
          <w:p>
            <w:pPr>
              <w:jc w:val="right"/>
              <w:ind w:right="679"/>
              <w:spacing w:after="0"/>
              <w:rPr>
                <w:sz w:val="20"/>
                <w:szCs w:val="20"/>
                <w:color w:val="auto"/>
              </w:rPr>
            </w:pPr>
            <w:r>
              <w:rPr>
                <w:rFonts w:ascii="Arial" w:cs="Arial" w:eastAsia="Arial" w:hAnsi="Arial"/>
                <w:sz w:val="18"/>
                <w:szCs w:val="18"/>
                <w:color w:val="auto"/>
              </w:rPr>
              <w:t>$</w:t>
            </w: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7,036</w:t>
            </w:r>
          </w:p>
        </w:tc>
        <w:tc>
          <w:tcPr>
            <w:tcW w:w="580" w:type="dxa"/>
            <w:vAlign w:val="bottom"/>
            <w:gridSpan w:val="2"/>
            <w:shd w:val="clear" w:color="auto" w:fill="F0FFFF"/>
          </w:tcPr>
          <w:p>
            <w:pPr>
              <w:jc w:val="right"/>
              <w:ind w:right="265"/>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4,133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2,595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5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1,571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Commercial construction</w:t>
            </w:r>
          </w:p>
        </w:tc>
        <w:tc>
          <w:tcPr>
            <w:tcW w:w="1580" w:type="dxa"/>
            <w:vAlign w:val="bottom"/>
            <w:tcBorders>
              <w:bottom w:val="single" w:sz="8" w:color="F0FF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60" w:type="dxa"/>
            <w:vAlign w:val="bottom"/>
            <w:tcBorders>
              <w:bottom w:val="single" w:sz="8" w:color="F0FF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15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4"/>
              </w:rPr>
              <w:t>10,851</w:t>
            </w:r>
          </w:p>
        </w:tc>
        <w:tc>
          <w:tcPr>
            <w:tcW w:w="1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6,504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Residential mortgage</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8,555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5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851</w:t>
            </w:r>
          </w:p>
        </w:tc>
        <w:tc>
          <w:tcPr>
            <w:tcW w:w="1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5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Indirect auto</w:t>
            </w:r>
          </w:p>
        </w:tc>
        <w:tc>
          <w:tcPr>
            <w:tcW w:w="1580" w:type="dxa"/>
            <w:vAlign w:val="bottom"/>
            <w:tcBorders>
              <w:bottom w:val="single" w:sz="8" w:color="F0FF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160" w:type="dxa"/>
            <w:vAlign w:val="bottom"/>
            <w:tcBorders>
              <w:bottom w:val="single" w:sz="8" w:color="F0FF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454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ind w:right="67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4"/>
              </w:rPr>
              <w:t>22,653</w:t>
            </w:r>
          </w:p>
        </w:tc>
        <w:tc>
          <w:tcPr>
            <w:tcW w:w="160" w:type="dxa"/>
            <w:vAlign w:val="bottom"/>
            <w:tcBorders>
              <w:bottom w:val="single" w:sz="8" w:color="F0FFFF"/>
            </w:tcBorders>
            <w:shd w:val="clear" w:color="auto" w:fill="F0FFFF"/>
          </w:tcPr>
          <w:p>
            <w:pPr>
              <w:spacing w:after="0"/>
              <w:rPr>
                <w:sz w:val="21"/>
                <w:szCs w:val="21"/>
                <w:color w:val="auto"/>
              </w:rPr>
            </w:pPr>
          </w:p>
        </w:tc>
        <w:tc>
          <w:tcPr>
            <w:tcW w:w="420" w:type="dxa"/>
            <w:vAlign w:val="bottom"/>
            <w:tcBorders>
              <w:bottom w:val="single" w:sz="8" w:color="auto"/>
            </w:tcBorders>
            <w:shd w:val="clear" w:color="auto" w:fill="F0FF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17,881</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F0FFFF"/>
            </w:tcBorders>
          </w:tcPr>
          <w:p>
            <w:pPr>
              <w:spacing w:after="0" w:line="20" w:lineRule="exact"/>
              <w:rPr>
                <w:sz w:val="1"/>
                <w:szCs w:val="1"/>
                <w:color w:val="auto"/>
              </w:rPr>
            </w:pPr>
          </w:p>
        </w:tc>
        <w:tc>
          <w:tcPr>
            <w:tcW w:w="1580" w:type="dxa"/>
            <w:vAlign w:val="bottom"/>
            <w:tcBorders>
              <w:top w:val="single" w:sz="8" w:color="F0FFFF"/>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5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42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 xml:space="preserve">The following table presents the aging of the recorded investment in past due loans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332"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Loans Past Due</w:t>
            </w: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Loans Not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18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30 - 59 Days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60 - 89 Days</w:t>
            </w:r>
          </w:p>
        </w:tc>
        <w:tc>
          <w:tcPr>
            <w:tcW w:w="8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&gt; 90 Days</w:t>
            </w:r>
          </w:p>
        </w:tc>
        <w:tc>
          <w:tcPr>
            <w:tcW w:w="160" w:type="dxa"/>
            <w:vAlign w:val="bottom"/>
          </w:tcPr>
          <w:p>
            <w:pPr>
              <w:spacing w:after="0"/>
              <w:rPr>
                <w:sz w:val="14"/>
                <w:szCs w:val="14"/>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Past Due</w:t>
            </w:r>
          </w:p>
        </w:tc>
        <w:tc>
          <w:tcPr>
            <w:tcW w:w="10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PCI Loans</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r>
      <w:tr>
        <w:trPr>
          <w:trHeight w:val="176"/>
        </w:trPr>
        <w:tc>
          <w:tcPr>
            <w:tcW w:w="4080" w:type="dxa"/>
            <w:vAlign w:val="bottom"/>
            <w:tcBorders>
              <w:top w:val="single" w:sz="8" w:color="F0FFFF"/>
            </w:tcBorders>
            <w:gridSpan w:val="2"/>
            <w:shd w:val="clear" w:color="auto" w:fill="F0FFFF"/>
          </w:tcPr>
          <w:p>
            <w:pPr>
              <w:spacing w:after="0" w:line="176" w:lineRule="exact"/>
              <w:rPr>
                <w:sz w:val="20"/>
                <w:szCs w:val="20"/>
                <w:color w:val="auto"/>
              </w:rPr>
            </w:pPr>
            <w:r>
              <w:rPr>
                <w:rFonts w:ascii="Arial" w:cs="Arial" w:eastAsia="Arial" w:hAnsi="Arial"/>
                <w:sz w:val="18"/>
                <w:szCs w:val="18"/>
                <w:b w:val="1"/>
                <w:bCs w:val="1"/>
                <w:color w:val="auto"/>
              </w:rPr>
              <w:t>As of December 31, 2015</w:t>
            </w:r>
          </w:p>
        </w:tc>
        <w:tc>
          <w:tcPr>
            <w:tcW w:w="180" w:type="dxa"/>
            <w:vAlign w:val="bottom"/>
            <w:tcBorders>
              <w:top w:val="single" w:sz="8" w:color="auto"/>
            </w:tcBorders>
            <w:shd w:val="clear" w:color="auto" w:fill="F0FFFF"/>
          </w:tcPr>
          <w:p>
            <w:pPr>
              <w:spacing w:after="0"/>
              <w:rPr>
                <w:sz w:val="15"/>
                <w:szCs w:val="15"/>
                <w:color w:val="auto"/>
              </w:rPr>
            </w:pPr>
          </w:p>
        </w:tc>
        <w:tc>
          <w:tcPr>
            <w:tcW w:w="600" w:type="dxa"/>
            <w:vAlign w:val="bottom"/>
            <w:tcBorders>
              <w:top w:val="single" w:sz="8" w:color="auto"/>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200" w:type="dxa"/>
            <w:vAlign w:val="bottom"/>
            <w:tcBorders>
              <w:top w:val="single" w:sz="8" w:color="auto"/>
            </w:tcBorders>
            <w:shd w:val="clear" w:color="auto" w:fill="F0FFFF"/>
          </w:tcPr>
          <w:p>
            <w:pPr>
              <w:spacing w:after="0"/>
              <w:rPr>
                <w:sz w:val="15"/>
                <w:szCs w:val="15"/>
                <w:color w:val="auto"/>
              </w:rPr>
            </w:pPr>
          </w:p>
        </w:tc>
        <w:tc>
          <w:tcPr>
            <w:tcW w:w="56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80" w:type="dxa"/>
            <w:vAlign w:val="bottom"/>
            <w:tcBorders>
              <w:top w:val="single" w:sz="8" w:color="F0FFFF"/>
            </w:tcBorders>
            <w:shd w:val="clear" w:color="auto" w:fill="F0FFFF"/>
          </w:tcPr>
          <w:p>
            <w:pPr>
              <w:spacing w:after="0"/>
              <w:rPr>
                <w:sz w:val="15"/>
                <w:szCs w:val="15"/>
                <w:color w:val="auto"/>
              </w:rPr>
            </w:pPr>
          </w:p>
        </w:tc>
        <w:tc>
          <w:tcPr>
            <w:tcW w:w="340" w:type="dxa"/>
            <w:vAlign w:val="bottom"/>
            <w:tcBorders>
              <w:top w:val="single" w:sz="8" w:color="auto"/>
            </w:tcBorders>
            <w:shd w:val="clear" w:color="auto" w:fill="F0FFFF"/>
          </w:tcPr>
          <w:p>
            <w:pPr>
              <w:spacing w:after="0"/>
              <w:rPr>
                <w:sz w:val="15"/>
                <w:szCs w:val="15"/>
                <w:color w:val="auto"/>
              </w:rPr>
            </w:pPr>
          </w:p>
        </w:tc>
        <w:tc>
          <w:tcPr>
            <w:tcW w:w="400" w:type="dxa"/>
            <w:vAlign w:val="bottom"/>
            <w:tcBorders>
              <w:top w:val="single" w:sz="8" w:color="auto"/>
            </w:tcBorders>
            <w:shd w:val="clear" w:color="auto" w:fill="F0FFFF"/>
          </w:tcPr>
          <w:p>
            <w:pPr>
              <w:spacing w:after="0"/>
              <w:rPr>
                <w:sz w:val="15"/>
                <w:szCs w:val="15"/>
                <w:color w:val="auto"/>
              </w:rPr>
            </w:pPr>
          </w:p>
        </w:tc>
        <w:tc>
          <w:tcPr>
            <w:tcW w:w="180" w:type="dxa"/>
            <w:vAlign w:val="bottom"/>
            <w:tcBorders>
              <w:top w:val="single" w:sz="8" w:color="F0FFFF"/>
            </w:tcBorders>
            <w:shd w:val="clear" w:color="auto" w:fill="F0FFFF"/>
          </w:tcPr>
          <w:p>
            <w:pPr>
              <w:spacing w:after="0"/>
              <w:rPr>
                <w:sz w:val="15"/>
                <w:szCs w:val="15"/>
                <w:color w:val="auto"/>
              </w:rPr>
            </w:pPr>
          </w:p>
        </w:tc>
        <w:tc>
          <w:tcPr>
            <w:tcW w:w="160" w:type="dxa"/>
            <w:vAlign w:val="bottom"/>
            <w:tcBorders>
              <w:top w:val="single" w:sz="8" w:color="auto"/>
            </w:tcBorders>
            <w:shd w:val="clear" w:color="auto" w:fill="F0FFFF"/>
          </w:tcPr>
          <w:p>
            <w:pPr>
              <w:spacing w:after="0"/>
              <w:rPr>
                <w:sz w:val="15"/>
                <w:szCs w:val="15"/>
                <w:color w:val="auto"/>
              </w:rPr>
            </w:pPr>
          </w:p>
        </w:tc>
        <w:tc>
          <w:tcPr>
            <w:tcW w:w="580" w:type="dxa"/>
            <w:vAlign w:val="bottom"/>
            <w:tcBorders>
              <w:top w:val="single" w:sz="8" w:color="auto"/>
            </w:tcBorders>
            <w:shd w:val="clear" w:color="auto" w:fill="F0FFFF"/>
          </w:tcPr>
          <w:p>
            <w:pPr>
              <w:spacing w:after="0"/>
              <w:rPr>
                <w:sz w:val="15"/>
                <w:szCs w:val="15"/>
                <w:color w:val="auto"/>
              </w:rPr>
            </w:pPr>
          </w:p>
        </w:tc>
        <w:tc>
          <w:tcPr>
            <w:tcW w:w="180" w:type="dxa"/>
            <w:vAlign w:val="bottom"/>
            <w:tcBorders>
              <w:top w:val="single" w:sz="8" w:color="F0FFFF"/>
            </w:tcBorders>
            <w:shd w:val="clear" w:color="auto" w:fill="F0FFFF"/>
          </w:tcPr>
          <w:p>
            <w:pPr>
              <w:spacing w:after="0"/>
              <w:rPr>
                <w:sz w:val="15"/>
                <w:szCs w:val="15"/>
                <w:color w:val="auto"/>
              </w:rPr>
            </w:pPr>
          </w:p>
        </w:tc>
        <w:tc>
          <w:tcPr>
            <w:tcW w:w="82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c>
          <w:tcPr>
            <w:tcW w:w="160" w:type="dxa"/>
            <w:vAlign w:val="bottom"/>
            <w:tcBorders>
              <w:top w:val="single" w:sz="8" w:color="auto"/>
            </w:tcBorders>
            <w:shd w:val="clear" w:color="auto" w:fill="F0FFFF"/>
          </w:tcPr>
          <w:p>
            <w:pPr>
              <w:spacing w:after="0"/>
              <w:rPr>
                <w:sz w:val="15"/>
                <w:szCs w:val="15"/>
                <w:color w:val="auto"/>
              </w:rPr>
            </w:pPr>
          </w:p>
        </w:tc>
        <w:tc>
          <w:tcPr>
            <w:tcW w:w="560" w:type="dxa"/>
            <w:vAlign w:val="bottom"/>
            <w:tcBorders>
              <w:top w:val="single" w:sz="8" w:color="auto"/>
            </w:tcBorders>
            <w:shd w:val="clear" w:color="auto" w:fill="F0FFFF"/>
          </w:tcPr>
          <w:p>
            <w:pPr>
              <w:spacing w:after="0"/>
              <w:rPr>
                <w:sz w:val="15"/>
                <w:szCs w:val="15"/>
                <w:color w:val="auto"/>
              </w:rPr>
            </w:pPr>
          </w:p>
        </w:tc>
        <w:tc>
          <w:tcPr>
            <w:tcW w:w="200" w:type="dxa"/>
            <w:vAlign w:val="bottom"/>
            <w:tcBorders>
              <w:top w:val="single" w:sz="8" w:color="F0FFFF"/>
            </w:tcBorders>
            <w:shd w:val="clear" w:color="auto" w:fill="F0FFFF"/>
          </w:tcPr>
          <w:p>
            <w:pPr>
              <w:spacing w:after="0"/>
              <w:rPr>
                <w:sz w:val="15"/>
                <w:szCs w:val="15"/>
                <w:color w:val="auto"/>
              </w:rPr>
            </w:pPr>
          </w:p>
        </w:tc>
        <w:tc>
          <w:tcPr>
            <w:tcW w:w="820" w:type="dxa"/>
            <w:vAlign w:val="bottom"/>
            <w:tcBorders>
              <w:top w:val="single" w:sz="8" w:color="auto"/>
            </w:tcBorders>
            <w:shd w:val="clear" w:color="auto" w:fill="F0FFFF"/>
          </w:tcPr>
          <w:p>
            <w:pPr>
              <w:spacing w:after="0"/>
              <w:rPr>
                <w:sz w:val="15"/>
                <w:szCs w:val="15"/>
                <w:color w:val="auto"/>
              </w:rPr>
            </w:pPr>
          </w:p>
        </w:tc>
        <w:tc>
          <w:tcPr>
            <w:tcW w:w="100" w:type="dxa"/>
            <w:vAlign w:val="bottom"/>
            <w:tcBorders>
              <w:top w:val="single" w:sz="8" w:color="F0FFFF"/>
            </w:tcBorders>
            <w:shd w:val="clear" w:color="auto" w:fill="F0FFFF"/>
          </w:tcPr>
          <w:p>
            <w:pPr>
              <w:spacing w:after="0"/>
              <w:rPr>
                <w:sz w:val="15"/>
                <w:szCs w:val="15"/>
                <w:color w:val="auto"/>
              </w:rPr>
            </w:pPr>
          </w:p>
        </w:tc>
      </w:tr>
      <w:tr>
        <w:trPr>
          <w:trHeight w:val="21"/>
        </w:trPr>
        <w:tc>
          <w:tcPr>
            <w:tcW w:w="1880" w:type="dxa"/>
            <w:vAlign w:val="bottom"/>
            <w:tcBorders>
              <w:top w:val="single" w:sz="8" w:color="auto"/>
            </w:tcBorders>
            <w:shd w:val="clear" w:color="auto" w:fill="F0FFFF"/>
          </w:tcPr>
          <w:p>
            <w:pPr>
              <w:spacing w:after="0" w:line="20" w:lineRule="exact"/>
              <w:rPr>
                <w:sz w:val="1"/>
                <w:szCs w:val="1"/>
                <w:color w:val="auto"/>
              </w:rPr>
            </w:pPr>
          </w:p>
        </w:tc>
        <w:tc>
          <w:tcPr>
            <w:tcW w:w="22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6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56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5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56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Owner occupied commercial real estate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3,733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1,686</w:t>
            </w:r>
          </w:p>
        </w:tc>
        <w:tc>
          <w:tcPr>
            <w:tcW w:w="420" w:type="dxa"/>
            <w:vAlign w:val="bottom"/>
            <w:gridSpan w:val="2"/>
          </w:tcPr>
          <w:p>
            <w:pPr>
              <w:jc w:val="right"/>
              <w:ind w:right="15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1,400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6,819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$1,473,473</w:t>
            </w:r>
          </w:p>
        </w:tc>
        <w:tc>
          <w:tcPr>
            <w:tcW w:w="2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13,674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$1,493,966</w:t>
            </w:r>
          </w:p>
        </w:tc>
      </w:tr>
      <w:tr>
        <w:trPr>
          <w:trHeight w:val="216"/>
        </w:trPr>
        <w:tc>
          <w:tcPr>
            <w:tcW w:w="4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1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204</w:t>
            </w:r>
          </w:p>
        </w:tc>
        <w:tc>
          <w:tcPr>
            <w:tcW w:w="20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5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1,855</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794,103</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w w:val="98"/>
              </w:rPr>
              <w:t>27,771</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823,729</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1,435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783,327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655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785,417</w:t>
            </w:r>
          </w:p>
        </w:tc>
      </w:tr>
      <w:tr>
        <w:trPr>
          <w:trHeight w:val="250"/>
        </w:trPr>
        <w:tc>
          <w:tcPr>
            <w:tcW w:w="4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18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159</w:t>
            </w:r>
          </w:p>
        </w:tc>
        <w:tc>
          <w:tcPr>
            <w:tcW w:w="200" w:type="dxa"/>
            <w:vAlign w:val="bottom"/>
            <w:shd w:val="clear" w:color="auto" w:fill="F0FFFF"/>
          </w:tcPr>
          <w:p>
            <w:pPr>
              <w:spacing w:after="0"/>
              <w:rPr>
                <w:sz w:val="21"/>
                <w:szCs w:val="21"/>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w:t>
            </w:r>
          </w:p>
        </w:tc>
        <w:tc>
          <w:tcPr>
            <w:tcW w:w="1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235</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339,701</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2,142</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342,078</w:t>
            </w:r>
          </w:p>
        </w:tc>
      </w:tr>
      <w:tr>
        <w:trPr>
          <w:trHeight w:val="203"/>
        </w:trPr>
        <w:tc>
          <w:tcPr>
            <w:tcW w:w="4080" w:type="dxa"/>
            <w:vAlign w:val="bottom"/>
            <w:tcBorders>
              <w:top w:val="single" w:sz="8" w:color="F0FFFF"/>
            </w:tcBorders>
            <w:gridSpan w:val="2"/>
          </w:tcPr>
          <w:p>
            <w:pPr>
              <w:ind w:left="160"/>
              <w:spacing w:after="0" w:line="203" w:lineRule="exact"/>
              <w:rPr>
                <w:sz w:val="20"/>
                <w:szCs w:val="20"/>
                <w:color w:val="auto"/>
              </w:rPr>
            </w:pPr>
            <w:r>
              <w:rPr>
                <w:rFonts w:ascii="Arial" w:cs="Arial" w:eastAsia="Arial" w:hAnsi="Arial"/>
                <w:sz w:val="18"/>
                <w:szCs w:val="18"/>
                <w:color w:val="auto"/>
              </w:rPr>
              <w:t>Total commercial</w:t>
            </w:r>
          </w:p>
        </w:tc>
        <w:tc>
          <w:tcPr>
            <w:tcW w:w="1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4,954</w:t>
            </w:r>
          </w:p>
        </w:tc>
        <w:tc>
          <w:tcPr>
            <w:tcW w:w="2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2,804</w:t>
            </w:r>
          </w:p>
        </w:tc>
        <w:tc>
          <w:tcPr>
            <w:tcW w:w="10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2,586</w:t>
            </w:r>
          </w:p>
        </w:tc>
        <w:tc>
          <w:tcPr>
            <w:tcW w:w="18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10,344</w:t>
            </w:r>
          </w:p>
        </w:tc>
        <w:tc>
          <w:tcPr>
            <w:tcW w:w="180" w:type="dxa"/>
            <w:vAlign w:val="bottom"/>
            <w:tcBorders>
              <w:top w:val="single" w:sz="8" w:color="F0FF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3,390,604</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44,242</w:t>
            </w:r>
          </w:p>
        </w:tc>
        <w:tc>
          <w:tcPr>
            <w:tcW w:w="200" w:type="dxa"/>
            <w:vAlign w:val="bottom"/>
            <w:tcBorders>
              <w:top w:val="single" w:sz="8" w:color="F0FFFF"/>
            </w:tcBorders>
          </w:tcPr>
          <w:p>
            <w:pPr>
              <w:spacing w:after="0"/>
              <w:rPr>
                <w:sz w:val="17"/>
                <w:szCs w:val="17"/>
                <w:color w:val="auto"/>
              </w:rPr>
            </w:pPr>
          </w:p>
        </w:tc>
        <w:tc>
          <w:tcPr>
            <w:tcW w:w="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3,445,190</w:t>
            </w:r>
          </w:p>
        </w:tc>
        <w:tc>
          <w:tcPr>
            <w:tcW w:w="100" w:type="dxa"/>
            <w:vAlign w:val="bottom"/>
            <w:tcBorders>
              <w:top w:val="single" w:sz="8" w:color="F0FFFF"/>
            </w:tcBorders>
          </w:tcPr>
          <w:p>
            <w:pPr>
              <w:spacing w:after="0"/>
              <w:rPr>
                <w:sz w:val="17"/>
                <w:szCs w:val="17"/>
                <w:color w:val="auto"/>
              </w:rPr>
            </w:pPr>
          </w:p>
        </w:tc>
      </w:tr>
      <w:tr>
        <w:trPr>
          <w:trHeight w:val="216"/>
        </w:trPr>
        <w:tc>
          <w:tcPr>
            <w:tcW w:w="4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5,111</w:t>
            </w:r>
          </w:p>
        </w:tc>
        <w:tc>
          <w:tcPr>
            <w:tcW w:w="20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1,338</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5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84"/>
              </w:rPr>
              <w:t>3,544</w:t>
            </w: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9,993</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1,015,494</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4,176</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1,029,663</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1,118</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1,593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594,525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1,688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597,806</w:t>
            </w:r>
          </w:p>
        </w:tc>
      </w:tr>
      <w:tr>
        <w:trPr>
          <w:trHeight w:val="216"/>
        </w:trPr>
        <w:tc>
          <w:tcPr>
            <w:tcW w:w="4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2,180</w:t>
            </w:r>
          </w:p>
        </w:tc>
        <w:tc>
          <w:tcPr>
            <w:tcW w:w="20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239</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5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2,763</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347,814</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1,123</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351,700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808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114,262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115,111</w:t>
            </w:r>
          </w:p>
        </w:tc>
      </w:tr>
      <w:tr>
        <w:trPr>
          <w:trHeight w:val="250"/>
        </w:trPr>
        <w:tc>
          <w:tcPr>
            <w:tcW w:w="4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80" w:type="dxa"/>
            <w:vAlign w:val="bottom"/>
            <w:shd w:val="clear" w:color="auto" w:fill="F0FFFF"/>
          </w:tcPr>
          <w:p>
            <w:pPr>
              <w:spacing w:after="0"/>
              <w:rPr>
                <w:sz w:val="21"/>
                <w:szCs w:val="21"/>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F0FFFF"/>
          </w:tcPr>
          <w:p>
            <w:pPr>
              <w:spacing w:after="0"/>
              <w:rPr>
                <w:sz w:val="21"/>
                <w:szCs w:val="21"/>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5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561</w:t>
            </w:r>
          </w:p>
        </w:tc>
        <w:tc>
          <w:tcPr>
            <w:tcW w:w="16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1,483</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454,439</w:t>
            </w:r>
          </w:p>
        </w:tc>
        <w:tc>
          <w:tcPr>
            <w:tcW w:w="10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49</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455,971</w:t>
            </w:r>
          </w:p>
        </w:tc>
      </w:tr>
      <w:tr>
        <w:trPr>
          <w:trHeight w:val="217"/>
        </w:trPr>
        <w:tc>
          <w:tcPr>
            <w:tcW w:w="4080" w:type="dxa"/>
            <w:vAlign w:val="bottom"/>
            <w:tcBorders>
              <w:top w:val="single" w:sz="8" w:color="F0FFFF"/>
            </w:tcBorders>
            <w:gridSpan w:val="2"/>
          </w:tcPr>
          <w:p>
            <w:pPr>
              <w:ind w:left="160"/>
              <w:spacing w:after="0"/>
              <w:rPr>
                <w:sz w:val="20"/>
                <w:szCs w:val="20"/>
                <w:color w:val="auto"/>
              </w:rPr>
            </w:pPr>
            <w:r>
              <w:rPr>
                <w:rFonts w:ascii="Arial" w:cs="Arial" w:eastAsia="Arial" w:hAnsi="Arial"/>
                <w:sz w:val="18"/>
                <w:szCs w:val="18"/>
                <w:color w:val="auto"/>
              </w:rPr>
              <w:t>Total loans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14,584</w:t>
            </w: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4,995</w:t>
            </w:r>
          </w:p>
        </w:tc>
        <w:tc>
          <w:tcPr>
            <w:tcW w:w="10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7,405</w:t>
            </w:r>
          </w:p>
        </w:tc>
        <w:tc>
          <w:tcPr>
            <w:tcW w:w="18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26,984</w:t>
            </w:r>
          </w:p>
        </w:tc>
        <w:tc>
          <w:tcPr>
            <w:tcW w:w="180" w:type="dxa"/>
            <w:vAlign w:val="bottom"/>
            <w:tcBorders>
              <w:top w:val="single" w:sz="8" w:color="F0FF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5,917,138</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51,319</w:t>
            </w:r>
          </w:p>
        </w:tc>
        <w:tc>
          <w:tcPr>
            <w:tcW w:w="200" w:type="dxa"/>
            <w:vAlign w:val="bottom"/>
            <w:tcBorders>
              <w:top w:val="single" w:sz="8" w:color="F0FF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5,995,441</w:t>
            </w:r>
          </w:p>
        </w:tc>
        <w:tc>
          <w:tcPr>
            <w:tcW w:w="100" w:type="dxa"/>
            <w:vAlign w:val="bottom"/>
            <w:tcBorders>
              <w:top w:val="single" w:sz="8" w:color="F0FFFF"/>
            </w:tcBorders>
          </w:tcPr>
          <w:p>
            <w:pPr>
              <w:spacing w:after="0"/>
              <w:rPr>
                <w:sz w:val="18"/>
                <w:szCs w:val="18"/>
                <w:color w:val="auto"/>
              </w:rPr>
            </w:pPr>
          </w:p>
        </w:tc>
      </w:tr>
      <w:tr>
        <w:trPr>
          <w:trHeight w:val="20"/>
        </w:trPr>
        <w:tc>
          <w:tcPr>
            <w:tcW w:w="1880" w:type="dxa"/>
            <w:vAlign w:val="bottom"/>
            <w:tcBorders>
              <w:bottom w:val="single" w:sz="8" w:color="F0FFFF"/>
            </w:tcBorders>
          </w:tcPr>
          <w:p>
            <w:pPr>
              <w:spacing w:after="0" w:line="20" w:lineRule="exact"/>
              <w:rPr>
                <w:sz w:val="1"/>
                <w:szCs w:val="1"/>
                <w:color w:val="auto"/>
              </w:rPr>
            </w:pPr>
          </w:p>
        </w:tc>
        <w:tc>
          <w:tcPr>
            <w:tcW w:w="2200" w:type="dxa"/>
            <w:vAlign w:val="bottom"/>
            <w:tcBorders>
              <w:bottom w:val="single" w:sz="8" w:color="F0FF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r>
      <w:tr>
        <w:trPr>
          <w:trHeight w:val="210"/>
        </w:trPr>
        <w:tc>
          <w:tcPr>
            <w:tcW w:w="1880" w:type="dxa"/>
            <w:vAlign w:val="bottom"/>
            <w:shd w:val="clear" w:color="auto" w:fill="F0FFFF"/>
          </w:tcPr>
          <w:p>
            <w:pPr>
              <w:spacing w:after="0"/>
              <w:rPr>
                <w:sz w:val="18"/>
                <w:szCs w:val="18"/>
                <w:color w:val="auto"/>
              </w:rPr>
            </w:pPr>
          </w:p>
        </w:tc>
        <w:tc>
          <w:tcPr>
            <w:tcW w:w="2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176"/>
        </w:trPr>
        <w:tc>
          <w:tcPr>
            <w:tcW w:w="40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As of December 31, 2014</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88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1,444</w:t>
            </w:r>
          </w:p>
        </w:tc>
        <w:tc>
          <w:tcPr>
            <w:tcW w:w="20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1,929</w:t>
            </w:r>
          </w:p>
        </w:tc>
        <w:tc>
          <w:tcPr>
            <w:tcW w:w="420" w:type="dxa"/>
            <w:vAlign w:val="bottom"/>
            <w:gridSpan w:val="2"/>
            <w:shd w:val="clear" w:color="auto" w:fill="F0FFFF"/>
          </w:tcPr>
          <w:p>
            <w:pPr>
              <w:jc w:val="right"/>
              <w:ind w:right="156"/>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84"/>
              </w:rPr>
              <w:t>1,141</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4,514</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88"/>
              </w:rPr>
              <w:t>$1,158,966</w:t>
            </w:r>
          </w:p>
        </w:tc>
        <w:tc>
          <w:tcPr>
            <w:tcW w:w="260" w:type="dxa"/>
            <w:vAlign w:val="bottom"/>
            <w:gridSpan w:val="2"/>
            <w:shd w:val="clear" w:color="auto" w:fill="F0FFFF"/>
          </w:tcPr>
          <w:p>
            <w:pPr>
              <w:jc w:val="right"/>
              <w:ind w:right="6"/>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88"/>
              </w:rPr>
              <w:t>$1,163,480</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Income producing commercial real estate</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2,322</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3,494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595,043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598,537</w:t>
            </w:r>
          </w:p>
        </w:tc>
      </w:tr>
      <w:tr>
        <w:trPr>
          <w:trHeight w:val="216"/>
        </w:trPr>
        <w:tc>
          <w:tcPr>
            <w:tcW w:w="4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302</w:t>
            </w:r>
          </w:p>
        </w:tc>
        <w:tc>
          <w:tcPr>
            <w:tcW w:w="20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5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w w:val="84"/>
              </w:rPr>
              <w:t>1,425</w:t>
            </w: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1,767</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708,489</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710,256</w:t>
            </w:r>
          </w:p>
        </w:tc>
      </w:tr>
      <w:tr>
        <w:trPr>
          <w:trHeight w:val="237"/>
        </w:trPr>
        <w:tc>
          <w:tcPr>
            <w:tcW w:w="408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195,964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196,030</w:t>
            </w:r>
          </w:p>
        </w:tc>
      </w:tr>
      <w:tr>
        <w:trPr>
          <w:trHeight w:val="216"/>
        </w:trPr>
        <w:tc>
          <w:tcPr>
            <w:tcW w:w="4080" w:type="dxa"/>
            <w:vAlign w:val="bottom"/>
            <w:tcBorders>
              <w:top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18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4,068</w:t>
            </w: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340" w:type="dxa"/>
            <w:vAlign w:val="bottom"/>
            <w:tcBorders>
              <w:top w:val="single" w:sz="8" w:color="auto"/>
            </w:tcBorders>
            <w:shd w:val="clear" w:color="auto" w:fill="F0FFFF"/>
          </w:tcPr>
          <w:p>
            <w:pPr>
              <w:spacing w:after="0"/>
              <w:rPr>
                <w:sz w:val="18"/>
                <w:szCs w:val="18"/>
                <w:color w:val="auto"/>
              </w:rPr>
            </w:pPr>
          </w:p>
        </w:tc>
        <w:tc>
          <w:tcPr>
            <w:tcW w:w="4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4"/>
              </w:rPr>
              <w:t>2,632</w:t>
            </w:r>
          </w:p>
        </w:tc>
        <w:tc>
          <w:tcPr>
            <w:tcW w:w="18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5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9,841</w:t>
            </w:r>
          </w:p>
        </w:tc>
        <w:tc>
          <w:tcPr>
            <w:tcW w:w="180" w:type="dxa"/>
            <w:vAlign w:val="bottom"/>
            <w:tcBorders>
              <w:top w:val="single" w:sz="8" w:color="F0FFFF"/>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2,658,462</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9"/>
              </w:rPr>
              <w:t>2,668,303</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5,234</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3,278</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11,443</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854,346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865,789</w:t>
            </w:r>
          </w:p>
        </w:tc>
      </w:tr>
      <w:tr>
        <w:trPr>
          <w:trHeight w:val="216"/>
        </w:trPr>
        <w:tc>
          <w:tcPr>
            <w:tcW w:w="4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961</w:t>
            </w:r>
          </w:p>
        </w:tc>
        <w:tc>
          <w:tcPr>
            <w:tcW w:w="20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5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1,431</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464,441</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465,872</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1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1,172</w:t>
            </w: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1,395</w:t>
            </w: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2,835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295,792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298,627</w:t>
            </w:r>
          </w:p>
        </w:tc>
      </w:tr>
      <w:tr>
        <w:trPr>
          <w:trHeight w:val="216"/>
        </w:trPr>
        <w:tc>
          <w:tcPr>
            <w:tcW w:w="408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607</w:t>
            </w:r>
          </w:p>
        </w:tc>
        <w:tc>
          <w:tcPr>
            <w:tcW w:w="200" w:type="dxa"/>
            <w:vAlign w:val="bottom"/>
            <w:shd w:val="clear" w:color="auto" w:fill="F0FFFF"/>
          </w:tcPr>
          <w:p>
            <w:pPr>
              <w:spacing w:after="0"/>
              <w:rPr>
                <w:sz w:val="18"/>
                <w:szCs w:val="18"/>
                <w:color w:val="auto"/>
              </w:rPr>
            </w:pP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136</w:t>
            </w:r>
          </w:p>
        </w:tc>
        <w:tc>
          <w:tcPr>
            <w:tcW w:w="8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776</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104,123</w:t>
            </w: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104,899</w:t>
            </w:r>
          </w:p>
        </w:tc>
      </w:tr>
      <w:tr>
        <w:trPr>
          <w:trHeight w:val="237"/>
        </w:trPr>
        <w:tc>
          <w:tcPr>
            <w:tcW w:w="4080" w:type="dxa"/>
            <w:vAlign w:val="bottom"/>
            <w:gridSpan w:val="2"/>
          </w:tcPr>
          <w:p>
            <w:pPr>
              <w:spacing w:after="0"/>
              <w:rPr>
                <w:sz w:val="20"/>
                <w:szCs w:val="20"/>
                <w:color w:val="auto"/>
              </w:rPr>
            </w:pPr>
            <w:r>
              <w:rPr>
                <w:rFonts w:ascii="Arial" w:cs="Arial" w:eastAsia="Arial" w:hAnsi="Arial"/>
                <w:sz w:val="18"/>
                <w:szCs w:val="18"/>
                <w:color w:val="auto"/>
              </w:rPr>
              <w:t>Indirect auto</w:t>
            </w:r>
          </w:p>
        </w:tc>
        <w:tc>
          <w:tcPr>
            <w:tcW w:w="1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487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268,142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268,629</w:t>
            </w:r>
          </w:p>
        </w:tc>
      </w:tr>
      <w:tr>
        <w:trPr>
          <w:trHeight w:val="255"/>
        </w:trPr>
        <w:tc>
          <w:tcPr>
            <w:tcW w:w="408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1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12,242</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20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340" w:type="dxa"/>
            <w:vAlign w:val="bottom"/>
            <w:tcBorders>
              <w:top w:val="single" w:sz="8" w:color="auto"/>
              <w:bottom w:val="single" w:sz="8" w:color="auto"/>
            </w:tcBorders>
            <w:shd w:val="clear" w:color="auto" w:fill="F0FFFF"/>
          </w:tcPr>
          <w:p>
            <w:pPr>
              <w:jc w:val="right"/>
              <w:ind w:right="15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4"/>
              </w:rPr>
              <w:t>7,646</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26,813</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4,645,306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60" w:type="dxa"/>
            <w:vAlign w:val="bottom"/>
            <w:tcBorders>
              <w:top w:val="single" w:sz="8" w:color="auto"/>
              <w:bottom w:val="single" w:sz="8" w:color="auto"/>
            </w:tcBorders>
            <w:shd w:val="clear" w:color="auto" w:fill="F0FFFF"/>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bottom w:val="single" w:sz="8" w:color="F0FFFF"/>
            </w:tcBorders>
            <w:shd w:val="clear" w:color="auto" w:fill="F0FFFF"/>
          </w:tcPr>
          <w:p>
            <w:pPr>
              <w:spacing w:after="0"/>
              <w:rPr>
                <w:sz w:val="21"/>
                <w:szCs w:val="21"/>
                <w:color w:val="auto"/>
              </w:rPr>
            </w:pPr>
          </w:p>
        </w:tc>
        <w:tc>
          <w:tcPr>
            <w:tcW w:w="8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4,672,119</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1880" w:type="dxa"/>
            <w:vAlign w:val="bottom"/>
            <w:tcBorders>
              <w:top w:val="single" w:sz="8" w:color="F0FFFF"/>
            </w:tcBorders>
          </w:tcPr>
          <w:p>
            <w:pPr>
              <w:spacing w:after="0" w:line="20" w:lineRule="exact"/>
              <w:rPr>
                <w:sz w:val="1"/>
                <w:szCs w:val="1"/>
                <w:color w:val="auto"/>
              </w:rPr>
            </w:pPr>
          </w:p>
        </w:tc>
        <w:tc>
          <w:tcPr>
            <w:tcW w:w="22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4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5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56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2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ind w:left="332"/>
        <w:spacing w:after="0" w:line="255" w:lineRule="auto"/>
        <w:rPr>
          <w:sz w:val="20"/>
          <w:szCs w:val="20"/>
          <w:color w:val="auto"/>
        </w:rPr>
      </w:pPr>
      <w:r>
        <w:rPr>
          <w:rFonts w:ascii="Arial" w:cs="Arial" w:eastAsia="Arial" w:hAnsi="Arial"/>
          <w:sz w:val="18"/>
          <w:szCs w:val="18"/>
          <w:color w:val="auto"/>
        </w:rPr>
        <w:t>The modification of the terms of TDRs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or a mandated bankruptcy restructuring; or interest-only payment terms greater than 90 days where the borrower is unable to amortize the loan. Modified loans accounted for under ASC 310-30 are not accounted for as TDRs because they are not separated from the pools, and as such are not classified as impaired loans.</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32"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Credit Losses, continued</w:t>
      </w:r>
    </w:p>
    <w:p>
      <w:pPr>
        <w:spacing w:after="0" w:line="229" w:lineRule="exact"/>
        <w:rPr>
          <w:rFonts w:ascii="Arial" w:cs="Arial" w:eastAsia="Arial" w:hAnsi="Arial"/>
          <w:sz w:val="18"/>
          <w:szCs w:val="18"/>
          <w:b w:val="1"/>
          <w:bCs w:val="1"/>
          <w:color w:val="auto"/>
        </w:rPr>
      </w:pPr>
    </w:p>
    <w:p>
      <w:pPr>
        <w:jc w:val="both"/>
        <w:ind w:left="3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Loans modified under the terms of a TDR during the years ended December 31, 2015, 2014 and 2013 are presented in the table below. In addition, the following table presents loans modified under the terms of a TDR that became 90 days or more delinquent during the years ended December 31, 2015,</w:t>
      </w: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2014 and 2013, that were initially restructured within one year prior to becoming delinquent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6"/>
              </w:rPr>
              <w:t>TDRs Modified Within the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Year That Have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New TDRs</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2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Subsequently Defaulted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5"/>
              </w:rPr>
              <w:t>During the Year</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4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320"/>
              <w:spacing w:after="0" w:line="126" w:lineRule="exact"/>
              <w:rPr>
                <w:sz w:val="20"/>
                <w:szCs w:val="20"/>
                <w:color w:val="auto"/>
              </w:rPr>
            </w:pPr>
            <w:r>
              <w:rPr>
                <w:rFonts w:ascii="Arial" w:cs="Arial" w:eastAsia="Arial" w:hAnsi="Arial"/>
                <w:sz w:val="14"/>
                <w:szCs w:val="14"/>
                <w:b w:val="1"/>
                <w:bCs w:val="1"/>
                <w:color w:val="auto"/>
                <w:w w:val="95"/>
              </w:rPr>
              <w:t>Pre-</w:t>
            </w:r>
          </w:p>
        </w:tc>
        <w:tc>
          <w:tcPr>
            <w:tcW w:w="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4"/>
                <w:szCs w:val="14"/>
                <w:b w:val="1"/>
                <w:bCs w:val="1"/>
                <w:color w:val="auto"/>
                <w:w w:val="91"/>
              </w:rPr>
              <w:t>Post-</w:t>
            </w:r>
          </w:p>
        </w:tc>
        <w:tc>
          <w:tcPr>
            <w:tcW w:w="22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Recorded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Recorded</w:t>
            </w: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Contracts</w:t>
            </w:r>
          </w:p>
        </w:tc>
        <w:tc>
          <w:tcPr>
            <w:tcW w:w="1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Contracts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Investment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360" w:type="dxa"/>
            <w:vAlign w:val="bottom"/>
            <w:tcBorders>
              <w:top w:val="single" w:sz="8" w:color="F0FFFF"/>
              <w:bottom w:val="single" w:sz="8" w:color="auto"/>
            </w:tcBorders>
            <w:shd w:val="clear" w:color="auto" w:fill="F0FFFF"/>
          </w:tcPr>
          <w:p>
            <w:pPr>
              <w:spacing w:after="0" w:line="176" w:lineRule="exact"/>
              <w:rPr>
                <w:sz w:val="20"/>
                <w:szCs w:val="20"/>
                <w:color w:val="auto"/>
              </w:rPr>
            </w:pPr>
            <w:r>
              <w:rPr>
                <w:rFonts w:ascii="Arial" w:cs="Arial" w:eastAsia="Arial" w:hAnsi="Arial"/>
                <w:sz w:val="18"/>
                <w:szCs w:val="18"/>
                <w:b w:val="1"/>
                <w:bCs w:val="1"/>
                <w:color w:val="auto"/>
                <w:w w:val="88"/>
              </w:rPr>
              <w:t>Year ended December 31, 2015</w:t>
            </w:r>
          </w:p>
        </w:tc>
        <w:tc>
          <w:tcPr>
            <w:tcW w:w="2580" w:type="dxa"/>
            <w:vAlign w:val="bottom"/>
            <w:tcBorders>
              <w:top w:val="single" w:sz="8" w:color="F0FFFF"/>
              <w:bottom w:val="single" w:sz="8" w:color="F0FFFF"/>
            </w:tcBorders>
            <w:shd w:val="clear" w:color="auto" w:fill="F0FFFF"/>
          </w:tcPr>
          <w:p>
            <w:pPr>
              <w:spacing w:after="0"/>
              <w:rPr>
                <w:sz w:val="17"/>
                <w:szCs w:val="17"/>
                <w:color w:val="auto"/>
              </w:rPr>
            </w:pPr>
          </w:p>
        </w:tc>
        <w:tc>
          <w:tcPr>
            <w:tcW w:w="960" w:type="dxa"/>
            <w:vAlign w:val="bottom"/>
            <w:tcBorders>
              <w:top w:val="single" w:sz="8" w:color="auto"/>
              <w:bottom w:val="single" w:sz="8" w:color="F0FFFF"/>
            </w:tcBorders>
            <w:shd w:val="clear" w:color="auto" w:fill="F0FFFF"/>
          </w:tcPr>
          <w:p>
            <w:pPr>
              <w:spacing w:after="0"/>
              <w:rPr>
                <w:sz w:val="17"/>
                <w:szCs w:val="17"/>
                <w:color w:val="auto"/>
              </w:rPr>
            </w:pPr>
          </w:p>
        </w:tc>
        <w:tc>
          <w:tcPr>
            <w:tcW w:w="220" w:type="dxa"/>
            <w:vAlign w:val="bottom"/>
            <w:tcBorders>
              <w:top w:val="single" w:sz="8" w:color="F0FFFF"/>
              <w:bottom w:val="single" w:sz="8" w:color="F0FFFF"/>
            </w:tcBorders>
            <w:shd w:val="clear" w:color="auto" w:fill="F0FFFF"/>
          </w:tcPr>
          <w:p>
            <w:pPr>
              <w:spacing w:after="0"/>
              <w:rPr>
                <w:sz w:val="17"/>
                <w:szCs w:val="17"/>
                <w:color w:val="auto"/>
              </w:rPr>
            </w:pPr>
          </w:p>
        </w:tc>
        <w:tc>
          <w:tcPr>
            <w:tcW w:w="100" w:type="dxa"/>
            <w:vAlign w:val="bottom"/>
            <w:tcBorders>
              <w:top w:val="single" w:sz="8" w:color="auto"/>
              <w:bottom w:val="single" w:sz="8" w:color="F0FFFF"/>
            </w:tcBorders>
            <w:shd w:val="clear" w:color="auto" w:fill="F0FFFF"/>
          </w:tcPr>
          <w:p>
            <w:pPr>
              <w:spacing w:after="0"/>
              <w:rPr>
                <w:sz w:val="17"/>
                <w:szCs w:val="17"/>
                <w:color w:val="auto"/>
              </w:rPr>
            </w:pPr>
          </w:p>
        </w:tc>
        <w:tc>
          <w:tcPr>
            <w:tcW w:w="880" w:type="dxa"/>
            <w:vAlign w:val="bottom"/>
            <w:tcBorders>
              <w:top w:val="single" w:sz="8" w:color="auto"/>
              <w:bottom w:val="single" w:sz="8" w:color="F0FFFF"/>
            </w:tcBorders>
            <w:shd w:val="clear" w:color="auto" w:fill="F0FFFF"/>
          </w:tcPr>
          <w:p>
            <w:pPr>
              <w:spacing w:after="0"/>
              <w:rPr>
                <w:sz w:val="17"/>
                <w:szCs w:val="17"/>
                <w:color w:val="auto"/>
              </w:rPr>
            </w:pPr>
          </w:p>
        </w:tc>
        <w:tc>
          <w:tcPr>
            <w:tcW w:w="220" w:type="dxa"/>
            <w:vAlign w:val="bottom"/>
            <w:tcBorders>
              <w:top w:val="single" w:sz="8" w:color="F0FFFF"/>
              <w:bottom w:val="single" w:sz="8" w:color="F0FFFF"/>
            </w:tcBorders>
            <w:shd w:val="clear" w:color="auto" w:fill="F0FFFF"/>
          </w:tcPr>
          <w:p>
            <w:pPr>
              <w:spacing w:after="0"/>
              <w:rPr>
                <w:sz w:val="17"/>
                <w:szCs w:val="17"/>
                <w:color w:val="auto"/>
              </w:rPr>
            </w:pPr>
          </w:p>
        </w:tc>
        <w:tc>
          <w:tcPr>
            <w:tcW w:w="80" w:type="dxa"/>
            <w:vAlign w:val="bottom"/>
            <w:tcBorders>
              <w:top w:val="single" w:sz="8" w:color="auto"/>
              <w:bottom w:val="single" w:sz="8" w:color="F0FFFF"/>
            </w:tcBorders>
            <w:shd w:val="clear" w:color="auto" w:fill="F0FFFF"/>
          </w:tcPr>
          <w:p>
            <w:pPr>
              <w:spacing w:after="0"/>
              <w:rPr>
                <w:sz w:val="17"/>
                <w:szCs w:val="17"/>
                <w:color w:val="auto"/>
              </w:rPr>
            </w:pPr>
          </w:p>
        </w:tc>
        <w:tc>
          <w:tcPr>
            <w:tcW w:w="880" w:type="dxa"/>
            <w:vAlign w:val="bottom"/>
            <w:tcBorders>
              <w:top w:val="single" w:sz="8" w:color="auto"/>
              <w:bottom w:val="single" w:sz="8" w:color="F0FFFF"/>
            </w:tcBorders>
            <w:shd w:val="clear" w:color="auto" w:fill="F0FFFF"/>
          </w:tcPr>
          <w:p>
            <w:pPr>
              <w:spacing w:after="0"/>
              <w:rPr>
                <w:sz w:val="17"/>
                <w:szCs w:val="17"/>
                <w:color w:val="auto"/>
              </w:rPr>
            </w:pPr>
          </w:p>
        </w:tc>
        <w:tc>
          <w:tcPr>
            <w:tcW w:w="220" w:type="dxa"/>
            <w:vAlign w:val="bottom"/>
            <w:tcBorders>
              <w:top w:val="single" w:sz="8" w:color="F0FFFF"/>
              <w:bottom w:val="single" w:sz="8" w:color="F0FFFF"/>
            </w:tcBorders>
            <w:shd w:val="clear" w:color="auto" w:fill="F0FFFF"/>
          </w:tcPr>
          <w:p>
            <w:pPr>
              <w:spacing w:after="0"/>
              <w:rPr>
                <w:sz w:val="17"/>
                <w:szCs w:val="17"/>
                <w:color w:val="auto"/>
              </w:rPr>
            </w:pPr>
          </w:p>
        </w:tc>
        <w:tc>
          <w:tcPr>
            <w:tcW w:w="980" w:type="dxa"/>
            <w:vAlign w:val="bottom"/>
            <w:tcBorders>
              <w:top w:val="single" w:sz="8" w:color="auto"/>
              <w:bottom w:val="single" w:sz="8" w:color="F0FFFF"/>
            </w:tcBorders>
            <w:shd w:val="clear" w:color="auto" w:fill="F0FFFF"/>
          </w:tcPr>
          <w:p>
            <w:pPr>
              <w:spacing w:after="0"/>
              <w:rPr>
                <w:sz w:val="17"/>
                <w:szCs w:val="17"/>
                <w:color w:val="auto"/>
              </w:rPr>
            </w:pP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100" w:type="dxa"/>
            <w:vAlign w:val="bottom"/>
            <w:tcBorders>
              <w:top w:val="single" w:sz="8" w:color="auto"/>
              <w:bottom w:val="single" w:sz="8" w:color="F0FFFF"/>
            </w:tcBorders>
            <w:shd w:val="clear" w:color="auto" w:fill="F0FFFF"/>
          </w:tcPr>
          <w:p>
            <w:pPr>
              <w:spacing w:after="0"/>
              <w:rPr>
                <w:sz w:val="17"/>
                <w:szCs w:val="17"/>
                <w:color w:val="auto"/>
              </w:rPr>
            </w:pPr>
          </w:p>
        </w:tc>
        <w:tc>
          <w:tcPr>
            <w:tcW w:w="840" w:type="dxa"/>
            <w:vAlign w:val="bottom"/>
            <w:tcBorders>
              <w:top w:val="single" w:sz="8" w:color="auto"/>
              <w:bottom w:val="single" w:sz="8" w:color="F0FFFF"/>
            </w:tcBorders>
            <w:shd w:val="clear" w:color="auto" w:fill="F0FFFF"/>
          </w:tcPr>
          <w:p>
            <w:pPr>
              <w:spacing w:after="0"/>
              <w:rPr>
                <w:sz w:val="17"/>
                <w:szCs w:val="17"/>
                <w:color w:val="auto"/>
              </w:rPr>
            </w:pPr>
          </w:p>
        </w:tc>
        <w:tc>
          <w:tcPr>
            <w:tcW w:w="100" w:type="dxa"/>
            <w:vAlign w:val="bottom"/>
            <w:tcBorders>
              <w:top w:val="single" w:sz="8" w:color="F0FFFF"/>
              <w:bottom w:val="single" w:sz="8" w:color="F0FFFF"/>
            </w:tcBorders>
            <w:shd w:val="clear" w:color="auto" w:fill="F0FFFF"/>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Owner occupied commercial real estate</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13,496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13,369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1,821</w:t>
            </w: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1,821</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1,325</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233</w:t>
            </w:r>
          </w:p>
        </w:tc>
        <w:tc>
          <w:tcPr>
            <w:tcW w:w="8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233</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40" w:type="dxa"/>
            <w:vAlign w:val="bottom"/>
            <w:tcBorders>
              <w:top w:val="single" w:sz="8" w:color="F0FFFF"/>
            </w:tcBorders>
            <w:gridSpan w:val="2"/>
          </w:tcPr>
          <w:p>
            <w:pPr>
              <w:ind w:left="160"/>
              <w:spacing w:after="0" w:line="203" w:lineRule="exact"/>
              <w:rPr>
                <w:sz w:val="20"/>
                <w:szCs w:val="20"/>
                <w:color w:val="auto"/>
              </w:rPr>
            </w:pPr>
            <w:r>
              <w:rPr>
                <w:rFonts w:ascii="Arial" w:cs="Arial" w:eastAsia="Arial" w:hAnsi="Arial"/>
                <w:sz w:val="18"/>
                <w:szCs w:val="18"/>
                <w:color w:val="auto"/>
              </w:rPr>
              <w:t>Total commercial</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26</w:t>
            </w: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16,875</w:t>
            </w:r>
          </w:p>
        </w:tc>
        <w:tc>
          <w:tcPr>
            <w:tcW w:w="2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16,669</w:t>
            </w:r>
          </w:p>
        </w:tc>
        <w:tc>
          <w:tcPr>
            <w:tcW w:w="220" w:type="dxa"/>
            <w:vAlign w:val="bottom"/>
            <w:tcBorders>
              <w:top w:val="single" w:sz="8" w:color="F0FFFF"/>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178</w:t>
            </w:r>
          </w:p>
        </w:tc>
        <w:tc>
          <w:tcPr>
            <w:tcW w:w="100" w:type="dxa"/>
            <w:vAlign w:val="bottom"/>
            <w:tcBorders>
              <w:top w:val="single" w:sz="8" w:color="F0FFFF"/>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3,257</w:t>
            </w: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3,257</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569</w:t>
            </w: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545</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Indirect auto</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4940" w:type="dxa"/>
            <w:vAlign w:val="bottom"/>
            <w:tcBorders>
              <w:top w:val="single" w:sz="8" w:color="F0FFFF"/>
            </w:tcBorders>
            <w:gridSpan w:val="2"/>
          </w:tcPr>
          <w:p>
            <w:pPr>
              <w:ind w:left="160"/>
              <w:spacing w:after="0"/>
              <w:rPr>
                <w:sz w:val="20"/>
                <w:szCs w:val="20"/>
                <w:color w:val="auto"/>
              </w:rPr>
            </w:pPr>
            <w:r>
              <w:rPr>
                <w:rFonts w:ascii="Arial" w:cs="Arial" w:eastAsia="Arial" w:hAnsi="Arial"/>
                <w:sz w:val="18"/>
                <w:szCs w:val="18"/>
                <w:color w:val="auto"/>
              </w:rPr>
              <w:t>Total loans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21,110</w:t>
            </w:r>
          </w:p>
        </w:tc>
        <w:tc>
          <w:tcPr>
            <w:tcW w:w="22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20,871</w:t>
            </w:r>
          </w:p>
        </w:tc>
        <w:tc>
          <w:tcPr>
            <w:tcW w:w="220" w:type="dxa"/>
            <w:vAlign w:val="bottom"/>
            <w:tcBorders>
              <w:top w:val="single" w:sz="8" w:color="F0FF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top w:val="single" w:sz="8" w:color="F0FFFF"/>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60" w:type="dxa"/>
            <w:vAlign w:val="bottom"/>
            <w:tcBorders>
              <w:bottom w:val="single" w:sz="8" w:color="F0FFFF"/>
            </w:tcBorders>
          </w:tcPr>
          <w:p>
            <w:pPr>
              <w:spacing w:after="0" w:line="20" w:lineRule="exact"/>
              <w:rPr>
                <w:sz w:val="1"/>
                <w:szCs w:val="1"/>
                <w:color w:val="auto"/>
              </w:rPr>
            </w:pPr>
          </w:p>
        </w:tc>
        <w:tc>
          <w:tcPr>
            <w:tcW w:w="258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2360" w:type="dxa"/>
            <w:vAlign w:val="bottom"/>
            <w:shd w:val="clear" w:color="auto" w:fill="F0FFFF"/>
          </w:tcPr>
          <w:p>
            <w:pPr>
              <w:spacing w:after="0"/>
              <w:rPr>
                <w:sz w:val="18"/>
                <w:szCs w:val="18"/>
                <w:color w:val="auto"/>
              </w:rPr>
            </w:pPr>
          </w:p>
        </w:tc>
        <w:tc>
          <w:tcPr>
            <w:tcW w:w="25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94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Year ended December 31, 2014</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4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2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4,793</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4,793</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Income producing commercial real estate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1,459</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1,185</w:t>
            </w: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1,185</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829</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tcBorders>
              <w:top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8,266</w:t>
            </w:r>
          </w:p>
        </w:tc>
        <w:tc>
          <w:tcPr>
            <w:tcW w:w="2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8,266</w:t>
            </w:r>
          </w:p>
        </w:tc>
        <w:tc>
          <w:tcPr>
            <w:tcW w:w="22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F0FFFF"/>
            </w:tcBorders>
            <w:shd w:val="clear" w:color="auto" w:fill="F0FF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9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3,622</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3,445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1,262</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226</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Indirect auto</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40" w:type="dxa"/>
            <w:vAlign w:val="bottom"/>
          </w:tcPr>
          <w:p>
            <w:pPr>
              <w:spacing w:after="0"/>
              <w:rPr>
                <w:sz w:val="21"/>
                <w:szCs w:val="21"/>
                <w:color w:val="auto"/>
              </w:rPr>
            </w:pPr>
          </w:p>
        </w:tc>
        <w:tc>
          <w:tcPr>
            <w:tcW w:w="4940" w:type="dxa"/>
            <w:vAlign w:val="bottom"/>
            <w:tcBorders>
              <w:top w:val="single" w:sz="8" w:color="F0FFFF"/>
              <w:bottom w:val="single" w:sz="8" w:color="F0FFFF"/>
            </w:tcBorders>
            <w:gridSpan w:val="2"/>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79</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13,412</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13,235</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1,050</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360" w:type="dxa"/>
            <w:vAlign w:val="bottom"/>
            <w:tcBorders>
              <w:top w:val="single" w:sz="8" w:color="F0FFFF"/>
            </w:tcBorders>
          </w:tcPr>
          <w:p>
            <w:pPr>
              <w:spacing w:after="0" w:line="20" w:lineRule="exact"/>
              <w:rPr>
                <w:sz w:val="1"/>
                <w:szCs w:val="1"/>
                <w:color w:val="auto"/>
              </w:rPr>
            </w:pPr>
          </w:p>
        </w:tc>
        <w:tc>
          <w:tcPr>
            <w:tcW w:w="2580" w:type="dxa"/>
            <w:vAlign w:val="bottom"/>
            <w:tcBorders>
              <w:top w:val="single" w:sz="8" w:color="F0FFFF"/>
            </w:tcBorders>
          </w:tcPr>
          <w:p>
            <w:pPr>
              <w:spacing w:after="0" w:line="20" w:lineRule="exact"/>
              <w:rPr>
                <w:sz w:val="1"/>
                <w:szCs w:val="1"/>
                <w:color w:val="auto"/>
              </w:rPr>
            </w:pPr>
          </w:p>
        </w:tc>
        <w:tc>
          <w:tcPr>
            <w:tcW w:w="9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360" w:type="dxa"/>
            <w:vAlign w:val="bottom"/>
            <w:tcBorders>
              <w:bottom w:val="single" w:sz="8" w:color="auto"/>
            </w:tcBorders>
            <w:shd w:val="clear" w:color="auto" w:fill="F0FFFF"/>
          </w:tcPr>
          <w:p>
            <w:pPr>
              <w:spacing w:after="0" w:line="176" w:lineRule="exact"/>
              <w:rPr>
                <w:sz w:val="20"/>
                <w:szCs w:val="20"/>
                <w:color w:val="auto"/>
              </w:rPr>
            </w:pPr>
            <w:r>
              <w:rPr>
                <w:rFonts w:ascii="Arial" w:cs="Arial" w:eastAsia="Arial" w:hAnsi="Arial"/>
                <w:sz w:val="18"/>
                <w:szCs w:val="18"/>
                <w:b w:val="1"/>
                <w:bCs w:val="1"/>
                <w:color w:val="auto"/>
                <w:w w:val="88"/>
              </w:rPr>
              <w:t>Year ended December 31, 2013</w:t>
            </w:r>
          </w:p>
        </w:tc>
        <w:tc>
          <w:tcPr>
            <w:tcW w:w="2580" w:type="dxa"/>
            <w:vAlign w:val="bottom"/>
            <w:tcBorders>
              <w:bottom w:val="single" w:sz="8" w:color="F0FFFF"/>
            </w:tcBorders>
            <w:shd w:val="clear" w:color="auto" w:fill="F0FFFF"/>
          </w:tcPr>
          <w:p>
            <w:pPr>
              <w:spacing w:after="0"/>
              <w:rPr>
                <w:sz w:val="19"/>
                <w:szCs w:val="19"/>
                <w:color w:val="auto"/>
              </w:rPr>
            </w:pPr>
          </w:p>
        </w:tc>
        <w:tc>
          <w:tcPr>
            <w:tcW w:w="96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8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8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9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8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Owner occupied commercial real estate</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6,326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5,227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6,157</w:t>
            </w: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6,157</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1,464</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1,208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416</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1,454</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4940" w:type="dxa"/>
            <w:vAlign w:val="bottom"/>
            <w:tcBorders>
              <w:top w:val="single" w:sz="8" w:color="F0FFFF"/>
            </w:tcBorders>
            <w:gridSpan w:val="2"/>
          </w:tcPr>
          <w:p>
            <w:pPr>
              <w:ind w:left="160"/>
              <w:spacing w:after="0" w:line="203" w:lineRule="exact"/>
              <w:rPr>
                <w:sz w:val="20"/>
                <w:szCs w:val="20"/>
                <w:color w:val="auto"/>
              </w:rPr>
            </w:pPr>
            <w:r>
              <w:rPr>
                <w:rFonts w:ascii="Arial" w:cs="Arial" w:eastAsia="Arial" w:hAnsi="Arial"/>
                <w:sz w:val="18"/>
                <w:szCs w:val="18"/>
                <w:color w:val="auto"/>
              </w:rPr>
              <w:t>Total commercial</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w:t>
            </w:r>
          </w:p>
        </w:tc>
        <w:tc>
          <w:tcPr>
            <w:tcW w:w="22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14,363</w:t>
            </w:r>
          </w:p>
        </w:tc>
        <w:tc>
          <w:tcPr>
            <w:tcW w:w="220" w:type="dxa"/>
            <w:vAlign w:val="bottom"/>
            <w:tcBorders>
              <w:top w:val="single" w:sz="8" w:color="F0FF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13,008</w:t>
            </w:r>
          </w:p>
        </w:tc>
        <w:tc>
          <w:tcPr>
            <w:tcW w:w="220" w:type="dxa"/>
            <w:vAlign w:val="bottom"/>
            <w:tcBorders>
              <w:top w:val="single" w:sz="8" w:color="F0FFFF"/>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2,159</w:t>
            </w:r>
          </w:p>
        </w:tc>
        <w:tc>
          <w:tcPr>
            <w:tcW w:w="100" w:type="dxa"/>
            <w:vAlign w:val="bottom"/>
            <w:tcBorders>
              <w:top w:val="single" w:sz="8" w:color="F0FFFF"/>
            </w:tcBorders>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7,098</w:t>
            </w: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6,573</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641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2,160</w:t>
            </w: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2,015</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531</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49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Indirect auto</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40" w:type="dxa"/>
            <w:vAlign w:val="bottom"/>
          </w:tcPr>
          <w:p>
            <w:pPr>
              <w:spacing w:after="0"/>
              <w:rPr>
                <w:sz w:val="18"/>
                <w:szCs w:val="18"/>
                <w:color w:val="auto"/>
              </w:rPr>
            </w:pPr>
          </w:p>
        </w:tc>
        <w:tc>
          <w:tcPr>
            <w:tcW w:w="4940" w:type="dxa"/>
            <w:vAlign w:val="bottom"/>
            <w:tcBorders>
              <w:top w:val="single" w:sz="8" w:color="F0FFFF"/>
            </w:tcBorders>
            <w:gridSpan w:val="2"/>
          </w:tcPr>
          <w:p>
            <w:pPr>
              <w:ind w:left="160"/>
              <w:spacing w:after="0"/>
              <w:rPr>
                <w:sz w:val="20"/>
                <w:szCs w:val="20"/>
                <w:color w:val="auto"/>
              </w:rPr>
            </w:pPr>
            <w:r>
              <w:rPr>
                <w:rFonts w:ascii="Arial" w:cs="Arial" w:eastAsia="Arial" w:hAnsi="Arial"/>
                <w:sz w:val="18"/>
                <w:szCs w:val="18"/>
                <w:color w:val="auto"/>
              </w:rPr>
              <w:t>Total loans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23,701</w:t>
            </w:r>
          </w:p>
        </w:tc>
        <w:tc>
          <w:tcPr>
            <w:tcW w:w="220" w:type="dxa"/>
            <w:vAlign w:val="bottom"/>
            <w:tcBorders>
              <w:top w:val="single" w:sz="8" w:color="F0FF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21,676</w:t>
            </w:r>
          </w:p>
        </w:tc>
        <w:tc>
          <w:tcPr>
            <w:tcW w:w="220" w:type="dxa"/>
            <w:vAlign w:val="bottom"/>
            <w:tcBorders>
              <w:top w:val="single" w:sz="8" w:color="F0FF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Borders>
              <w:top w:val="single" w:sz="8" w:color="F0FFFF"/>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340" w:type="dxa"/>
            <w:vAlign w:val="bottom"/>
            <w:tcBorders>
              <w:bottom w:val="single" w:sz="8" w:color="DCDCDC"/>
            </w:tcBorders>
          </w:tcPr>
          <w:p>
            <w:pPr>
              <w:spacing w:after="0"/>
              <w:rPr>
                <w:sz w:val="24"/>
                <w:szCs w:val="24"/>
                <w:color w:val="auto"/>
              </w:rPr>
            </w:pPr>
          </w:p>
        </w:tc>
        <w:tc>
          <w:tcPr>
            <w:tcW w:w="2360" w:type="dxa"/>
            <w:vAlign w:val="bottom"/>
            <w:tcBorders>
              <w:bottom w:val="single" w:sz="8" w:color="DCDCDC"/>
            </w:tcBorders>
          </w:tcPr>
          <w:p>
            <w:pPr>
              <w:spacing w:after="0"/>
              <w:rPr>
                <w:sz w:val="24"/>
                <w:szCs w:val="24"/>
                <w:color w:val="auto"/>
              </w:rPr>
            </w:pPr>
          </w:p>
        </w:tc>
        <w:tc>
          <w:tcPr>
            <w:tcW w:w="25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jc w:val="right"/>
              <w:ind w:right="331"/>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Loans and Allowance for Credit Losses, continued</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presents additional information on TDRs including the number of loan contracts restructured and the pre- and post-modification recorded investment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374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December 31, 2015</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280"/>
              <w:spacing w:after="0" w:line="126" w:lineRule="exact"/>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0"/>
                <w:szCs w:val="10"/>
                <w:color w:val="auto"/>
              </w:rPr>
            </w:pPr>
          </w:p>
        </w:tc>
        <w:tc>
          <w:tcPr>
            <w:tcW w:w="880" w:type="dxa"/>
            <w:vAlign w:val="bottom"/>
          </w:tcPr>
          <w:p>
            <w:pPr>
              <w:jc w:val="center"/>
              <w:ind w:right="16"/>
              <w:spacing w:after="0" w:line="126" w:lineRule="exact"/>
              <w:rPr>
                <w:sz w:val="20"/>
                <w:szCs w:val="20"/>
                <w:color w:val="auto"/>
              </w:rPr>
            </w:pPr>
            <w:r>
              <w:rPr>
                <w:rFonts w:ascii="Arial" w:cs="Arial" w:eastAsia="Arial" w:hAnsi="Arial"/>
                <w:sz w:val="14"/>
                <w:szCs w:val="14"/>
                <w:b w:val="1"/>
                <w:bCs w:val="1"/>
                <w:color w:val="auto"/>
                <w:w w:val="85"/>
              </w:rPr>
              <w:t>Post-</w:t>
            </w: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5"/>
              </w:rPr>
              <w:t>Pre-</w:t>
            </w:r>
          </w:p>
        </w:tc>
        <w:tc>
          <w:tcPr>
            <w:tcW w:w="8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85"/>
              </w:rPr>
              <w:t>Post-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Modification</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0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Recorded</w:t>
            </w: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Recorded</w:t>
            </w: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178"/>
        </w:trPr>
        <w:tc>
          <w:tcPr>
            <w:tcW w:w="3740" w:type="dxa"/>
            <w:vAlign w:val="bottom"/>
          </w:tcPr>
          <w:p>
            <w:pPr>
              <w:spacing w:after="0"/>
              <w:rPr>
                <w:sz w:val="15"/>
                <w:szCs w:val="15"/>
                <w:color w:val="auto"/>
              </w:rPr>
            </w:pPr>
          </w:p>
        </w:tc>
        <w:tc>
          <w:tcPr>
            <w:tcW w:w="1040" w:type="dxa"/>
            <w:vAlign w:val="bottom"/>
          </w:tcPr>
          <w:p>
            <w:pPr>
              <w:jc w:val="right"/>
              <w:ind w:right="153"/>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Investment</w:t>
            </w:r>
          </w:p>
        </w:tc>
        <w:tc>
          <w:tcPr>
            <w:tcW w:w="1020" w:type="dxa"/>
            <w:vAlign w:val="bottom"/>
          </w:tcPr>
          <w:p>
            <w:pPr>
              <w:jc w:val="right"/>
              <w:ind w:right="153"/>
              <w:spacing w:after="0"/>
              <w:rPr>
                <w:sz w:val="20"/>
                <w:szCs w:val="20"/>
                <w:color w:val="auto"/>
              </w:rPr>
            </w:pPr>
            <w:r>
              <w:rPr>
                <w:rFonts w:ascii="Arial" w:cs="Arial" w:eastAsia="Arial" w:hAnsi="Arial"/>
                <w:sz w:val="14"/>
                <w:szCs w:val="14"/>
                <w:b w:val="1"/>
                <w:bCs w:val="1"/>
                <w:color w:val="auto"/>
              </w:rPr>
              <w:t>Contracts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0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32,544</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32,058</w:t>
            </w:r>
          </w:p>
        </w:tc>
        <w:tc>
          <w:tcPr>
            <w:tcW w:w="102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27,695</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26,296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15,703</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15,629</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18,094</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17,915</w:t>
            </w:r>
          </w:p>
        </w:tc>
        <w:tc>
          <w:tcPr>
            <w:tcW w:w="0" w:type="dxa"/>
            <w:vAlign w:val="bottom"/>
          </w:tcPr>
          <w:p>
            <w:pPr>
              <w:spacing w:after="0"/>
              <w:rPr>
                <w:sz w:val="1"/>
                <w:szCs w:val="1"/>
                <w:color w:val="auto"/>
              </w:rPr>
            </w:pPr>
          </w:p>
        </w:tc>
      </w:tr>
      <w:tr>
        <w:trPr>
          <w:trHeight w:val="216"/>
        </w:trPr>
        <w:tc>
          <w:tcPr>
            <w:tcW w:w="374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0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2,870</w:t>
            </w:r>
          </w:p>
        </w:tc>
        <w:tc>
          <w:tcPr>
            <w:tcW w:w="102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2,848</w:t>
            </w:r>
          </w:p>
        </w:tc>
        <w:tc>
          <w:tcPr>
            <w:tcW w:w="8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2,847</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10,785</w:t>
            </w: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10,616</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11,360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11,280</w:t>
            </w:r>
          </w:p>
        </w:tc>
        <w:tc>
          <w:tcPr>
            <w:tcW w:w="0" w:type="dxa"/>
            <w:vAlign w:val="bottom"/>
          </w:tcPr>
          <w:p>
            <w:pPr>
              <w:spacing w:after="0"/>
              <w:rPr>
                <w:sz w:val="1"/>
                <w:szCs w:val="1"/>
                <w:color w:val="auto"/>
              </w:rPr>
            </w:pPr>
          </w:p>
        </w:tc>
      </w:tr>
      <w:tr>
        <w:trPr>
          <w:trHeight w:val="27"/>
        </w:trPr>
        <w:tc>
          <w:tcPr>
            <w:tcW w:w="3740" w:type="dxa"/>
            <w:vAlign w:val="bottom"/>
            <w:vMerge w:val="restart"/>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1040" w:type="dxa"/>
            <w:vAlign w:val="bottom"/>
            <w:tcBorders>
              <w:right w:val="single" w:sz="8" w:color="F0FFFF"/>
            </w:tcBorders>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020" w:type="dxa"/>
            <w:vAlign w:val="bottom"/>
            <w:tcBorders>
              <w:right w:val="single" w:sz="8" w:color="F0FFFF"/>
            </w:tcBorders>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740" w:type="dxa"/>
            <w:vAlign w:val="bottom"/>
            <w:vMerge w:val="continue"/>
            <w:shd w:val="clear" w:color="auto" w:fill="F0FFFF"/>
          </w:tcPr>
          <w:p>
            <w:pPr>
              <w:spacing w:after="0"/>
              <w:rPr>
                <w:sz w:val="22"/>
                <w:szCs w:val="22"/>
                <w:color w:val="auto"/>
              </w:rPr>
            </w:pPr>
          </w:p>
        </w:tc>
        <w:tc>
          <w:tcPr>
            <w:tcW w:w="10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shd w:val="clear" w:color="auto" w:fill="F0FFFF"/>
          </w:tcPr>
          <w:p>
            <w:pPr>
              <w:spacing w:after="0"/>
              <w:rPr>
                <w:sz w:val="22"/>
                <w:szCs w:val="22"/>
                <w:color w:val="auto"/>
              </w:rPr>
            </w:pPr>
          </w:p>
        </w:tc>
        <w:tc>
          <w:tcPr>
            <w:tcW w:w="8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61,987</w:t>
            </w:r>
          </w:p>
        </w:tc>
        <w:tc>
          <w:tcPr>
            <w:tcW w:w="10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61,173</w:t>
            </w:r>
          </w:p>
        </w:tc>
        <w:tc>
          <w:tcPr>
            <w:tcW w:w="102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108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59,997</w:t>
            </w:r>
          </w:p>
        </w:tc>
        <w:tc>
          <w:tcPr>
            <w:tcW w:w="80" w:type="dxa"/>
            <w:vAlign w:val="bottom"/>
            <w:shd w:val="clear" w:color="auto" w:fill="F0FFFF"/>
          </w:tcPr>
          <w:p>
            <w:pPr>
              <w:spacing w:after="0"/>
              <w:rPr>
                <w:sz w:val="22"/>
                <w:szCs w:val="22"/>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58,338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Residential mortgage</w:t>
            </w: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19,101</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18,836</w:t>
            </w:r>
          </w:p>
        </w:tc>
        <w:tc>
          <w:tcPr>
            <w:tcW w:w="1020" w:type="dxa"/>
            <w:vAlign w:val="bottom"/>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18,630</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17,836</w:t>
            </w:r>
          </w:p>
        </w:tc>
        <w:tc>
          <w:tcPr>
            <w:tcW w:w="0" w:type="dxa"/>
            <w:vAlign w:val="bottom"/>
          </w:tcPr>
          <w:p>
            <w:pPr>
              <w:spacing w:after="0"/>
              <w:rPr>
                <w:sz w:val="1"/>
                <w:szCs w:val="1"/>
                <w:color w:val="auto"/>
              </w:rPr>
            </w:pPr>
          </w:p>
        </w:tc>
      </w:tr>
      <w:tr>
        <w:trPr>
          <w:trHeight w:val="216"/>
        </w:trPr>
        <w:tc>
          <w:tcPr>
            <w:tcW w:w="374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0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167</w:t>
            </w:r>
          </w:p>
        </w:tc>
        <w:tc>
          <w:tcPr>
            <w:tcW w:w="102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478</w:t>
            </w:r>
          </w:p>
        </w:tc>
        <w:tc>
          <w:tcPr>
            <w:tcW w:w="8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5,334</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8,962</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8,265</w:t>
            </w:r>
          </w:p>
        </w:tc>
        <w:tc>
          <w:tcPr>
            <w:tcW w:w="0" w:type="dxa"/>
            <w:vAlign w:val="bottom"/>
          </w:tcPr>
          <w:p>
            <w:pPr>
              <w:spacing w:after="0"/>
              <w:rPr>
                <w:sz w:val="1"/>
                <w:szCs w:val="1"/>
                <w:color w:val="auto"/>
              </w:rPr>
            </w:pPr>
          </w:p>
        </w:tc>
      </w:tr>
      <w:tr>
        <w:trPr>
          <w:trHeight w:val="216"/>
        </w:trPr>
        <w:tc>
          <w:tcPr>
            <w:tcW w:w="374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04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329</w:t>
            </w:r>
          </w:p>
        </w:tc>
        <w:tc>
          <w:tcPr>
            <w:tcW w:w="102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8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179</w:t>
            </w:r>
          </w:p>
        </w:tc>
        <w:tc>
          <w:tcPr>
            <w:tcW w:w="8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Indirect auto</w:t>
            </w:r>
          </w:p>
        </w:tc>
        <w:tc>
          <w:tcPr>
            <w:tcW w:w="104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749</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374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1040" w:type="dxa"/>
            <w:vAlign w:val="bottom"/>
            <w:tcBorders>
              <w:top w:val="single" w:sz="8" w:color="auto"/>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88,015</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86,588</w:t>
            </w:r>
          </w:p>
        </w:tc>
        <w:tc>
          <w:tcPr>
            <w:tcW w:w="220" w:type="dxa"/>
            <w:vAlign w:val="bottom"/>
            <w:tcBorders>
              <w:top w:val="single" w:sz="8" w:color="F0FFFF"/>
              <w:bottom w:val="single" w:sz="8" w:color="F0FFFF"/>
            </w:tcBorders>
            <w:shd w:val="clear" w:color="auto" w:fill="F0FFFF"/>
          </w:tcPr>
          <w:p>
            <w:pPr>
              <w:spacing w:after="0"/>
              <w:rPr>
                <w:sz w:val="21"/>
                <w:szCs w:val="21"/>
                <w:color w:val="auto"/>
              </w:rPr>
            </w:pPr>
          </w:p>
        </w:tc>
        <w:tc>
          <w:tcPr>
            <w:tcW w:w="1020" w:type="dxa"/>
            <w:vAlign w:val="bottom"/>
            <w:tcBorders>
              <w:top w:val="single" w:sz="8" w:color="auto"/>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352</w:t>
            </w:r>
          </w:p>
        </w:tc>
        <w:tc>
          <w:tcPr>
            <w:tcW w:w="16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88,246</w:t>
            </w:r>
          </w:p>
        </w:tc>
        <w:tc>
          <w:tcPr>
            <w:tcW w:w="200" w:type="dxa"/>
            <w:vAlign w:val="bottom"/>
            <w:tcBorders>
              <w:top w:val="single" w:sz="8" w:color="F0FFFF"/>
              <w:bottom w:val="single" w:sz="8" w:color="F0FFFF"/>
              <w:right w:val="single" w:sz="8" w:color="F0FFFF"/>
            </w:tcBorders>
            <w:shd w:val="clear" w:color="auto" w:fill="F0FFFF"/>
          </w:tcPr>
          <w:p>
            <w:pPr>
              <w:spacing w:after="0"/>
              <w:rPr>
                <w:sz w:val="21"/>
                <w:szCs w:val="21"/>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85,096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020" w:type="dxa"/>
            <w:vAlign w:val="bottom"/>
            <w:tcBorders>
              <w:top w:val="single" w:sz="8" w:color="F0FFFF"/>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Collateral dependent TDRs that subsequently default or are placed on nonaccrual are charged down to the fair value of the collateral consistent with United’s policy for nonaccrual loans. Impairment on TDRs that are not collateral dependent continues to be measured based on discounted cash flows regardless of whether the loan has subsequently defaulted.</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December 31, 2015 and 2014, United has allocated $6.37 million and $9.72 million, respectively, of specific reserves to customers whose loan terms have been modified in TDRs. United committed to lend additional amounts totaling up to $224,000 and $51,000 as of December 31, 2015 and 2014, respectively, to customers with outstanding loans that are classified as TDRs.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current industry and economic trends, among other factors. United analyzes loans individually by classifying the loans as to credit risk. This analysis is performed on a continuous basis. United uses the following definitions for its risk ratings:</w:t>
      </w:r>
    </w:p>
    <w:p>
      <w:pPr>
        <w:spacing w:after="0" w:line="18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Watch</w:t>
      </w:r>
      <w:r>
        <w:rPr>
          <w:rFonts w:ascii="Arial" w:cs="Arial" w:eastAsia="Arial" w:hAnsi="Arial"/>
          <w:sz w:val="18"/>
          <w:szCs w:val="18"/>
          <w:color w:val="auto"/>
        </w:rPr>
        <w:t>. 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w:t>
      </w:r>
      <w:r>
        <w:rPr>
          <w:rFonts w:ascii="Arial" w:cs="Arial" w:eastAsia="Arial" w:hAnsi="Arial"/>
          <w:sz w:val="18"/>
          <w:szCs w:val="18"/>
          <w:b w:val="1"/>
          <w:bCs w:val="1"/>
          <w:color w:val="auto"/>
        </w:rPr>
        <w:t xml:space="preserve"> </w:t>
      </w:r>
      <w:r>
        <w:rPr>
          <w:rFonts w:ascii="Arial" w:cs="Arial" w:eastAsia="Arial" w:hAnsi="Arial"/>
          <w:sz w:val="18"/>
          <w:szCs w:val="18"/>
          <w:color w:val="auto"/>
        </w:rPr>
        <w:t>and 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w:t>
      </w:r>
      <w:r>
        <w:rPr>
          <w:rFonts w:ascii="Arial" w:cs="Arial" w:eastAsia="Arial" w:hAnsi="Arial"/>
          <w:sz w:val="18"/>
          <w:szCs w:val="18"/>
          <w:b w:val="1"/>
          <w:bCs w:val="1"/>
          <w:color w:val="auto"/>
        </w:rPr>
        <w:t xml:space="preserve"> </w:t>
      </w:r>
      <w:r>
        <w:rPr>
          <w:rFonts w:ascii="Arial" w:cs="Arial" w:eastAsia="Arial" w:hAnsi="Arial"/>
          <w:sz w:val="18"/>
          <w:szCs w:val="18"/>
          <w:color w:val="auto"/>
        </w:rPr>
        <w:t>is no reliable secondary source of full repayment.</w:t>
      </w:r>
    </w:p>
    <w:p>
      <w:pPr>
        <w:spacing w:after="0" w:line="162"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Loans categorized as Loss have the same characteristics as Doubtful however probability of loss is certain. Loans classified as Loss are charged-off.</w:t>
      </w:r>
    </w:p>
    <w:p>
      <w:pPr>
        <w:spacing w:after="0" w:line="162"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Consumer Purpose Loans</w:t>
      </w:r>
      <w:r>
        <w:rPr>
          <w:rFonts w:ascii="Arial" w:cs="Arial" w:eastAsia="Arial" w:hAnsi="Arial"/>
          <w:sz w:val="18"/>
          <w:szCs w:val="18"/>
          <w:color w:val="auto"/>
        </w:rPr>
        <w:t>. Beginning in the first quarter of 2014, United began to apply a pass / fail grading system to all consumer purpose loans.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pass / fail grading system, consumer purpose loans meeting the criteria of substandard or worse are classified as “fail” and all other loans are classified as “pass”. For reporting purposes, consumer purpose loans classified as “fail” are reported in the substandard column and all other consumer purpose loans are reported in the “pass” column.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Credit Losses, continued</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36"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As of December 31, 2015 and 2014, and based on the most recent analysis performed, the risk category of loans by class of loans is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Pass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Watch</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3"/>
              </w:rPr>
              <w:t>Substandard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31"/>
              <w:spacing w:after="0"/>
              <w:rPr>
                <w:sz w:val="20"/>
                <w:szCs w:val="20"/>
                <w:color w:val="auto"/>
              </w:rPr>
            </w:pPr>
            <w:r>
              <w:rPr>
                <w:rFonts w:ascii="Arial" w:cs="Arial" w:eastAsia="Arial" w:hAnsi="Arial"/>
                <w:sz w:val="14"/>
                <w:szCs w:val="14"/>
                <w:b w:val="1"/>
                <w:bCs w:val="1"/>
                <w:color w:val="auto"/>
              </w:rPr>
              <w:t>Doubtful /</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11"/>
              <w:spacing w:after="0"/>
              <w:rPr>
                <w:sz w:val="20"/>
                <w:szCs w:val="20"/>
                <w:color w:val="auto"/>
              </w:rPr>
            </w:pPr>
            <w:r>
              <w:rPr>
                <w:rFonts w:ascii="Arial" w:cs="Arial" w:eastAsia="Arial" w:hAnsi="Arial"/>
                <w:sz w:val="14"/>
                <w:szCs w:val="14"/>
                <w:b w:val="1"/>
                <w:bCs w:val="1"/>
                <w:color w:val="auto"/>
              </w:rPr>
              <w:t>Loss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40" w:type="dxa"/>
            <w:vAlign w:val="bottom"/>
            <w:tcBorders>
              <w:top w:val="single" w:sz="8" w:color="F0FFFF"/>
            </w:tcBorders>
            <w:gridSpan w:val="2"/>
            <w:shd w:val="clear" w:color="auto" w:fill="F0FFFF"/>
          </w:tcPr>
          <w:p>
            <w:pPr>
              <w:spacing w:after="0" w:line="176" w:lineRule="exact"/>
              <w:rPr>
                <w:sz w:val="20"/>
                <w:szCs w:val="20"/>
                <w:color w:val="auto"/>
              </w:rPr>
            </w:pPr>
            <w:r>
              <w:rPr>
                <w:rFonts w:ascii="Arial" w:cs="Arial" w:eastAsia="Arial" w:hAnsi="Arial"/>
                <w:sz w:val="18"/>
                <w:szCs w:val="18"/>
                <w:b w:val="1"/>
                <w:bCs w:val="1"/>
                <w:color w:val="auto"/>
              </w:rPr>
              <w:t>As of December 31, 2015</w:t>
            </w:r>
          </w:p>
        </w:tc>
        <w:tc>
          <w:tcPr>
            <w:tcW w:w="260" w:type="dxa"/>
            <w:vAlign w:val="bottom"/>
            <w:tcBorders>
              <w:top w:val="single" w:sz="8" w:color="F0FFFF"/>
            </w:tcBorders>
            <w:shd w:val="clear" w:color="auto" w:fill="F0FFFF"/>
          </w:tcPr>
          <w:p>
            <w:pPr>
              <w:spacing w:after="0"/>
              <w:rPr>
                <w:sz w:val="15"/>
                <w:szCs w:val="15"/>
                <w:color w:val="auto"/>
              </w:rPr>
            </w:pPr>
          </w:p>
        </w:tc>
        <w:tc>
          <w:tcPr>
            <w:tcW w:w="220" w:type="dxa"/>
            <w:vAlign w:val="bottom"/>
            <w:tcBorders>
              <w:top w:val="single" w:sz="8" w:color="auto"/>
            </w:tcBorders>
            <w:shd w:val="clear" w:color="auto" w:fill="F0FFFF"/>
          </w:tcPr>
          <w:p>
            <w:pPr>
              <w:spacing w:after="0"/>
              <w:rPr>
                <w:sz w:val="15"/>
                <w:szCs w:val="15"/>
                <w:color w:val="auto"/>
              </w:rPr>
            </w:pPr>
          </w:p>
        </w:tc>
        <w:tc>
          <w:tcPr>
            <w:tcW w:w="860" w:type="dxa"/>
            <w:vAlign w:val="bottom"/>
            <w:tcBorders>
              <w:top w:val="single" w:sz="8" w:color="auto"/>
            </w:tcBorders>
            <w:shd w:val="clear" w:color="auto" w:fill="F0FFFF"/>
          </w:tcPr>
          <w:p>
            <w:pPr>
              <w:spacing w:after="0"/>
              <w:rPr>
                <w:sz w:val="15"/>
                <w:szCs w:val="15"/>
                <w:color w:val="auto"/>
              </w:rPr>
            </w:pPr>
          </w:p>
        </w:tc>
        <w:tc>
          <w:tcPr>
            <w:tcW w:w="220" w:type="dxa"/>
            <w:vAlign w:val="bottom"/>
            <w:tcBorders>
              <w:top w:val="single" w:sz="8" w:color="F0FFFF"/>
            </w:tcBorders>
            <w:shd w:val="clear" w:color="auto" w:fill="F0FFFF"/>
          </w:tcPr>
          <w:p>
            <w:pPr>
              <w:spacing w:after="0"/>
              <w:rPr>
                <w:sz w:val="15"/>
                <w:szCs w:val="15"/>
                <w:color w:val="auto"/>
              </w:rPr>
            </w:pPr>
          </w:p>
        </w:tc>
        <w:tc>
          <w:tcPr>
            <w:tcW w:w="220" w:type="dxa"/>
            <w:vAlign w:val="bottom"/>
            <w:tcBorders>
              <w:top w:val="single" w:sz="8" w:color="auto"/>
            </w:tcBorders>
            <w:shd w:val="clear" w:color="auto" w:fill="F0FFFF"/>
          </w:tcPr>
          <w:p>
            <w:pPr>
              <w:spacing w:after="0"/>
              <w:rPr>
                <w:sz w:val="15"/>
                <w:szCs w:val="15"/>
                <w:color w:val="auto"/>
              </w:rPr>
            </w:pPr>
          </w:p>
        </w:tc>
        <w:tc>
          <w:tcPr>
            <w:tcW w:w="840" w:type="dxa"/>
            <w:vAlign w:val="bottom"/>
            <w:tcBorders>
              <w:top w:val="single" w:sz="8" w:color="auto"/>
            </w:tcBorders>
            <w:shd w:val="clear" w:color="auto" w:fill="F0FFFF"/>
          </w:tcPr>
          <w:p>
            <w:pPr>
              <w:spacing w:after="0"/>
              <w:rPr>
                <w:sz w:val="15"/>
                <w:szCs w:val="15"/>
                <w:color w:val="auto"/>
              </w:rPr>
            </w:pPr>
          </w:p>
        </w:tc>
        <w:tc>
          <w:tcPr>
            <w:tcW w:w="200" w:type="dxa"/>
            <w:vAlign w:val="bottom"/>
            <w:tcBorders>
              <w:top w:val="single" w:sz="8" w:color="F0FFFF"/>
            </w:tcBorders>
            <w:shd w:val="clear" w:color="auto" w:fill="F0FFFF"/>
          </w:tcPr>
          <w:p>
            <w:pPr>
              <w:spacing w:after="0"/>
              <w:rPr>
                <w:sz w:val="15"/>
                <w:szCs w:val="15"/>
                <w:color w:val="auto"/>
              </w:rPr>
            </w:pPr>
          </w:p>
        </w:tc>
        <w:tc>
          <w:tcPr>
            <w:tcW w:w="100" w:type="dxa"/>
            <w:vAlign w:val="bottom"/>
            <w:tcBorders>
              <w:top w:val="single" w:sz="8" w:color="auto"/>
            </w:tcBorders>
            <w:shd w:val="clear" w:color="auto" w:fill="F0FFFF"/>
          </w:tcPr>
          <w:p>
            <w:pPr>
              <w:spacing w:after="0"/>
              <w:rPr>
                <w:sz w:val="15"/>
                <w:szCs w:val="15"/>
                <w:color w:val="auto"/>
              </w:rPr>
            </w:pPr>
          </w:p>
        </w:tc>
        <w:tc>
          <w:tcPr>
            <w:tcW w:w="940" w:type="dxa"/>
            <w:vAlign w:val="bottom"/>
            <w:tcBorders>
              <w:top w:val="single" w:sz="8" w:color="auto"/>
            </w:tcBorders>
            <w:shd w:val="clear" w:color="auto" w:fill="F0FFFF"/>
          </w:tcPr>
          <w:p>
            <w:pPr>
              <w:spacing w:after="0"/>
              <w:rPr>
                <w:sz w:val="15"/>
                <w:szCs w:val="15"/>
                <w:color w:val="auto"/>
              </w:rPr>
            </w:pPr>
          </w:p>
        </w:tc>
        <w:tc>
          <w:tcPr>
            <w:tcW w:w="200" w:type="dxa"/>
            <w:vAlign w:val="bottom"/>
            <w:tcBorders>
              <w:top w:val="single" w:sz="8" w:color="F0FFFF"/>
            </w:tcBorders>
            <w:shd w:val="clear" w:color="auto" w:fill="F0FFFF"/>
          </w:tcPr>
          <w:p>
            <w:pPr>
              <w:spacing w:after="0"/>
              <w:rPr>
                <w:sz w:val="15"/>
                <w:szCs w:val="15"/>
                <w:color w:val="auto"/>
              </w:rPr>
            </w:pPr>
          </w:p>
        </w:tc>
        <w:tc>
          <w:tcPr>
            <w:tcW w:w="140" w:type="dxa"/>
            <w:vAlign w:val="bottom"/>
            <w:tcBorders>
              <w:top w:val="single" w:sz="8" w:color="auto"/>
            </w:tcBorders>
            <w:shd w:val="clear" w:color="auto" w:fill="F0FFFF"/>
          </w:tcPr>
          <w:p>
            <w:pPr>
              <w:spacing w:after="0"/>
              <w:rPr>
                <w:sz w:val="15"/>
                <w:szCs w:val="15"/>
                <w:color w:val="auto"/>
              </w:rPr>
            </w:pPr>
          </w:p>
        </w:tc>
        <w:tc>
          <w:tcPr>
            <w:tcW w:w="920" w:type="dxa"/>
            <w:vAlign w:val="bottom"/>
            <w:tcBorders>
              <w:top w:val="single" w:sz="8" w:color="auto"/>
            </w:tcBorders>
            <w:shd w:val="clear" w:color="auto" w:fill="F0FFFF"/>
          </w:tcPr>
          <w:p>
            <w:pPr>
              <w:spacing w:after="0"/>
              <w:rPr>
                <w:sz w:val="15"/>
                <w:szCs w:val="15"/>
                <w:color w:val="auto"/>
              </w:rPr>
            </w:pPr>
          </w:p>
        </w:tc>
        <w:tc>
          <w:tcPr>
            <w:tcW w:w="180" w:type="dxa"/>
            <w:vAlign w:val="bottom"/>
            <w:tcBorders>
              <w:top w:val="single" w:sz="8" w:color="F0FFFF"/>
            </w:tcBorders>
            <w:shd w:val="clear" w:color="auto" w:fill="F0FFFF"/>
          </w:tcPr>
          <w:p>
            <w:pPr>
              <w:spacing w:after="0"/>
              <w:rPr>
                <w:sz w:val="15"/>
                <w:szCs w:val="15"/>
                <w:color w:val="auto"/>
              </w:rPr>
            </w:pPr>
          </w:p>
        </w:tc>
        <w:tc>
          <w:tcPr>
            <w:tcW w:w="200" w:type="dxa"/>
            <w:vAlign w:val="bottom"/>
            <w:tcBorders>
              <w:top w:val="single" w:sz="8" w:color="auto"/>
            </w:tcBorders>
            <w:shd w:val="clear" w:color="auto" w:fill="F0FFFF"/>
          </w:tcPr>
          <w:p>
            <w:pPr>
              <w:spacing w:after="0"/>
              <w:rPr>
                <w:sz w:val="15"/>
                <w:szCs w:val="15"/>
                <w:color w:val="auto"/>
              </w:rPr>
            </w:pPr>
          </w:p>
        </w:tc>
        <w:tc>
          <w:tcPr>
            <w:tcW w:w="860" w:type="dxa"/>
            <w:vAlign w:val="bottom"/>
            <w:tcBorders>
              <w:top w:val="single" w:sz="8" w:color="auto"/>
            </w:tcBorders>
            <w:shd w:val="clear" w:color="auto" w:fill="F0FFFF"/>
          </w:tcPr>
          <w:p>
            <w:pPr>
              <w:spacing w:after="0"/>
              <w:rPr>
                <w:sz w:val="15"/>
                <w:szCs w:val="15"/>
                <w:color w:val="auto"/>
              </w:rPr>
            </w:pPr>
          </w:p>
        </w:tc>
        <w:tc>
          <w:tcPr>
            <w:tcW w:w="80" w:type="dxa"/>
            <w:vAlign w:val="bottom"/>
            <w:tcBorders>
              <w:top w:val="single" w:sz="8" w:color="F0FFFF"/>
            </w:tcBorders>
            <w:shd w:val="clear" w:color="auto" w:fill="F0FFFF"/>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880" w:type="dxa"/>
            <w:vAlign w:val="bottom"/>
            <w:tcBorders>
              <w:top w:val="single" w:sz="8" w:color="auto"/>
            </w:tcBorders>
            <w:shd w:val="clear" w:color="auto" w:fill="F0FFFF"/>
          </w:tcPr>
          <w:p>
            <w:pPr>
              <w:spacing w:after="0" w:line="20" w:lineRule="exact"/>
              <w:rPr>
                <w:sz w:val="1"/>
                <w:szCs w:val="1"/>
                <w:color w:val="auto"/>
              </w:rPr>
            </w:pPr>
          </w:p>
        </w:tc>
        <w:tc>
          <w:tcPr>
            <w:tcW w:w="13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Owner occupied commercial real estate</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1,414,353</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24,175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41,764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1,480,292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shd w:val="clear" w:color="auto" w:fill="F0FFFF"/>
          </w:tcPr>
          <w:p>
            <w:pPr>
              <w:spacing w:after="0"/>
              <w:rPr>
                <w:sz w:val="20"/>
                <w:szCs w:val="20"/>
                <w:color w:val="auto"/>
              </w:rPr>
            </w:pPr>
            <w:r>
              <w:rPr>
                <w:rFonts w:ascii="Arial" w:cs="Arial" w:eastAsia="Arial" w:hAnsi="Arial"/>
                <w:sz w:val="18"/>
                <w:szCs w:val="18"/>
                <w:color w:val="auto"/>
                <w:w w:val="97"/>
              </w:rPr>
              <w:t>Income producing commercial real estate</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771,792</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4,151</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20,015</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795,958</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770,287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784,762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2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335,571</w:t>
            </w:r>
          </w:p>
        </w:tc>
        <w:tc>
          <w:tcPr>
            <w:tcW w:w="2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3,069</w:t>
            </w:r>
          </w:p>
        </w:tc>
        <w:tc>
          <w:tcPr>
            <w:tcW w:w="2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1,296</w:t>
            </w:r>
          </w:p>
        </w:tc>
        <w:tc>
          <w:tcPr>
            <w:tcW w:w="2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339,936</w:t>
            </w:r>
          </w:p>
        </w:tc>
        <w:tc>
          <w:tcPr>
            <w:tcW w:w="80" w:type="dxa"/>
            <w:vAlign w:val="bottom"/>
            <w:tcBorders>
              <w:bottom w:val="single" w:sz="8" w:color="F0FFFF"/>
            </w:tcBorders>
            <w:shd w:val="clear" w:color="auto" w:fill="F0FF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2"/>
          </w:tcPr>
          <w:p>
            <w:pPr>
              <w:ind w:left="140"/>
              <w:spacing w:after="0"/>
              <w:rPr>
                <w:sz w:val="20"/>
                <w:szCs w:val="20"/>
                <w:color w:val="auto"/>
              </w:rPr>
            </w:pPr>
            <w:r>
              <w:rPr>
                <w:rFonts w:ascii="Arial" w:cs="Arial" w:eastAsia="Arial" w:hAnsi="Arial"/>
                <w:sz w:val="18"/>
                <w:szCs w:val="18"/>
                <w:color w:val="auto"/>
              </w:rPr>
              <w:t>Total commercial</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3,292,003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39,566</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69,379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3,400,948</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985,109</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5,070</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35,308</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1,025,487</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589,749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596,118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335,341</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3,813</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11,423</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350,577</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114,178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115,070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453,935</w:t>
            </w:r>
          </w:p>
        </w:tc>
        <w:tc>
          <w:tcPr>
            <w:tcW w:w="2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1,987</w:t>
            </w:r>
          </w:p>
        </w:tc>
        <w:tc>
          <w:tcPr>
            <w:tcW w:w="2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455,922</w:t>
            </w:r>
          </w:p>
        </w:tc>
        <w:tc>
          <w:tcPr>
            <w:tcW w:w="80" w:type="dxa"/>
            <w:vAlign w:val="bottom"/>
            <w:tcBorders>
              <w:bottom w:val="single" w:sz="8" w:color="F0FFFF"/>
            </w:tcBorders>
            <w:shd w:val="clear" w:color="auto" w:fill="F0FF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tcPr>
          <w:p>
            <w:pPr>
              <w:ind w:left="140"/>
              <w:spacing w:after="0"/>
              <w:rPr>
                <w:sz w:val="20"/>
                <w:szCs w:val="20"/>
                <w:color w:val="auto"/>
              </w:rPr>
            </w:pPr>
            <w:r>
              <w:rPr>
                <w:rFonts w:ascii="Arial" w:cs="Arial" w:eastAsia="Arial" w:hAnsi="Arial"/>
                <w:sz w:val="18"/>
                <w:szCs w:val="18"/>
                <w:color w:val="auto"/>
              </w:rPr>
              <w:t>Total loans, excluding PCI loans</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5,770,315</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125,334</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5,944,122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Borders>
              <w:bottom w:val="single" w:sz="8" w:color="F0FFFF"/>
            </w:tcBorders>
          </w:tcPr>
          <w:p>
            <w:pPr>
              <w:spacing w:after="0" w:line="20" w:lineRule="exact"/>
              <w:rPr>
                <w:sz w:val="1"/>
                <w:szCs w:val="1"/>
                <w:color w:val="auto"/>
              </w:rPr>
            </w:pPr>
          </w:p>
        </w:tc>
        <w:tc>
          <w:tcPr>
            <w:tcW w:w="136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1,811</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jc w:val="center"/>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6,705</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4,809</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13,674</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w w:val="97"/>
              </w:rPr>
              <w:t>Income producing commercial real estate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27,771</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655</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Borders>
              <w:bottom w:val="single" w:sz="8" w:color="F0FFFF"/>
            </w:tcBorders>
            <w:gridSpan w:val="2"/>
          </w:tcPr>
          <w:p>
            <w:pPr>
              <w:spacing w:after="0"/>
              <w:rPr>
                <w:sz w:val="20"/>
                <w:szCs w:val="20"/>
                <w:color w:val="auto"/>
              </w:rPr>
            </w:pPr>
            <w:r>
              <w:rPr>
                <w:rFonts w:ascii="Arial" w:cs="Arial" w:eastAsia="Arial" w:hAnsi="Arial"/>
                <w:sz w:val="18"/>
                <w:szCs w:val="18"/>
                <w:color w:val="auto"/>
              </w:rPr>
              <w:t>Commercial construction</w:t>
            </w:r>
          </w:p>
        </w:tc>
        <w:tc>
          <w:tcPr>
            <w:tcW w:w="26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22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0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80" w:type="dxa"/>
            <w:vAlign w:val="bottom"/>
            <w:tcBorders>
              <w:bottom w:val="single" w:sz="8" w:color="F0FFFF"/>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40" w:type="dxa"/>
            <w:vAlign w:val="bottom"/>
            <w:gridSpan w:val="2"/>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26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12,904</w:t>
            </w:r>
          </w:p>
        </w:tc>
        <w:tc>
          <w:tcPr>
            <w:tcW w:w="220" w:type="dxa"/>
            <w:vAlign w:val="bottom"/>
            <w:shd w:val="clear" w:color="auto" w:fill="F0FFFF"/>
          </w:tcPr>
          <w:p>
            <w:pPr>
              <w:spacing w:after="0"/>
              <w:rPr>
                <w:sz w:val="22"/>
                <w:szCs w:val="22"/>
                <w:color w:val="auto"/>
              </w:rPr>
            </w:pPr>
          </w:p>
        </w:tc>
        <w:tc>
          <w:tcPr>
            <w:tcW w:w="220" w:type="dxa"/>
            <w:vAlign w:val="bottom"/>
            <w:shd w:val="clear" w:color="auto" w:fill="F0FFFF"/>
          </w:tcPr>
          <w:p>
            <w:pPr>
              <w:spacing w:after="0"/>
              <w:rPr>
                <w:sz w:val="22"/>
                <w:szCs w:val="22"/>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12,560</w:t>
            </w:r>
          </w:p>
        </w:tc>
        <w:tc>
          <w:tcPr>
            <w:tcW w:w="200" w:type="dxa"/>
            <w:vAlign w:val="bottom"/>
            <w:shd w:val="clear" w:color="auto" w:fill="F0FFFF"/>
          </w:tcPr>
          <w:p>
            <w:pPr>
              <w:spacing w:after="0"/>
              <w:rPr>
                <w:sz w:val="22"/>
                <w:szCs w:val="22"/>
                <w:color w:val="auto"/>
              </w:rPr>
            </w:pPr>
          </w:p>
        </w:tc>
        <w:tc>
          <w:tcPr>
            <w:tcW w:w="100" w:type="dxa"/>
            <w:vAlign w:val="bottom"/>
            <w:shd w:val="clear" w:color="auto" w:fill="F0FFFF"/>
          </w:tcPr>
          <w:p>
            <w:pPr>
              <w:spacing w:after="0"/>
              <w:rPr>
                <w:sz w:val="22"/>
                <w:szCs w:val="22"/>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18,379</w:t>
            </w:r>
          </w:p>
        </w:tc>
        <w:tc>
          <w:tcPr>
            <w:tcW w:w="200" w:type="dxa"/>
            <w:vAlign w:val="bottom"/>
            <w:shd w:val="clear" w:color="auto" w:fill="F0FFFF"/>
          </w:tcPr>
          <w:p>
            <w:pPr>
              <w:spacing w:after="0"/>
              <w:rPr>
                <w:sz w:val="22"/>
                <w:szCs w:val="22"/>
                <w:color w:val="auto"/>
              </w:rPr>
            </w:pPr>
          </w:p>
        </w:tc>
        <w:tc>
          <w:tcPr>
            <w:tcW w:w="140" w:type="dxa"/>
            <w:vAlign w:val="bottom"/>
            <w:shd w:val="clear" w:color="auto" w:fill="F0FFFF"/>
          </w:tcPr>
          <w:p>
            <w:pPr>
              <w:spacing w:after="0"/>
              <w:rPr>
                <w:sz w:val="22"/>
                <w:szCs w:val="22"/>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399</w:t>
            </w:r>
          </w:p>
        </w:tc>
        <w:tc>
          <w:tcPr>
            <w:tcW w:w="180" w:type="dxa"/>
            <w:vAlign w:val="bottom"/>
            <w:shd w:val="clear" w:color="auto" w:fill="F0FFFF"/>
          </w:tcPr>
          <w:p>
            <w:pPr>
              <w:spacing w:after="0"/>
              <w:rPr>
                <w:sz w:val="22"/>
                <w:szCs w:val="22"/>
                <w:color w:val="auto"/>
              </w:rPr>
            </w:pPr>
          </w:p>
        </w:tc>
        <w:tc>
          <w:tcPr>
            <w:tcW w:w="200" w:type="dxa"/>
            <w:vAlign w:val="bottom"/>
            <w:shd w:val="clear" w:color="auto" w:fill="F0FFFF"/>
          </w:tcPr>
          <w:p>
            <w:pPr>
              <w:spacing w:after="0"/>
              <w:rPr>
                <w:sz w:val="22"/>
                <w:szCs w:val="22"/>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44,242</w:t>
            </w:r>
          </w:p>
        </w:tc>
        <w:tc>
          <w:tcPr>
            <w:tcW w:w="80" w:type="dxa"/>
            <w:vAlign w:val="bottom"/>
            <w:shd w:val="clear" w:color="auto" w:fill="F0FFFF"/>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1,474</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1,688</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1,123</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40" w:type="dxa"/>
            <w:vAlign w:val="bottom"/>
            <w:tcBorders>
              <w:bottom w:val="single" w:sz="8" w:color="F0FFFF"/>
            </w:tcBorders>
            <w:gridSpan w:val="2"/>
          </w:tcPr>
          <w:p>
            <w:pPr>
              <w:spacing w:after="0"/>
              <w:rPr>
                <w:sz w:val="20"/>
                <w:szCs w:val="20"/>
                <w:color w:val="auto"/>
              </w:rPr>
            </w:pPr>
            <w:r>
              <w:rPr>
                <w:rFonts w:ascii="Arial" w:cs="Arial" w:eastAsia="Arial" w:hAnsi="Arial"/>
                <w:sz w:val="18"/>
                <w:szCs w:val="18"/>
                <w:color w:val="auto"/>
              </w:rPr>
              <w:t>Indirect auto</w:t>
            </w:r>
          </w:p>
        </w:tc>
        <w:tc>
          <w:tcPr>
            <w:tcW w:w="26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80" w:type="dxa"/>
            <w:vAlign w:val="bottom"/>
            <w:tcBorders>
              <w:bottom w:val="single" w:sz="8" w:color="F0FFFF"/>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tcBorders>
              <w:bottom w:val="single" w:sz="8" w:color="F0FFFF"/>
            </w:tcBorders>
            <w:gridSpan w:val="2"/>
            <w:shd w:val="clear" w:color="auto" w:fill="F0FFFF"/>
          </w:tcPr>
          <w:p>
            <w:pPr>
              <w:ind w:left="140"/>
              <w:spacing w:after="0"/>
              <w:rPr>
                <w:sz w:val="20"/>
                <w:szCs w:val="20"/>
                <w:color w:val="auto"/>
              </w:rPr>
            </w:pPr>
            <w:r>
              <w:rPr>
                <w:rFonts w:ascii="Arial" w:cs="Arial" w:eastAsia="Arial" w:hAnsi="Arial"/>
                <w:sz w:val="18"/>
                <w:szCs w:val="18"/>
                <w:color w:val="auto"/>
              </w:rPr>
              <w:t>Total PCI loans</w:t>
            </w:r>
          </w:p>
        </w:tc>
        <w:tc>
          <w:tcPr>
            <w:tcW w:w="2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13,464</w:t>
            </w:r>
          </w:p>
        </w:tc>
        <w:tc>
          <w:tcPr>
            <w:tcW w:w="2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center"/>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13,009</w:t>
            </w:r>
          </w:p>
        </w:tc>
        <w:tc>
          <w:tcPr>
            <w:tcW w:w="2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23,935</w:t>
            </w:r>
          </w:p>
        </w:tc>
        <w:tc>
          <w:tcPr>
            <w:tcW w:w="2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911</w:t>
            </w:r>
          </w:p>
        </w:tc>
        <w:tc>
          <w:tcPr>
            <w:tcW w:w="18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51,319</w:t>
            </w:r>
          </w:p>
        </w:tc>
        <w:tc>
          <w:tcPr>
            <w:tcW w:w="80" w:type="dxa"/>
            <w:vAlign w:val="bottom"/>
            <w:tcBorders>
              <w:bottom w:val="single" w:sz="8" w:color="F0FFFF"/>
            </w:tcBorders>
            <w:shd w:val="clear" w:color="auto" w:fill="F0FF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Borders>
              <w:top w:val="single" w:sz="8" w:color="F0FFFF"/>
            </w:tcBorders>
          </w:tcPr>
          <w:p>
            <w:pPr>
              <w:spacing w:after="0" w:line="20" w:lineRule="exact"/>
              <w:rPr>
                <w:sz w:val="1"/>
                <w:szCs w:val="1"/>
                <w:color w:val="auto"/>
              </w:rPr>
            </w:pPr>
          </w:p>
        </w:tc>
        <w:tc>
          <w:tcPr>
            <w:tcW w:w="13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bottom w:val="single" w:sz="8" w:color="auto"/>
            </w:tcBorders>
          </w:tcPr>
          <w:p>
            <w:pPr>
              <w:spacing w:after="0" w:line="20" w:lineRule="exact"/>
              <w:rPr>
                <w:sz w:val="1"/>
                <w:szCs w:val="1"/>
                <w:color w:val="auto"/>
              </w:rPr>
            </w:pPr>
          </w:p>
        </w:tc>
        <w:tc>
          <w:tcPr>
            <w:tcW w:w="940" w:type="dxa"/>
            <w:vAlign w:val="bottom"/>
            <w:tcBorders>
              <w:top w:val="single" w:sz="8" w:color="F0FFFF"/>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bottom w:val="single" w:sz="8" w:color="auto"/>
            </w:tcBorders>
          </w:tcPr>
          <w:p>
            <w:pPr>
              <w:spacing w:after="0" w:line="20" w:lineRule="exact"/>
              <w:rPr>
                <w:sz w:val="1"/>
                <w:szCs w:val="1"/>
                <w:color w:val="auto"/>
              </w:rPr>
            </w:pPr>
          </w:p>
        </w:tc>
        <w:tc>
          <w:tcPr>
            <w:tcW w:w="92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bottom w:val="single" w:sz="8" w:color="auto"/>
            </w:tcBorders>
          </w:tcPr>
          <w:p>
            <w:pPr>
              <w:spacing w:after="0" w:line="20" w:lineRule="exact"/>
              <w:rPr>
                <w:sz w:val="1"/>
                <w:szCs w:val="1"/>
                <w:color w:val="auto"/>
              </w:rPr>
            </w:pP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18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3240" w:type="dxa"/>
            <w:vAlign w:val="bottom"/>
            <w:gridSpan w:val="2"/>
            <w:shd w:val="clear" w:color="auto" w:fill="F0FFFF"/>
          </w:tcPr>
          <w:p>
            <w:pPr>
              <w:spacing w:after="0" w:line="176" w:lineRule="exact"/>
              <w:rPr>
                <w:sz w:val="20"/>
                <w:szCs w:val="20"/>
                <w:color w:val="auto"/>
              </w:rPr>
            </w:pPr>
            <w:r>
              <w:rPr>
                <w:rFonts w:ascii="Arial" w:cs="Arial" w:eastAsia="Arial" w:hAnsi="Arial"/>
                <w:sz w:val="18"/>
                <w:szCs w:val="18"/>
                <w:b w:val="1"/>
                <w:bCs w:val="1"/>
                <w:color w:val="auto"/>
              </w:rPr>
              <w:t>As of December 31, 2014</w:t>
            </w:r>
          </w:p>
        </w:tc>
        <w:tc>
          <w:tcPr>
            <w:tcW w:w="2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4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6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880" w:type="dxa"/>
            <w:vAlign w:val="bottom"/>
            <w:tcBorders>
              <w:top w:val="single" w:sz="8" w:color="auto"/>
            </w:tcBorders>
            <w:shd w:val="clear" w:color="auto" w:fill="F0FFFF"/>
          </w:tcPr>
          <w:p>
            <w:pPr>
              <w:spacing w:after="0" w:line="20" w:lineRule="exact"/>
              <w:rPr>
                <w:sz w:val="1"/>
                <w:szCs w:val="1"/>
                <w:color w:val="auto"/>
              </w:rPr>
            </w:pPr>
          </w:p>
        </w:tc>
        <w:tc>
          <w:tcPr>
            <w:tcW w:w="13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Owner occupied commercial real estate</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1,094,057</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18,889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50,534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1,163,480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shd w:val="clear" w:color="auto" w:fill="F0FFFF"/>
          </w:tcPr>
          <w:p>
            <w:pPr>
              <w:spacing w:after="0"/>
              <w:rPr>
                <w:sz w:val="20"/>
                <w:szCs w:val="20"/>
                <w:color w:val="auto"/>
              </w:rPr>
            </w:pPr>
            <w:r>
              <w:rPr>
                <w:rFonts w:ascii="Arial" w:cs="Arial" w:eastAsia="Arial" w:hAnsi="Arial"/>
                <w:sz w:val="18"/>
                <w:szCs w:val="18"/>
                <w:color w:val="auto"/>
                <w:w w:val="97"/>
              </w:rPr>
              <w:t>Income producing commercial real estate</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560,559</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16,701</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21,277</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598,537</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Commercial &amp; industrial</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696,805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710,256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2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190,070</w:t>
            </w:r>
          </w:p>
        </w:tc>
        <w:tc>
          <w:tcPr>
            <w:tcW w:w="2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2,311</w:t>
            </w:r>
          </w:p>
        </w:tc>
        <w:tc>
          <w:tcPr>
            <w:tcW w:w="2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3,649</w:t>
            </w:r>
          </w:p>
        </w:tc>
        <w:tc>
          <w:tcPr>
            <w:tcW w:w="2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196,030</w:t>
            </w:r>
          </w:p>
        </w:tc>
        <w:tc>
          <w:tcPr>
            <w:tcW w:w="80" w:type="dxa"/>
            <w:vAlign w:val="bottom"/>
            <w:tcBorders>
              <w:bottom w:val="single" w:sz="8" w:color="F0FFFF"/>
            </w:tcBorders>
            <w:shd w:val="clear" w:color="auto" w:fill="F0FF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2"/>
          </w:tcPr>
          <w:p>
            <w:pPr>
              <w:ind w:left="140"/>
              <w:spacing w:after="0"/>
              <w:rPr>
                <w:sz w:val="20"/>
                <w:szCs w:val="20"/>
                <w:color w:val="auto"/>
              </w:rPr>
            </w:pPr>
            <w:r>
              <w:rPr>
                <w:rFonts w:ascii="Arial" w:cs="Arial" w:eastAsia="Arial" w:hAnsi="Arial"/>
                <w:sz w:val="18"/>
                <w:szCs w:val="18"/>
                <w:color w:val="auto"/>
              </w:rPr>
              <w:t>Total commercial</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2,541,491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41,918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84,894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2,668,303</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814,168</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11,594</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40,027</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865,789</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Home equity lines of credit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459,881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5,991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465,872</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2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280,166</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5,535</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12,926</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298,627</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103,383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104,899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Indirect auto</w:t>
            </w:r>
          </w:p>
        </w:tc>
        <w:tc>
          <w:tcPr>
            <w:tcW w:w="2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267,709</w:t>
            </w:r>
          </w:p>
        </w:tc>
        <w:tc>
          <w:tcPr>
            <w:tcW w:w="22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F0FFFF"/>
            </w:tcBorders>
            <w:shd w:val="clear" w:color="auto" w:fill="F0FFFF"/>
          </w:tcPr>
          <w:p>
            <w:pPr>
              <w:spacing w:after="0"/>
              <w:rPr>
                <w:sz w:val="21"/>
                <w:szCs w:val="21"/>
                <w:color w:val="auto"/>
              </w:rPr>
            </w:pPr>
          </w:p>
        </w:tc>
        <w:tc>
          <w:tcPr>
            <w:tcW w:w="200" w:type="dxa"/>
            <w:vAlign w:val="bottom"/>
            <w:tcBorders>
              <w:bottom w:val="single" w:sz="8" w:color="auto"/>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268,629</w:t>
            </w:r>
          </w:p>
        </w:tc>
        <w:tc>
          <w:tcPr>
            <w:tcW w:w="80" w:type="dxa"/>
            <w:vAlign w:val="bottom"/>
            <w:tcBorders>
              <w:bottom w:val="single" w:sz="8" w:color="F0FFFF"/>
            </w:tcBorders>
            <w:shd w:val="clear" w:color="auto" w:fill="F0FF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2"/>
          </w:tcPr>
          <w:p>
            <w:pPr>
              <w:ind w:left="140"/>
              <w:spacing w:after="0"/>
              <w:rPr>
                <w:sz w:val="20"/>
                <w:szCs w:val="20"/>
                <w:color w:val="auto"/>
              </w:rPr>
            </w:pPr>
            <w:r>
              <w:rPr>
                <w:rFonts w:ascii="Arial" w:cs="Arial" w:eastAsia="Arial" w:hAnsi="Arial"/>
                <w:sz w:val="18"/>
                <w:szCs w:val="18"/>
                <w:color w:val="auto"/>
              </w:rPr>
              <w:t>Total loans</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4,466,798</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59,047</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146,274</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4,672,119</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86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880" w:type="dxa"/>
            <w:vAlign w:val="bottom"/>
            <w:tcBorders>
              <w:bottom w:val="single" w:sz="8" w:color="DCDCDC"/>
            </w:tcBorders>
          </w:tcPr>
          <w:p>
            <w:pPr>
              <w:spacing w:after="0"/>
              <w:rPr>
                <w:sz w:val="24"/>
                <w:szCs w:val="24"/>
                <w:color w:val="auto"/>
              </w:rPr>
            </w:pPr>
          </w:p>
        </w:tc>
        <w:tc>
          <w:tcPr>
            <w:tcW w:w="13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gridSpan w:val="2"/>
          </w:tcPr>
          <w:p>
            <w:pPr>
              <w:jc w:val="center"/>
              <w:ind w:left="10"/>
              <w:spacing w:after="0"/>
              <w:rPr>
                <w:sz w:val="20"/>
                <w:szCs w:val="20"/>
                <w:color w:val="auto"/>
              </w:rPr>
            </w:pPr>
            <w:r>
              <w:rPr>
                <w:rFonts w:ascii="Arial" w:cs="Arial" w:eastAsia="Arial" w:hAnsi="Arial"/>
                <w:sz w:val="18"/>
                <w:szCs w:val="18"/>
                <w:color w:val="auto"/>
                <w:w w:val="89"/>
              </w:rPr>
              <w:t>92</w:t>
            </w:r>
          </w:p>
        </w:tc>
        <w:tc>
          <w:tcPr>
            <w:tcW w:w="8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Premises and equipment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8"/>
                <w:szCs w:val="18"/>
                <w:color w:val="auto"/>
              </w:rPr>
              <w:t>Land and land improvements</w:t>
            </w:r>
          </w:p>
        </w:tc>
        <w:tc>
          <w:tcPr>
            <w:tcW w:w="2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79,686</w:t>
            </w:r>
          </w:p>
        </w:tc>
        <w:tc>
          <w:tcPr>
            <w:tcW w:w="160" w:type="dxa"/>
            <w:vAlign w:val="bottom"/>
            <w:shd w:val="clear" w:color="auto" w:fill="F0FFFF"/>
          </w:tcPr>
          <w:p>
            <w:pPr>
              <w:spacing w:after="0"/>
              <w:rPr>
                <w:sz w:val="18"/>
                <w:szCs w:val="18"/>
                <w:color w:val="auto"/>
              </w:rPr>
            </w:pPr>
          </w:p>
        </w:tc>
        <w:tc>
          <w:tcPr>
            <w:tcW w:w="420" w:type="dxa"/>
            <w:vAlign w:val="bottom"/>
            <w:shd w:val="clear" w:color="auto" w:fill="F0FFFF"/>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79,525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127,493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113,105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8"/>
                <w:szCs w:val="18"/>
                <w:color w:val="auto"/>
              </w:rPr>
              <w:t>Furniture and equipment</w:t>
            </w:r>
          </w:p>
        </w:tc>
        <w:tc>
          <w:tcPr>
            <w:tcW w:w="19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68,309</w:t>
            </w:r>
          </w:p>
        </w:tc>
        <w:tc>
          <w:tcPr>
            <w:tcW w:w="1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59,827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Construction in progress</w:t>
            </w:r>
          </w:p>
        </w:tc>
        <w:tc>
          <w:tcPr>
            <w:tcW w:w="1940" w:type="dxa"/>
            <w:vAlign w:val="bottom"/>
            <w:tcBorders>
              <w:bottom w:val="single" w:sz="8" w:color="F0FF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3,787</w:t>
            </w:r>
          </w:p>
        </w:tc>
        <w:tc>
          <w:tcPr>
            <w:tcW w:w="160" w:type="dxa"/>
            <w:vAlign w:val="bottom"/>
            <w:tcBorders>
              <w:bottom w:val="single" w:sz="8" w:color="F0FF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F0FFFF"/>
          </w:tcPr>
          <w:p>
            <w:pPr>
              <w:spacing w:after="0"/>
              <w:rPr>
                <w:sz w:val="18"/>
                <w:szCs w:val="18"/>
                <w:color w:val="auto"/>
              </w:rPr>
            </w:pPr>
          </w:p>
        </w:tc>
        <w:tc>
          <w:tcPr>
            <w:tcW w:w="19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279,275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F0FFFF"/>
          </w:tcPr>
          <w:p>
            <w:pPr>
              <w:spacing w:after="0"/>
              <w:rPr>
                <w:sz w:val="18"/>
                <w:szCs w:val="18"/>
                <w:color w:val="auto"/>
              </w:rPr>
            </w:pPr>
          </w:p>
        </w:tc>
        <w:tc>
          <w:tcPr>
            <w:tcW w:w="19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(101,110)</w:t>
            </w:r>
          </w:p>
        </w:tc>
        <w:tc>
          <w:tcPr>
            <w:tcW w:w="4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F0FFFF"/>
            </w:tcBorders>
            <w:shd w:val="clear" w:color="auto" w:fill="F0FFFF"/>
          </w:tcPr>
          <w:p>
            <w:pPr>
              <w:spacing w:after="0"/>
              <w:rPr>
                <w:sz w:val="18"/>
                <w:szCs w:val="18"/>
                <w:color w:val="auto"/>
              </w:rPr>
            </w:pPr>
          </w:p>
        </w:tc>
        <w:tc>
          <w:tcPr>
            <w:tcW w:w="194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42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80" w:type="dxa"/>
            <w:vAlign w:val="bottom"/>
          </w:tcPr>
          <w:p>
            <w:pPr>
              <w:ind w:left="160"/>
              <w:spacing w:after="0"/>
              <w:rPr>
                <w:sz w:val="20"/>
                <w:szCs w:val="20"/>
                <w:color w:val="auto"/>
              </w:rPr>
            </w:pPr>
            <w:r>
              <w:rPr>
                <w:rFonts w:ascii="Arial" w:cs="Arial" w:eastAsia="Arial" w:hAnsi="Arial"/>
                <w:sz w:val="18"/>
                <w:szCs w:val="18"/>
                <w:color w:val="auto"/>
              </w:rPr>
              <w:t>Premises and equipment, net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178,165</w:t>
            </w:r>
          </w:p>
        </w:tc>
        <w:tc>
          <w:tcPr>
            <w:tcW w:w="160" w:type="dxa"/>
            <w:vAlign w:val="bottom"/>
          </w:tcPr>
          <w:p>
            <w:pPr>
              <w:spacing w:after="0"/>
              <w:rPr>
                <w:sz w:val="21"/>
                <w:szCs w:val="21"/>
                <w:color w:val="auto"/>
              </w:rPr>
            </w:pP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159,390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$9.36 million, $8.66 million and $9.40 million for 2015, 2014 and 2013, respectively.</w:t>
      </w:r>
    </w:p>
    <w:p>
      <w:pPr>
        <w:spacing w:after="0" w:line="225"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In 2015, United recognized $5.97 million of impairment on properties acquired in prior years for future expansion. Due to recent acquisitions and changing trends in customer behavior toward greater usage of Internet and mobile banking to access banking services, management reconsidered United’s branch expansion strategy and concluded that some of its future branch expansion properties had decreased in value since the time the properties were acquired. The resulting impairment charge, which was included in merger-related and other charges in the Consolidated Statement of Income, was based on an assessment of the properties that showed evidence that the carrying value may not be recoverable and exceeded the fair value.</w:t>
      </w:r>
    </w:p>
    <w:p>
      <w:pPr>
        <w:spacing w:after="0" w:line="15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United leases certain branch properties and equipment under operating leases. Rent expense was $2.72 million, $2.14 million and $2.34 million for 2015, 2014 and 2013, respectively. United does not have any capital leases. As of December 31, 2015, rent commitments under operating leases, before considering renewal options that generally are present,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6"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8"/>
                <w:szCs w:val="18"/>
                <w:color w:val="auto"/>
              </w:rPr>
              <w:t>2016</w:t>
            </w:r>
          </w:p>
        </w:tc>
        <w:tc>
          <w:tcPr>
            <w:tcW w:w="2240" w:type="dxa"/>
            <w:vAlign w:val="bottom"/>
            <w:gridSpan w:val="2"/>
            <w:shd w:val="clear" w:color="auto" w:fill="F0FFFF"/>
          </w:tcPr>
          <w:p>
            <w:pPr>
              <w:jc w:val="right"/>
              <w:ind w:right="525"/>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3,484</w:t>
            </w:r>
          </w:p>
        </w:tc>
        <w:tc>
          <w:tcPr>
            <w:tcW w:w="6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2017</w:t>
            </w: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8"/>
                <w:szCs w:val="18"/>
                <w:color w:val="auto"/>
              </w:rPr>
              <w:t>2018</w:t>
            </w:r>
          </w:p>
        </w:tc>
        <w:tc>
          <w:tcPr>
            <w:tcW w:w="156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2,740</w:t>
            </w:r>
          </w:p>
        </w:tc>
        <w:tc>
          <w:tcPr>
            <w:tcW w:w="6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2019</w:t>
            </w:r>
          </w:p>
        </w:tc>
        <w:tc>
          <w:tcPr>
            <w:tcW w:w="1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2,624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F0FFFF"/>
          </w:tcPr>
          <w:p>
            <w:pPr>
              <w:spacing w:after="0"/>
              <w:rPr>
                <w:sz w:val="20"/>
                <w:szCs w:val="20"/>
                <w:color w:val="auto"/>
              </w:rPr>
            </w:pPr>
            <w:r>
              <w:rPr>
                <w:rFonts w:ascii="Arial" w:cs="Arial" w:eastAsia="Arial" w:hAnsi="Arial"/>
                <w:sz w:val="18"/>
                <w:szCs w:val="18"/>
                <w:color w:val="auto"/>
              </w:rPr>
              <w:t>2020</w:t>
            </w:r>
          </w:p>
        </w:tc>
        <w:tc>
          <w:tcPr>
            <w:tcW w:w="156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2,482</w:t>
            </w:r>
          </w:p>
        </w:tc>
        <w:tc>
          <w:tcPr>
            <w:tcW w:w="60" w:type="dxa"/>
            <w:vAlign w:val="bottom"/>
            <w:shd w:val="clear" w:color="auto" w:fill="F0FF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2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Thereafter</w:t>
            </w:r>
          </w:p>
        </w:tc>
        <w:tc>
          <w:tcPr>
            <w:tcW w:w="1560" w:type="dxa"/>
            <w:vAlign w:val="bottom"/>
            <w:tcBorders>
              <w:bottom w:val="single" w:sz="8" w:color="F0FF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8,964</w:t>
            </w:r>
          </w:p>
        </w:tc>
        <w:tc>
          <w:tcPr>
            <w:tcW w:w="60" w:type="dxa"/>
            <w:vAlign w:val="bottom"/>
            <w:tcBorders>
              <w:bottom w:val="single" w:sz="8" w:color="F0FFFF"/>
            </w:tcBorders>
          </w:tcPr>
          <w:p>
            <w:pPr>
              <w:spacing w:after="0"/>
              <w:rPr>
                <w:sz w:val="20"/>
                <w:szCs w:val="20"/>
                <w:color w:val="auto"/>
              </w:rPr>
            </w:pPr>
          </w:p>
        </w:tc>
      </w:tr>
      <w:tr>
        <w:trPr>
          <w:trHeight w:val="255"/>
        </w:trPr>
        <w:tc>
          <w:tcPr>
            <w:tcW w:w="20" w:type="dxa"/>
            <w:vAlign w:val="bottom"/>
          </w:tcPr>
          <w:p>
            <w:pPr>
              <w:spacing w:after="0"/>
              <w:rPr>
                <w:sz w:val="21"/>
                <w:szCs w:val="21"/>
                <w:color w:val="auto"/>
              </w:rPr>
            </w:pPr>
          </w:p>
        </w:tc>
        <w:tc>
          <w:tcPr>
            <w:tcW w:w="228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F0FFFF"/>
            </w:tcBorders>
            <w:shd w:val="clear" w:color="auto" w:fill="F0FFFF"/>
          </w:tcPr>
          <w:p>
            <w:pPr>
              <w:spacing w:after="0"/>
              <w:rPr>
                <w:sz w:val="21"/>
                <w:szCs w:val="21"/>
                <w:color w:val="auto"/>
              </w:rPr>
            </w:pPr>
          </w:p>
        </w:tc>
        <w:tc>
          <w:tcPr>
            <w:tcW w:w="680" w:type="dxa"/>
            <w:vAlign w:val="bottom"/>
            <w:tcBorders>
              <w:bottom w:val="single" w:sz="8" w:color="auto"/>
            </w:tcBorders>
            <w:shd w:val="clear" w:color="auto" w:fill="F0FFFF"/>
          </w:tcPr>
          <w:p>
            <w:pPr>
              <w:jc w:val="right"/>
              <w:ind w:right="5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23,507</w:t>
            </w:r>
          </w:p>
        </w:tc>
        <w:tc>
          <w:tcPr>
            <w:tcW w:w="60" w:type="dxa"/>
            <w:vAlign w:val="bottom"/>
            <w:tcBorders>
              <w:bottom w:val="single" w:sz="8" w:color="F0FFFF"/>
            </w:tcBorders>
            <w:shd w:val="clear" w:color="auto" w:fill="F0FF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F0FFFF"/>
            </w:tcBorders>
          </w:tcPr>
          <w:p>
            <w:pPr>
              <w:spacing w:after="0" w:line="20" w:lineRule="exact"/>
              <w:rPr>
                <w:sz w:val="1"/>
                <w:szCs w:val="1"/>
                <w:color w:val="auto"/>
              </w:rPr>
            </w:pPr>
          </w:p>
        </w:tc>
        <w:tc>
          <w:tcPr>
            <w:tcW w:w="1560" w:type="dxa"/>
            <w:vAlign w:val="bottom"/>
            <w:tcBorders>
              <w:top w:val="single" w:sz="8" w:color="F0FFFF"/>
            </w:tcBorders>
          </w:tcPr>
          <w:p>
            <w:pPr>
              <w:spacing w:after="0" w:line="20" w:lineRule="exact"/>
              <w:rPr>
                <w:sz w:val="1"/>
                <w:szCs w:val="1"/>
                <w:color w:val="auto"/>
              </w:rPr>
            </w:pPr>
          </w:p>
        </w:tc>
        <w:tc>
          <w:tcPr>
            <w:tcW w:w="680" w:type="dxa"/>
            <w:vAlign w:val="bottom"/>
            <w:tcBorders>
              <w:top w:val="single" w:sz="8" w:color="F0FFFF"/>
              <w:bottom w:val="single" w:sz="8" w:color="auto"/>
            </w:tcBorders>
          </w:tcPr>
          <w:p>
            <w:pPr>
              <w:spacing w:after="0" w:line="20" w:lineRule="exact"/>
              <w:rPr>
                <w:sz w:val="1"/>
                <w:szCs w:val="1"/>
                <w:color w:val="auto"/>
              </w:rPr>
            </w:pPr>
          </w:p>
        </w:tc>
        <w:tc>
          <w:tcPr>
            <w:tcW w:w="112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carrying amount of goodwill and other intangible assets is summarized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4020" w:type="dxa"/>
            <w:vAlign w:val="bottom"/>
            <w:tcBorders>
              <w:bottom w:val="single" w:sz="8" w:color="F0FFFF"/>
            </w:tcBorders>
          </w:tcPr>
          <w:p>
            <w:pPr>
              <w:spacing w:after="0"/>
              <w:rPr>
                <w:sz w:val="14"/>
                <w:szCs w:val="14"/>
                <w:color w:val="auto"/>
              </w:rPr>
            </w:pPr>
          </w:p>
        </w:tc>
        <w:tc>
          <w:tcPr>
            <w:tcW w:w="2480" w:type="dxa"/>
            <w:vAlign w:val="bottom"/>
            <w:tcBorders>
              <w:bottom w:val="single" w:sz="8" w:color="F0FF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F0FFFF"/>
            </w:tcBorders>
          </w:tcPr>
          <w:p>
            <w:pPr>
              <w:spacing w:after="0"/>
              <w:rPr>
                <w:sz w:val="14"/>
                <w:szCs w:val="14"/>
                <w:color w:val="auto"/>
              </w:rPr>
            </w:pPr>
          </w:p>
        </w:tc>
        <w:tc>
          <w:tcPr>
            <w:tcW w:w="60" w:type="dxa"/>
            <w:vAlign w:val="bottom"/>
            <w:tcBorders>
              <w:bottom w:val="single" w:sz="8" w:color="F0FF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F0FFFF"/>
            </w:tcBorders>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shd w:val="clear" w:color="auto" w:fill="F0FFFF"/>
          </w:tcPr>
          <w:p>
            <w:pPr>
              <w:spacing w:after="0"/>
              <w:rPr>
                <w:sz w:val="20"/>
                <w:szCs w:val="20"/>
                <w:color w:val="auto"/>
              </w:rPr>
            </w:pPr>
            <w:r>
              <w:rPr>
                <w:rFonts w:ascii="Arial" w:cs="Arial" w:eastAsia="Arial" w:hAnsi="Arial"/>
                <w:sz w:val="18"/>
                <w:szCs w:val="18"/>
                <w:color w:val="auto"/>
              </w:rPr>
              <w:t>Core deposit intangible</w:t>
            </w:r>
          </w:p>
        </w:tc>
        <w:tc>
          <w:tcPr>
            <w:tcW w:w="2480" w:type="dxa"/>
            <w:vAlign w:val="bottom"/>
            <w:shd w:val="clear" w:color="auto" w:fill="F0FFFF"/>
          </w:tcPr>
          <w:p>
            <w:pPr>
              <w:spacing w:after="0"/>
              <w:rPr>
                <w:sz w:val="18"/>
                <w:szCs w:val="18"/>
                <w:color w:val="auto"/>
              </w:rPr>
            </w:pPr>
          </w:p>
        </w:tc>
        <w:tc>
          <w:tcPr>
            <w:tcW w:w="860" w:type="dxa"/>
            <w:vAlign w:val="bottom"/>
            <w:shd w:val="clear" w:color="auto" w:fill="F0FFFF"/>
          </w:tcPr>
          <w:p>
            <w:pPr>
              <w:jc w:val="right"/>
              <w:ind w:right="70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49,772</w:t>
            </w:r>
          </w:p>
        </w:tc>
        <w:tc>
          <w:tcPr>
            <w:tcW w:w="1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460" w:type="dxa"/>
            <w:vAlign w:val="bottom"/>
            <w:shd w:val="clear" w:color="auto" w:fill="F0FF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32,652</w:t>
            </w:r>
          </w:p>
        </w:tc>
        <w:tc>
          <w:tcPr>
            <w:tcW w:w="80" w:type="dxa"/>
            <w:vAlign w:val="bottom"/>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(32,964)</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(30,520)</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0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intangibles subject to amortization, net</w:t>
            </w:r>
          </w:p>
        </w:tc>
        <w:tc>
          <w:tcPr>
            <w:tcW w:w="248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6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16,808</w:t>
            </w:r>
          </w:p>
        </w:tc>
        <w:tc>
          <w:tcPr>
            <w:tcW w:w="120" w:type="dxa"/>
            <w:vAlign w:val="bottom"/>
            <w:tcBorders>
              <w:top w:val="single" w:sz="8" w:color="F0FFFF"/>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46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2,132</w:t>
            </w:r>
          </w:p>
        </w:tc>
        <w:tc>
          <w:tcPr>
            <w:tcW w:w="80" w:type="dxa"/>
            <w:vAlign w:val="bottom"/>
            <w:tcBorders>
              <w:top w:val="single" w:sz="8" w:color="F0FFFF"/>
            </w:tcBorders>
            <w:shd w:val="clear" w:color="auto" w:fill="F0FF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402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Goodwill</w:t>
            </w:r>
          </w:p>
        </w:tc>
        <w:tc>
          <w:tcPr>
            <w:tcW w:w="2480" w:type="dxa"/>
            <w:vAlign w:val="bottom"/>
            <w:tcBorders>
              <w:bottom w:val="single" w:sz="8" w:color="F0FFFF"/>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130,612</w:t>
            </w:r>
          </w:p>
        </w:tc>
        <w:tc>
          <w:tcPr>
            <w:tcW w:w="120" w:type="dxa"/>
            <w:vAlign w:val="bottom"/>
            <w:tcBorders>
              <w:bottom w:val="single" w:sz="8" w:color="F0FFFF"/>
            </w:tcBorders>
          </w:tcPr>
          <w:p>
            <w:pPr>
              <w:spacing w:after="0"/>
              <w:rPr>
                <w:sz w:val="20"/>
                <w:szCs w:val="20"/>
                <w:color w:val="auto"/>
              </w:rPr>
            </w:pPr>
          </w:p>
        </w:tc>
        <w:tc>
          <w:tcPr>
            <w:tcW w:w="60" w:type="dxa"/>
            <w:vAlign w:val="bottom"/>
            <w:tcBorders>
              <w:bottom w:val="single" w:sz="8" w:color="F0FF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80" w:type="dxa"/>
            <w:vAlign w:val="bottom"/>
            <w:tcBorders>
              <w:bottom w:val="single" w:sz="8" w:color="F0FFFF"/>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880" w:type="dxa"/>
            <w:vAlign w:val="bottom"/>
          </w:tcPr>
          <w:p>
            <w:pPr>
              <w:spacing w:after="0"/>
              <w:rPr>
                <w:sz w:val="21"/>
                <w:szCs w:val="21"/>
                <w:color w:val="auto"/>
              </w:rPr>
            </w:pPr>
          </w:p>
        </w:tc>
        <w:tc>
          <w:tcPr>
            <w:tcW w:w="40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Total goodwill and other intangible assets, net</w:t>
            </w:r>
          </w:p>
        </w:tc>
        <w:tc>
          <w:tcPr>
            <w:tcW w:w="2480" w:type="dxa"/>
            <w:vAlign w:val="bottom"/>
            <w:tcBorders>
              <w:bottom w:val="single" w:sz="8" w:color="F0FFFF"/>
            </w:tcBorders>
            <w:shd w:val="clear" w:color="auto" w:fill="F0FFFF"/>
          </w:tcPr>
          <w:p>
            <w:pPr>
              <w:spacing w:after="0"/>
              <w:rPr>
                <w:sz w:val="21"/>
                <w:szCs w:val="21"/>
                <w:color w:val="auto"/>
              </w:rPr>
            </w:pPr>
          </w:p>
        </w:tc>
        <w:tc>
          <w:tcPr>
            <w:tcW w:w="860" w:type="dxa"/>
            <w:vAlign w:val="bottom"/>
            <w:tcBorders>
              <w:bottom w:val="single" w:sz="8" w:color="auto"/>
            </w:tcBorders>
            <w:shd w:val="clear" w:color="auto" w:fill="F0FFFF"/>
          </w:tcPr>
          <w:p>
            <w:pPr>
              <w:jc w:val="right"/>
              <w:ind w:right="70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89"/>
              </w:rPr>
              <w:t>147,420</w:t>
            </w:r>
          </w:p>
        </w:tc>
        <w:tc>
          <w:tcPr>
            <w:tcW w:w="120" w:type="dxa"/>
            <w:vAlign w:val="bottom"/>
            <w:tcBorders>
              <w:bottom w:val="single" w:sz="8" w:color="F0FFFF"/>
            </w:tcBorders>
            <w:shd w:val="clear" w:color="auto" w:fill="F0FFFF"/>
          </w:tcPr>
          <w:p>
            <w:pPr>
              <w:spacing w:after="0"/>
              <w:rPr>
                <w:sz w:val="21"/>
                <w:szCs w:val="21"/>
                <w:color w:val="auto"/>
              </w:rPr>
            </w:pPr>
          </w:p>
        </w:tc>
        <w:tc>
          <w:tcPr>
            <w:tcW w:w="60" w:type="dxa"/>
            <w:vAlign w:val="bottom"/>
            <w:tcBorders>
              <w:bottom w:val="single" w:sz="8" w:color="F0FFFF"/>
            </w:tcBorders>
            <w:shd w:val="clear" w:color="auto" w:fill="F0FFFF"/>
          </w:tcPr>
          <w:p>
            <w:pPr>
              <w:spacing w:after="0"/>
              <w:rPr>
                <w:sz w:val="21"/>
                <w:szCs w:val="21"/>
                <w:color w:val="auto"/>
              </w:rPr>
            </w:pPr>
          </w:p>
        </w:tc>
        <w:tc>
          <w:tcPr>
            <w:tcW w:w="460" w:type="dxa"/>
            <w:vAlign w:val="bottom"/>
            <w:tcBorders>
              <w:bottom w:val="single" w:sz="8" w:color="auto"/>
            </w:tcBorders>
            <w:shd w:val="clear" w:color="auto" w:fill="F0FFFF"/>
          </w:tcPr>
          <w:p>
            <w:pPr>
              <w:jc w:val="right"/>
              <w:ind w:right="2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3,641</w:t>
            </w:r>
          </w:p>
        </w:tc>
        <w:tc>
          <w:tcPr>
            <w:tcW w:w="80" w:type="dxa"/>
            <w:vAlign w:val="bottom"/>
            <w:tcBorders>
              <w:bottom w:val="single" w:sz="8" w:color="F0FFFF"/>
            </w:tcBorders>
            <w:shd w:val="clear" w:color="auto" w:fill="F0FFFF"/>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020" w:type="dxa"/>
            <w:vAlign w:val="bottom"/>
            <w:tcBorders>
              <w:top w:val="single" w:sz="8" w:color="F0FFFF"/>
            </w:tcBorders>
          </w:tcPr>
          <w:p>
            <w:pPr>
              <w:spacing w:after="0" w:line="20" w:lineRule="exact"/>
              <w:rPr>
                <w:sz w:val="1"/>
                <w:szCs w:val="1"/>
                <w:color w:val="auto"/>
              </w:rPr>
            </w:pPr>
          </w:p>
        </w:tc>
        <w:tc>
          <w:tcPr>
            <w:tcW w:w="2480" w:type="dxa"/>
            <w:vAlign w:val="bottom"/>
            <w:tcBorders>
              <w:top w:val="single" w:sz="8" w:color="F0FFFF"/>
              <w:bottom w:val="single" w:sz="8" w:color="F0FFFF"/>
            </w:tcBorders>
            <w:vMerge w:val="restart"/>
          </w:tcPr>
          <w:p>
            <w:pPr>
              <w:jc w:val="right"/>
              <w:ind w:right="1470"/>
              <w:spacing w:after="0"/>
              <w:rPr>
                <w:sz w:val="20"/>
                <w:szCs w:val="20"/>
                <w:color w:val="auto"/>
              </w:rPr>
            </w:pPr>
            <w:r>
              <w:rPr>
                <w:rFonts w:ascii="Arial" w:cs="Arial" w:eastAsia="Arial" w:hAnsi="Arial"/>
                <w:sz w:val="18"/>
                <w:szCs w:val="18"/>
                <w:color w:val="auto"/>
              </w:rPr>
              <w:t>93</w:t>
            </w:r>
          </w:p>
        </w:tc>
        <w:tc>
          <w:tcPr>
            <w:tcW w:w="860" w:type="dxa"/>
            <w:vAlign w:val="bottom"/>
            <w:tcBorders>
              <w:top w:val="single" w:sz="8" w:color="F0FFFF"/>
              <w:bottom w:val="single" w:sz="8" w:color="auto"/>
            </w:tcBorders>
          </w:tcPr>
          <w:p>
            <w:pPr>
              <w:spacing w:after="0" w:line="20" w:lineRule="exact"/>
              <w:rPr>
                <w:sz w:val="1"/>
                <w:szCs w:val="1"/>
                <w:color w:val="auto"/>
              </w:rPr>
            </w:pPr>
          </w:p>
        </w:tc>
        <w:tc>
          <w:tcPr>
            <w:tcW w:w="60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bottom w:val="single" w:sz="8" w:color="auto"/>
            </w:tcBorders>
          </w:tcPr>
          <w:p>
            <w:pPr>
              <w:spacing w:after="0" w:line="20" w:lineRule="exact"/>
              <w:rPr>
                <w:sz w:val="1"/>
                <w:szCs w:val="1"/>
                <w:color w:val="auto"/>
              </w:rPr>
            </w:pPr>
          </w:p>
        </w:tc>
        <w:tc>
          <w:tcPr>
            <w:tcW w:w="100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880" w:type="dxa"/>
            <w:vAlign w:val="bottom"/>
            <w:tcBorders>
              <w:bottom w:val="single" w:sz="8" w:color="DCDCDC"/>
            </w:tcBorders>
          </w:tcPr>
          <w:p>
            <w:pPr>
              <w:spacing w:after="0"/>
              <w:rPr>
                <w:sz w:val="24"/>
                <w:szCs w:val="24"/>
                <w:color w:val="auto"/>
              </w:rPr>
            </w:pPr>
          </w:p>
        </w:tc>
        <w:tc>
          <w:tcPr>
            <w:tcW w:w="4020" w:type="dxa"/>
            <w:vAlign w:val="bottom"/>
            <w:tcBorders>
              <w:bottom w:val="single" w:sz="8" w:color="DCDCDC"/>
            </w:tcBorders>
          </w:tcPr>
          <w:p>
            <w:pPr>
              <w:spacing w:after="0"/>
              <w:rPr>
                <w:sz w:val="24"/>
                <w:szCs w:val="24"/>
                <w:color w:val="auto"/>
              </w:rPr>
            </w:pPr>
          </w:p>
        </w:tc>
        <w:tc>
          <w:tcPr>
            <w:tcW w:w="2480" w:type="dxa"/>
            <w:vAlign w:val="bottom"/>
            <w:tcBorders>
              <w:bottom w:val="single" w:sz="8" w:color="DCDCDC"/>
            </w:tcBorders>
            <w:vMerge w:val="continue"/>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r>
        <w:rPr>
          <w:rFonts w:ascii="Arial" w:cs="Arial" w:eastAsia="Arial" w:hAnsi="Arial"/>
          <w:sz w:val="18"/>
          <w:szCs w:val="18"/>
          <w:color w:val="auto"/>
        </w:rPr>
        <w:t>,</w:t>
      </w:r>
      <w:r>
        <w:rPr>
          <w:rFonts w:ascii="Arial" w:cs="Arial" w:eastAsia="Arial" w:hAnsi="Arial"/>
          <w:sz w:val="18"/>
          <w:szCs w:val="18"/>
          <w:b w:val="1"/>
          <w:bCs w:val="1"/>
          <w:color w:val="auto"/>
        </w:rPr>
        <w:t xml:space="preserve"> continued</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is a summary of changes in the carrying amounts of goodwill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Goodwill, net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Impairment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Impairment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273"/>
              <w:spacing w:after="0"/>
              <w:rPr>
                <w:sz w:val="20"/>
                <w:szCs w:val="20"/>
                <w:color w:val="auto"/>
              </w:rPr>
            </w:pPr>
            <w:r>
              <w:rPr>
                <w:rFonts w:ascii="Arial" w:cs="Arial" w:eastAsia="Arial" w:hAnsi="Arial"/>
                <w:sz w:val="14"/>
                <w:szCs w:val="14"/>
                <w:b w:val="1"/>
                <w:bCs w:val="1"/>
                <w:color w:val="auto"/>
              </w:rPr>
              <w:t>Goodwill</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2013</w:t>
            </w:r>
          </w:p>
        </w:tc>
        <w:tc>
          <w:tcPr>
            <w:tcW w:w="13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20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20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Acquisition of Business Carolina, Inc.</w:t>
            </w:r>
          </w:p>
        </w:tc>
        <w:tc>
          <w:tcPr>
            <w:tcW w:w="1360" w:type="dxa"/>
            <w:vAlign w:val="bottom"/>
            <w:tcBorders>
              <w:bottom w:val="single" w:sz="8" w:color="F0FF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200" w:type="dxa"/>
            <w:vAlign w:val="bottom"/>
            <w:tcBorders>
              <w:bottom w:val="single" w:sz="8" w:color="F0FF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tcPr>
          <w:p>
            <w:pPr>
              <w:spacing w:after="0"/>
              <w:rPr>
                <w:sz w:val="20"/>
                <w:szCs w:val="20"/>
                <w:color w:val="auto"/>
              </w:rPr>
            </w:pPr>
          </w:p>
        </w:tc>
        <w:tc>
          <w:tcPr>
            <w:tcW w:w="20" w:type="dxa"/>
            <w:vAlign w:val="bottom"/>
            <w:tcBorders>
              <w:bottom w:val="single" w:sz="8" w:color="F0FF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December 31, 2014</w:t>
            </w:r>
          </w:p>
        </w:tc>
        <w:tc>
          <w:tcPr>
            <w:tcW w:w="13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307,099</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(305,590)</w:t>
            </w:r>
          </w:p>
        </w:tc>
        <w:tc>
          <w:tcPr>
            <w:tcW w:w="20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1,509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Acquisition of Palmetto</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114,402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Acquisition of MoneyTree</w:t>
            </w:r>
          </w:p>
        </w:tc>
        <w:tc>
          <w:tcPr>
            <w:tcW w:w="13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spacing w:after="0"/>
              <w:rPr>
                <w:sz w:val="21"/>
                <w:szCs w:val="21"/>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14,701</w:t>
            </w:r>
          </w:p>
        </w:tc>
        <w:tc>
          <w:tcPr>
            <w:tcW w:w="200" w:type="dxa"/>
            <w:vAlign w:val="bottom"/>
            <w:tcBorders>
              <w:bottom w:val="single" w:sz="8" w:color="F0FFFF"/>
            </w:tcBorders>
            <w:shd w:val="clear" w:color="auto" w:fill="F0FFFF"/>
          </w:tcPr>
          <w:p>
            <w:pPr>
              <w:spacing w:after="0"/>
              <w:rPr>
                <w:sz w:val="21"/>
                <w:szCs w:val="21"/>
                <w:color w:val="auto"/>
              </w:rPr>
            </w:pPr>
          </w:p>
        </w:tc>
        <w:tc>
          <w:tcPr>
            <w:tcW w:w="140" w:type="dxa"/>
            <w:vAlign w:val="bottom"/>
            <w:tcBorders>
              <w:bottom w:val="single" w:sz="8" w:color="auto"/>
            </w:tcBorders>
            <w:shd w:val="clear" w:color="auto" w:fill="F0FFFF"/>
          </w:tcPr>
          <w:p>
            <w:pPr>
              <w:spacing w:after="0"/>
              <w:rPr>
                <w:sz w:val="21"/>
                <w:szCs w:val="21"/>
                <w:color w:val="auto"/>
              </w:rPr>
            </w:pPr>
          </w:p>
        </w:tc>
        <w:tc>
          <w:tcPr>
            <w:tcW w:w="11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F0FFFF"/>
            </w:tcBorders>
            <w:shd w:val="clear" w:color="auto" w:fill="F0FFFF"/>
          </w:tcPr>
          <w:p>
            <w:pPr>
              <w:spacing w:after="0"/>
              <w:rPr>
                <w:sz w:val="21"/>
                <w:szCs w:val="21"/>
                <w:color w:val="auto"/>
              </w:rPr>
            </w:pPr>
          </w:p>
        </w:tc>
        <w:tc>
          <w:tcPr>
            <w:tcW w:w="20" w:type="dxa"/>
            <w:vAlign w:val="bottom"/>
            <w:tcBorders>
              <w:bottom w:val="single" w:sz="8" w:color="F0FFFF"/>
            </w:tcBorders>
            <w:shd w:val="clear" w:color="auto" w:fill="F0FFFF"/>
          </w:tcPr>
          <w:p>
            <w:pPr>
              <w:spacing w:after="0"/>
              <w:rPr>
                <w:sz w:val="21"/>
                <w:szCs w:val="21"/>
                <w:color w:val="auto"/>
              </w:rPr>
            </w:pPr>
          </w:p>
        </w:tc>
        <w:tc>
          <w:tcPr>
            <w:tcW w:w="80" w:type="dxa"/>
            <w:vAlign w:val="bottom"/>
            <w:tcBorders>
              <w:bottom w:val="single" w:sz="8" w:color="auto"/>
            </w:tcBorders>
            <w:shd w:val="clear" w:color="auto" w:fill="F0FFFF"/>
          </w:tcPr>
          <w:p>
            <w:pPr>
              <w:spacing w:after="0"/>
              <w:rPr>
                <w:sz w:val="21"/>
                <w:szCs w:val="21"/>
                <w:color w:val="auto"/>
              </w:rPr>
            </w:pP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14,701</w:t>
            </w:r>
          </w:p>
        </w:tc>
        <w:tc>
          <w:tcPr>
            <w:tcW w:w="80" w:type="dxa"/>
            <w:vAlign w:val="bottom"/>
            <w:tcBorders>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auto"/>
              </w:rPr>
              <w:t>December 31, 2015</w:t>
            </w:r>
          </w:p>
        </w:tc>
        <w:tc>
          <w:tcPr>
            <w:tcW w:w="13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436,202</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(305,590</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color w:val="auto"/>
        </w:rPr>
        <w:t xml:space="preserve">The amortization expense for intangibles subject to amortization for 2015, 2014 and 2013 was $2.44 million, $1.35 million, and $2.03 million, respectively, which was recognized in operating expenses. The estimated aggregate amortization expense for future periods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0" w:lineRule="exact"/>
        <w:rPr>
          <w:sz w:val="20"/>
          <w:szCs w:val="20"/>
          <w:color w:val="auto"/>
        </w:rPr>
      </w:pPr>
    </w:p>
    <w:tbl>
      <w:tblPr>
        <w:tblLayout w:type="fixed"/>
        <w:tblInd w:w="2300" w:type="dxa"/>
        <w:tblCellMar>
          <w:top w:w="0" w:type="dxa"/>
          <w:left w:w="0" w:type="dxa"/>
          <w:bottom w:w="0" w:type="dxa"/>
          <w:right w:w="0" w:type="dxa"/>
        </w:tblCellMar>
      </w:tblPr>
      <w:tr>
        <w:trPr>
          <w:trHeight w:val="178"/>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4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2016</w:t>
            </w:r>
          </w:p>
        </w:tc>
        <w:tc>
          <w:tcPr>
            <w:tcW w:w="4180" w:type="dxa"/>
            <w:vAlign w:val="bottom"/>
            <w:tcBorders>
              <w:top w:val="single" w:sz="8" w:color="F0FFFF"/>
            </w:tcBorders>
            <w:shd w:val="clear" w:color="auto" w:fill="F0FFFF"/>
          </w:tcPr>
          <w:p>
            <w:pPr>
              <w:spacing w:after="0"/>
              <w:rPr>
                <w:sz w:val="18"/>
                <w:szCs w:val="18"/>
                <w:color w:val="auto"/>
              </w:rPr>
            </w:pPr>
          </w:p>
        </w:tc>
        <w:tc>
          <w:tcPr>
            <w:tcW w:w="880" w:type="dxa"/>
            <w:vAlign w:val="bottom"/>
            <w:tcBorders>
              <w:top w:val="single" w:sz="8" w:color="F0FFFF"/>
            </w:tcBorders>
            <w:shd w:val="clear" w:color="auto" w:fill="F0FFFF"/>
          </w:tcPr>
          <w:p>
            <w:pPr>
              <w:jc w:val="right"/>
              <w:ind w:right="6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3,875</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2017</w:t>
            </w:r>
          </w:p>
        </w:tc>
        <w:tc>
          <w:tcPr>
            <w:tcW w:w="4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2,900</w:t>
            </w:r>
          </w:p>
        </w:tc>
      </w:tr>
      <w:tr>
        <w:trPr>
          <w:trHeight w:val="216"/>
        </w:trPr>
        <w:tc>
          <w:tcPr>
            <w:tcW w:w="440" w:type="dxa"/>
            <w:vAlign w:val="bottom"/>
            <w:shd w:val="clear" w:color="auto" w:fill="F0FFFF"/>
          </w:tcPr>
          <w:p>
            <w:pPr>
              <w:spacing w:after="0"/>
              <w:rPr>
                <w:sz w:val="20"/>
                <w:szCs w:val="20"/>
                <w:color w:val="auto"/>
              </w:rPr>
            </w:pPr>
            <w:r>
              <w:rPr>
                <w:rFonts w:ascii="Arial" w:cs="Arial" w:eastAsia="Arial" w:hAnsi="Arial"/>
                <w:sz w:val="18"/>
                <w:szCs w:val="18"/>
                <w:color w:val="auto"/>
              </w:rPr>
              <w:t>2018</w:t>
            </w:r>
          </w:p>
        </w:tc>
        <w:tc>
          <w:tcPr>
            <w:tcW w:w="4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2,310</w:t>
            </w: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rPr>
              <w:t>2019</w:t>
            </w:r>
          </w:p>
        </w:tc>
        <w:tc>
          <w:tcPr>
            <w:tcW w:w="4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1,924</w:t>
            </w:r>
          </w:p>
        </w:tc>
      </w:tr>
      <w:tr>
        <w:trPr>
          <w:trHeight w:val="216"/>
        </w:trPr>
        <w:tc>
          <w:tcPr>
            <w:tcW w:w="440" w:type="dxa"/>
            <w:vAlign w:val="bottom"/>
            <w:shd w:val="clear" w:color="auto" w:fill="F0FFFF"/>
          </w:tcPr>
          <w:p>
            <w:pPr>
              <w:spacing w:after="0"/>
              <w:rPr>
                <w:sz w:val="20"/>
                <w:szCs w:val="20"/>
                <w:color w:val="auto"/>
              </w:rPr>
            </w:pPr>
            <w:r>
              <w:rPr>
                <w:rFonts w:ascii="Arial" w:cs="Arial" w:eastAsia="Arial" w:hAnsi="Arial"/>
                <w:sz w:val="18"/>
                <w:szCs w:val="18"/>
                <w:color w:val="auto"/>
              </w:rPr>
              <w:t>2020</w:t>
            </w:r>
          </w:p>
        </w:tc>
        <w:tc>
          <w:tcPr>
            <w:tcW w:w="41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1,563</w:t>
            </w: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4,236</w:t>
            </w:r>
          </w:p>
        </w:tc>
      </w:tr>
      <w:tr>
        <w:trPr>
          <w:trHeight w:val="255"/>
        </w:trPr>
        <w:tc>
          <w:tcPr>
            <w:tcW w:w="4620" w:type="dxa"/>
            <w:vAlign w:val="bottom"/>
            <w:tcBorders>
              <w:top w:val="single" w:sz="8" w:color="F0FFFF"/>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F0FFFF"/>
          </w:tcPr>
          <w:p>
            <w:pPr>
              <w:jc w:val="right"/>
              <w:ind w:right="6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16,808</w:t>
            </w:r>
          </w:p>
        </w:tc>
        <w:tc>
          <w:tcPr>
            <w:tcW w:w="6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440" w:type="dxa"/>
            <w:vAlign w:val="bottom"/>
            <w:tcBorders>
              <w:top w:val="single" w:sz="8" w:color="F0FFFF"/>
            </w:tcBorders>
          </w:tcPr>
          <w:p>
            <w:pPr>
              <w:spacing w:after="0" w:line="20" w:lineRule="exact"/>
              <w:rPr>
                <w:sz w:val="1"/>
                <w:szCs w:val="1"/>
                <w:color w:val="auto"/>
              </w:rPr>
            </w:pPr>
          </w:p>
        </w:tc>
        <w:tc>
          <w:tcPr>
            <w:tcW w:w="418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F0FFFF"/>
              <w:bottom w:val="single" w:sz="8" w:color="auto"/>
            </w:tcBorders>
          </w:tcPr>
          <w:p>
            <w:pPr>
              <w:spacing w:after="0" w:line="20" w:lineRule="exact"/>
              <w:rPr>
                <w:sz w:val="1"/>
                <w:szCs w:val="1"/>
                <w:color w:val="auto"/>
              </w:rPr>
            </w:pPr>
          </w:p>
        </w:tc>
        <w:tc>
          <w:tcPr>
            <w:tcW w:w="128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Servicing Rights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Servicing Rights for Government Guaranteed Loans</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 accounts for servicing rights for government guaranteed loans at fair value. Changes in the balances of servicing assets and servicing liabilities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32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Servicing rights for government guaranteed loans, beginning of period</w:t>
            </w:r>
          </w:p>
        </w:tc>
        <w:tc>
          <w:tcPr>
            <w:tcW w:w="580" w:type="dxa"/>
            <w:vAlign w:val="bottom"/>
            <w:tcBorders>
              <w:top w:val="single" w:sz="8" w:color="F0FFFF"/>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3"/>
              </w:rPr>
              <w:t>2,551</w:t>
            </w:r>
          </w:p>
        </w:tc>
        <w:tc>
          <w:tcPr>
            <w:tcW w:w="1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F0FFFF"/>
            </w:tcBorders>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Additions:</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F0FFFF"/>
          </w:tcPr>
          <w:p>
            <w:pPr>
              <w:ind w:left="140"/>
              <w:spacing w:after="0"/>
              <w:rPr>
                <w:sz w:val="20"/>
                <w:szCs w:val="20"/>
                <w:color w:val="auto"/>
              </w:rPr>
            </w:pPr>
            <w:r>
              <w:rPr>
                <w:rFonts w:ascii="Arial" w:cs="Arial" w:eastAsia="Arial" w:hAnsi="Arial"/>
                <w:sz w:val="18"/>
                <w:szCs w:val="18"/>
                <w:color w:val="auto"/>
              </w:rPr>
              <w:t>Acquired servicing rights</w:t>
            </w:r>
          </w:p>
        </w:tc>
        <w:tc>
          <w:tcPr>
            <w:tcW w:w="5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4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2,133</w:t>
            </w:r>
          </w:p>
        </w:tc>
        <w:tc>
          <w:tcPr>
            <w:tcW w:w="8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40"/>
              <w:spacing w:after="0"/>
              <w:rPr>
                <w:sz w:val="20"/>
                <w:szCs w:val="20"/>
                <w:color w:val="auto"/>
              </w:rPr>
            </w:pPr>
            <w:r>
              <w:rPr>
                <w:rFonts w:ascii="Arial" w:cs="Arial" w:eastAsia="Arial" w:hAnsi="Arial"/>
                <w:sz w:val="18"/>
                <w:szCs w:val="18"/>
                <w:color w:val="auto"/>
              </w:rPr>
              <w:t>Originated servicing rights capitalized upon sale of loans</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1,699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F0FFFF"/>
          </w:tcPr>
          <w:p>
            <w:pPr>
              <w:spacing w:after="0"/>
              <w:rPr>
                <w:sz w:val="20"/>
                <w:szCs w:val="20"/>
                <w:color w:val="auto"/>
              </w:rPr>
            </w:pPr>
            <w:r>
              <w:rPr>
                <w:rFonts w:ascii="Arial" w:cs="Arial" w:eastAsia="Arial" w:hAnsi="Arial"/>
                <w:sz w:val="18"/>
                <w:szCs w:val="18"/>
                <w:color w:val="auto"/>
              </w:rPr>
              <w:t>Subtractions:</w:t>
            </w:r>
          </w:p>
        </w:tc>
        <w:tc>
          <w:tcPr>
            <w:tcW w:w="5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40"/>
              <w:spacing w:after="0"/>
              <w:rPr>
                <w:sz w:val="20"/>
                <w:szCs w:val="20"/>
                <w:color w:val="auto"/>
              </w:rPr>
            </w:pPr>
            <w:r>
              <w:rPr>
                <w:rFonts w:ascii="Arial" w:cs="Arial" w:eastAsia="Arial" w:hAnsi="Arial"/>
                <w:sz w:val="18"/>
                <w:szCs w:val="18"/>
                <w:color w:val="auto"/>
              </w:rPr>
              <w:t>Disposals</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(152)</w:t>
            </w:r>
          </w:p>
        </w:tc>
      </w:tr>
      <w:tr>
        <w:trPr>
          <w:trHeight w:val="216"/>
        </w:trPr>
        <w:tc>
          <w:tcPr>
            <w:tcW w:w="20" w:type="dxa"/>
            <w:vAlign w:val="bottom"/>
          </w:tcPr>
          <w:p>
            <w:pPr>
              <w:spacing w:after="0"/>
              <w:rPr>
                <w:sz w:val="18"/>
                <w:szCs w:val="18"/>
                <w:color w:val="auto"/>
              </w:rPr>
            </w:pPr>
          </w:p>
        </w:tc>
        <w:tc>
          <w:tcPr>
            <w:tcW w:w="6320" w:type="dxa"/>
            <w:vAlign w:val="bottom"/>
            <w:shd w:val="clear" w:color="auto" w:fill="F0FFFF"/>
          </w:tcPr>
          <w:p>
            <w:pPr>
              <w:spacing w:after="0"/>
              <w:rPr>
                <w:sz w:val="20"/>
                <w:szCs w:val="20"/>
                <w:color w:val="auto"/>
              </w:rPr>
            </w:pPr>
            <w:r>
              <w:rPr>
                <w:rFonts w:ascii="Arial" w:cs="Arial" w:eastAsia="Arial" w:hAnsi="Arial"/>
                <w:sz w:val="18"/>
                <w:szCs w:val="18"/>
                <w:color w:val="auto"/>
              </w:rPr>
              <w:t>Changes in fair value:</w:t>
            </w:r>
          </w:p>
        </w:tc>
        <w:tc>
          <w:tcPr>
            <w:tcW w:w="58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6320" w:type="dxa"/>
            <w:vAlign w:val="bottom"/>
          </w:tcPr>
          <w:p>
            <w:pPr>
              <w:ind w:left="140"/>
              <w:spacing w:after="0"/>
              <w:rPr>
                <w:sz w:val="20"/>
                <w:szCs w:val="20"/>
                <w:color w:val="auto"/>
              </w:rPr>
            </w:pPr>
            <w:r>
              <w:rPr>
                <w:rFonts w:ascii="Arial" w:cs="Arial" w:eastAsia="Arial" w:hAnsi="Arial"/>
                <w:sz w:val="18"/>
                <w:szCs w:val="18"/>
                <w:color w:val="auto"/>
                <w:w w:val="99"/>
              </w:rPr>
              <w:t>Due to change in valuation inputs or assumptions used in the valuation model</w:t>
            </w: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r>
      <w:tr>
        <w:trPr>
          <w:trHeight w:val="255"/>
        </w:trPr>
        <w:tc>
          <w:tcPr>
            <w:tcW w:w="20" w:type="dxa"/>
            <w:vAlign w:val="bottom"/>
          </w:tcPr>
          <w:p>
            <w:pPr>
              <w:spacing w:after="0"/>
              <w:rPr>
                <w:sz w:val="21"/>
                <w:szCs w:val="21"/>
                <w:color w:val="auto"/>
              </w:rPr>
            </w:pPr>
          </w:p>
        </w:tc>
        <w:tc>
          <w:tcPr>
            <w:tcW w:w="632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Servicing rights for government guaranteed loans, end of period</w:t>
            </w:r>
          </w:p>
        </w:tc>
        <w:tc>
          <w:tcPr>
            <w:tcW w:w="580" w:type="dxa"/>
            <w:vAlign w:val="bottom"/>
            <w:tcBorders>
              <w:top w:val="single" w:sz="8" w:color="F0FFFF"/>
              <w:bottom w:val="single" w:sz="8" w:color="F0FFFF"/>
            </w:tcBorders>
            <w:shd w:val="clear" w:color="auto" w:fill="F0FFFF"/>
          </w:tcPr>
          <w:p>
            <w:pPr>
              <w:spacing w:after="0"/>
              <w:rPr>
                <w:sz w:val="21"/>
                <w:szCs w:val="21"/>
                <w:color w:val="auto"/>
              </w:rPr>
            </w:pPr>
          </w:p>
        </w:tc>
        <w:tc>
          <w:tcPr>
            <w:tcW w:w="800" w:type="dxa"/>
            <w:vAlign w:val="bottom"/>
            <w:tcBorders>
              <w:top w:val="single" w:sz="8" w:color="auto"/>
              <w:bottom w:val="single" w:sz="8" w:color="auto"/>
            </w:tcBorders>
            <w:shd w:val="clear" w:color="auto" w:fill="F0FFFF"/>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3"/>
              </w:rPr>
              <w:t>3,712</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80" w:type="dxa"/>
            <w:vAlign w:val="bottom"/>
            <w:tcBorders>
              <w:top w:val="single" w:sz="8" w:color="auto"/>
              <w:bottom w:val="single" w:sz="8" w:color="auto"/>
            </w:tcBorders>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2,551</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F0FFFF"/>
            </w:tcBorders>
          </w:tcPr>
          <w:p>
            <w:pPr>
              <w:spacing w:after="0" w:line="20" w:lineRule="exact"/>
              <w:rPr>
                <w:sz w:val="1"/>
                <w:szCs w:val="1"/>
                <w:color w:val="auto"/>
              </w:rPr>
            </w:pPr>
          </w:p>
        </w:tc>
        <w:tc>
          <w:tcPr>
            <w:tcW w:w="580" w:type="dxa"/>
            <w:vAlign w:val="bottom"/>
            <w:tcBorders>
              <w:top w:val="single" w:sz="8" w:color="F0FFFF"/>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44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80" w:type="dxa"/>
            <w:vAlign w:val="bottom"/>
            <w:tcBorders>
              <w:top w:val="single" w:sz="8" w:color="F0FFFF"/>
              <w:bottom w:val="single" w:sz="8" w:color="auto"/>
            </w:tcBorders>
          </w:tcPr>
          <w:p>
            <w:pPr>
              <w:spacing w:after="0" w:line="20" w:lineRule="exact"/>
              <w:rPr>
                <w:sz w:val="1"/>
                <w:szCs w:val="1"/>
                <w:color w:val="auto"/>
              </w:rPr>
            </w:pPr>
          </w:p>
        </w:tc>
        <w:tc>
          <w:tcPr>
            <w:tcW w:w="980" w:type="dxa"/>
            <w:vAlign w:val="bottom"/>
            <w:tcBorders>
              <w:top w:val="single" w:sz="8" w:color="F0FFFF"/>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portfolio of government guaranteed loans serviced for others, which is not included in the accompanying balance sheets, was $151 million and $88.0 million, respectively, at December 31, 2015 and 2014. The amount of contractually specified servicing fees earned by United on these servicing rights during the years ended December 31, 2015 and 2014 was $1.07 million and $513,000, respectively. Servicing fees and changes in fair value were included in interest revenue in the Consolidated Statement of Income.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0" w:name="page101"/>
    <w:bookmarkEnd w:id="100"/>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Servicing Rights, continued</w:t>
      </w:r>
    </w:p>
    <w:p>
      <w:pPr>
        <w:spacing w:after="0" w:line="225"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Servicing Rights for Government Guaranteed Loans, continued</w:t>
      </w:r>
    </w:p>
    <w:p>
      <w:pPr>
        <w:spacing w:after="0" w:line="229" w:lineRule="exact"/>
        <w:rPr>
          <w:rFonts w:ascii="Arial" w:cs="Arial" w:eastAsia="Arial" w:hAnsi="Arial"/>
          <w:sz w:val="18"/>
          <w:szCs w:val="18"/>
          <w:b w:val="1"/>
          <w:bCs w:val="1"/>
          <w:color w:val="auto"/>
        </w:rPr>
      </w:pPr>
    </w:p>
    <w:p>
      <w:pPr>
        <w:ind w:left="332"/>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 xml:space="preserve">A summary of the key characteristics, inputs, and economic assumptions used to estimate the fair value of the Company’s servicing asset for government guaranteed loans and the sensitivity of the fair values to immediate adverse changes in those assumptions are shown in the table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29" w:lineRule="exact"/>
        <w:rPr>
          <w:sz w:val="20"/>
          <w:szCs w:val="20"/>
          <w:color w:val="auto"/>
        </w:rPr>
      </w:pPr>
    </w:p>
    <w:tbl>
      <w:tblPr>
        <w:tblLayout w:type="fixed"/>
        <w:tblInd w:w="1712" w:type="dxa"/>
        <w:tblCellMar>
          <w:top w:w="0" w:type="dxa"/>
          <w:left w:w="0" w:type="dxa"/>
          <w:bottom w:w="0" w:type="dxa"/>
          <w:right w:w="0" w:type="dxa"/>
        </w:tblCellMar>
      </w:tblPr>
      <w:tr>
        <w:trPr>
          <w:trHeight w:val="178"/>
        </w:trPr>
        <w:tc>
          <w:tcPr>
            <w:tcW w:w="3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3960" w:type="dxa"/>
            <w:vAlign w:val="bottom"/>
            <w:tcBorders>
              <w:bottom w:val="single" w:sz="8" w:color="F0FFFF"/>
            </w:tcBorders>
          </w:tcPr>
          <w:p>
            <w:pPr>
              <w:spacing w:after="0"/>
              <w:rPr>
                <w:sz w:val="14"/>
                <w:szCs w:val="14"/>
                <w:color w:val="auto"/>
              </w:rPr>
            </w:pPr>
          </w:p>
        </w:tc>
        <w:tc>
          <w:tcPr>
            <w:tcW w:w="1260" w:type="dxa"/>
            <w:vAlign w:val="bottom"/>
            <w:tcBorders>
              <w:bottom w:val="single" w:sz="8" w:color="F0FF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F0FFFF"/>
            </w:tcBorders>
          </w:tcPr>
          <w:p>
            <w:pPr>
              <w:spacing w:after="0"/>
              <w:rPr>
                <w:sz w:val="14"/>
                <w:szCs w:val="14"/>
                <w:color w:val="auto"/>
              </w:rPr>
            </w:pPr>
          </w:p>
        </w:tc>
        <w:tc>
          <w:tcPr>
            <w:tcW w:w="40" w:type="dxa"/>
            <w:vAlign w:val="bottom"/>
            <w:tcBorders>
              <w:bottom w:val="single" w:sz="8" w:color="F0FF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F0FFFF"/>
            </w:tcBorders>
          </w:tcPr>
          <w:p>
            <w:pPr>
              <w:spacing w:after="0"/>
              <w:rPr>
                <w:sz w:val="14"/>
                <w:szCs w:val="14"/>
                <w:color w:val="auto"/>
              </w:rPr>
            </w:pPr>
          </w:p>
        </w:tc>
      </w:tr>
      <w:tr>
        <w:trPr>
          <w:trHeight w:val="216"/>
        </w:trPr>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Fair value of retained servicing assets</w:t>
            </w:r>
          </w:p>
        </w:tc>
        <w:tc>
          <w:tcPr>
            <w:tcW w:w="1260" w:type="dxa"/>
            <w:vAlign w:val="bottom"/>
            <w:shd w:val="clear" w:color="auto" w:fill="F0FFFF"/>
          </w:tcPr>
          <w:p>
            <w:pPr>
              <w:spacing w:after="0"/>
              <w:rPr>
                <w:sz w:val="18"/>
                <w:szCs w:val="18"/>
                <w:color w:val="auto"/>
              </w:rPr>
            </w:pPr>
          </w:p>
        </w:tc>
        <w:tc>
          <w:tcPr>
            <w:tcW w:w="760" w:type="dxa"/>
            <w:vAlign w:val="bottom"/>
            <w:shd w:val="clear" w:color="auto" w:fill="F0FFFF"/>
          </w:tcPr>
          <w:p>
            <w:pPr>
              <w:jc w:val="right"/>
              <w:ind w:right="60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88"/>
              </w:rPr>
              <w:t>3,712</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380" w:type="dxa"/>
            <w:vAlign w:val="bottom"/>
            <w:shd w:val="clear" w:color="auto" w:fill="F0FFFF"/>
          </w:tcPr>
          <w:p>
            <w:pPr>
              <w:jc w:val="right"/>
              <w:ind w:right="22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2,551</w:t>
            </w:r>
          </w:p>
        </w:tc>
        <w:tc>
          <w:tcPr>
            <w:tcW w:w="160" w:type="dxa"/>
            <w:vAlign w:val="bottom"/>
            <w:shd w:val="clear" w:color="auto" w:fill="F0FF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Prepayment rate assumption</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6.95%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6.70%</w:t>
            </w:r>
          </w:p>
        </w:tc>
      </w:tr>
      <w:tr>
        <w:trPr>
          <w:trHeight w:val="216"/>
        </w:trPr>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10% adverse change</w:t>
            </w:r>
          </w:p>
        </w:tc>
        <w:tc>
          <w:tcPr>
            <w:tcW w:w="2020" w:type="dxa"/>
            <w:vAlign w:val="bottom"/>
            <w:gridSpan w:val="2"/>
            <w:shd w:val="clear" w:color="auto" w:fill="F0FFFF"/>
          </w:tcPr>
          <w:p>
            <w:pPr>
              <w:jc w:val="right"/>
              <w:ind w:right="6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(84)</w:t>
            </w:r>
          </w:p>
        </w:tc>
        <w:tc>
          <w:tcPr>
            <w:tcW w:w="420" w:type="dxa"/>
            <w:vAlign w:val="bottom"/>
            <w:gridSpan w:val="2"/>
            <w:shd w:val="clear" w:color="auto" w:fill="F0FFFF"/>
          </w:tcPr>
          <w:p>
            <w:pPr>
              <w:jc w:val="right"/>
              <w:ind w:right="22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 adverse change</w:t>
            </w:r>
          </w:p>
        </w:tc>
        <w:tc>
          <w:tcPr>
            <w:tcW w:w="2020" w:type="dxa"/>
            <w:vAlign w:val="bottom"/>
            <w:gridSpan w:val="2"/>
          </w:tcPr>
          <w:p>
            <w:pPr>
              <w:jc w:val="right"/>
              <w:ind w:right="60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(163)</w:t>
            </w:r>
          </w:p>
        </w:tc>
        <w:tc>
          <w:tcPr>
            <w:tcW w:w="420" w:type="dxa"/>
            <w:vAlign w:val="bottom"/>
            <w:gridSpan w:val="2"/>
          </w:tcPr>
          <w:p>
            <w:pPr>
              <w:jc w:val="right"/>
              <w:ind w:right="22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Discount rate</w:t>
            </w:r>
          </w:p>
        </w:tc>
        <w:tc>
          <w:tcPr>
            <w:tcW w:w="12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11.8%</w:t>
            </w:r>
          </w:p>
        </w:tc>
        <w:tc>
          <w:tcPr>
            <w:tcW w:w="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100 bps adverse change</w:t>
            </w:r>
          </w:p>
        </w:tc>
        <w:tc>
          <w:tcPr>
            <w:tcW w:w="2020" w:type="dxa"/>
            <w:vAlign w:val="bottom"/>
            <w:gridSpan w:val="2"/>
          </w:tcPr>
          <w:p>
            <w:pPr>
              <w:jc w:val="right"/>
              <w:ind w:right="607"/>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(109)</w:t>
            </w:r>
          </w:p>
        </w:tc>
        <w:tc>
          <w:tcPr>
            <w:tcW w:w="420" w:type="dxa"/>
            <w:vAlign w:val="bottom"/>
            <w:gridSpan w:val="2"/>
          </w:tcPr>
          <w:p>
            <w:pPr>
              <w:jc w:val="right"/>
              <w:ind w:right="225"/>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200bps adverse change</w:t>
            </w:r>
          </w:p>
        </w:tc>
        <w:tc>
          <w:tcPr>
            <w:tcW w:w="2020" w:type="dxa"/>
            <w:vAlign w:val="bottom"/>
            <w:gridSpan w:val="2"/>
            <w:shd w:val="clear" w:color="auto" w:fill="F0FFFF"/>
          </w:tcPr>
          <w:p>
            <w:pPr>
              <w:jc w:val="right"/>
              <w:ind w:right="607"/>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(212)</w:t>
            </w:r>
          </w:p>
        </w:tc>
        <w:tc>
          <w:tcPr>
            <w:tcW w:w="420" w:type="dxa"/>
            <w:vAlign w:val="bottom"/>
            <w:gridSpan w:val="2"/>
            <w:shd w:val="clear" w:color="auto" w:fill="F0FFFF"/>
          </w:tcPr>
          <w:p>
            <w:pPr>
              <w:jc w:val="right"/>
              <w:ind w:right="225"/>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Weighted-average life (years)</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r>
      <w:tr>
        <w:trPr>
          <w:trHeight w:val="216"/>
        </w:trPr>
        <w:tc>
          <w:tcPr>
            <w:tcW w:w="3960" w:type="dxa"/>
            <w:vAlign w:val="bottom"/>
            <w:shd w:val="clear" w:color="auto" w:fill="F0FFFF"/>
          </w:tcPr>
          <w:p>
            <w:pPr>
              <w:spacing w:after="0"/>
              <w:rPr>
                <w:sz w:val="20"/>
                <w:szCs w:val="20"/>
                <w:color w:val="auto"/>
              </w:rPr>
            </w:pPr>
            <w:r>
              <w:rPr>
                <w:rFonts w:ascii="Arial" w:cs="Arial" w:eastAsia="Arial" w:hAnsi="Arial"/>
                <w:sz w:val="18"/>
                <w:szCs w:val="18"/>
                <w:color w:val="auto"/>
              </w:rPr>
              <w:t>Weighted-average gross margin</w:t>
            </w:r>
          </w:p>
        </w:tc>
        <w:tc>
          <w:tcPr>
            <w:tcW w:w="12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6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2.02%</w:t>
            </w:r>
          </w:p>
        </w:tc>
        <w:tc>
          <w:tcPr>
            <w:tcW w:w="4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2.00%</w:t>
            </w:r>
          </w:p>
        </w:tc>
      </w:tr>
    </w:tbl>
    <w:p>
      <w:pPr>
        <w:spacing w:after="0" w:line="202" w:lineRule="exact"/>
        <w:rPr>
          <w:sz w:val="20"/>
          <w:szCs w:val="20"/>
          <w:color w:val="auto"/>
        </w:rPr>
      </w:pPr>
    </w:p>
    <w:p>
      <w:pPr>
        <w:jc w:val="both"/>
        <w:ind w:left="332"/>
        <w:spacing w:after="0" w:line="259" w:lineRule="auto"/>
        <w:rPr>
          <w:sz w:val="20"/>
          <w:szCs w:val="20"/>
          <w:color w:val="auto"/>
        </w:rPr>
      </w:pPr>
      <w:r>
        <w:rPr>
          <w:rFonts w:ascii="Arial" w:cs="Arial" w:eastAsia="Arial" w:hAnsi="Arial"/>
          <w:sz w:val="18"/>
          <w:szCs w:val="18"/>
          <w:color w:val="auto"/>
        </w:rPr>
        <w:t>The above sensitivities are hypothetical and changes in fair value based on variations in assumptions generally cannot be extrapolated because the relationship of the change in assumption to the change in fair value may not be linear. Also, in this table, the effect of a variation in a particular assumption on the fair value of the retained interest is calculated without changing any other assumption. In reality, changes in one factor may result in changes in another, which might magnify or counteract the sensitivities.</w:t>
      </w:r>
    </w:p>
    <w:p>
      <w:pPr>
        <w:spacing w:after="0" w:line="183" w:lineRule="exact"/>
        <w:rPr>
          <w:sz w:val="20"/>
          <w:szCs w:val="20"/>
          <w:color w:val="auto"/>
        </w:rPr>
      </w:pPr>
    </w:p>
    <w:p>
      <w:pPr>
        <w:ind w:left="332"/>
        <w:spacing w:after="0"/>
        <w:rPr>
          <w:sz w:val="20"/>
          <w:szCs w:val="20"/>
          <w:color w:val="auto"/>
        </w:rPr>
      </w:pPr>
      <w:r>
        <w:rPr>
          <w:rFonts w:ascii="Arial" w:cs="Arial" w:eastAsia="Arial" w:hAnsi="Arial"/>
          <w:sz w:val="18"/>
          <w:szCs w:val="18"/>
          <w:b w:val="1"/>
          <w:bCs w:val="1"/>
          <w:u w:val="single" w:color="auto"/>
          <w:color w:val="auto"/>
        </w:rPr>
        <w:t>Residential Mortgage Servicing Rights</w:t>
      </w:r>
    </w:p>
    <w:p>
      <w:pPr>
        <w:spacing w:after="0" w:line="229" w:lineRule="exact"/>
        <w:rPr>
          <w:sz w:val="20"/>
          <w:szCs w:val="20"/>
          <w:color w:val="auto"/>
        </w:rPr>
      </w:pPr>
    </w:p>
    <w:p>
      <w:pPr>
        <w:jc w:val="both"/>
        <w:ind w:left="332"/>
        <w:spacing w:after="0" w:line="277" w:lineRule="auto"/>
        <w:rPr>
          <w:sz w:val="20"/>
          <w:szCs w:val="20"/>
          <w:color w:val="auto"/>
        </w:rPr>
      </w:pPr>
      <w:r>
        <w:rPr>
          <w:rFonts w:ascii="Arial" w:cs="Arial" w:eastAsia="Arial" w:hAnsi="Arial"/>
          <w:sz w:val="18"/>
          <w:szCs w:val="18"/>
          <w:color w:val="auto"/>
        </w:rPr>
        <w:t>United accounts for residential mortgage servicing rights using the amortization method. The following table summarizes the changes in residential mortgage servicing rights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132"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480" w:type="dxa"/>
            <w:vAlign w:val="bottom"/>
            <w:tcBorders>
              <w:bottom w:val="single" w:sz="8" w:color="F0FFFF"/>
            </w:tcBorders>
          </w:tcPr>
          <w:p>
            <w:pPr>
              <w:spacing w:after="0"/>
              <w:rPr>
                <w:sz w:val="15"/>
                <w:szCs w:val="15"/>
                <w:color w:val="auto"/>
              </w:rPr>
            </w:pPr>
          </w:p>
        </w:tc>
        <w:tc>
          <w:tcPr>
            <w:tcW w:w="20" w:type="dxa"/>
            <w:vAlign w:val="bottom"/>
            <w:tcBorders>
              <w:bottom w:val="single" w:sz="8" w:color="F0FF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F0FFFF"/>
            </w:tcBorders>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 servicing rights, net of valuation allowance, beginning of period</w:t>
            </w:r>
          </w:p>
        </w:tc>
        <w:tc>
          <w:tcPr>
            <w:tcW w:w="20" w:type="dxa"/>
            <w:vAlign w:val="bottom"/>
            <w:shd w:val="clear" w:color="auto" w:fill="F0FFFF"/>
          </w:tcPr>
          <w:p>
            <w:pPr>
              <w:spacing w:after="0"/>
              <w:rPr>
                <w:sz w:val="18"/>
                <w:szCs w:val="18"/>
                <w:color w:val="auto"/>
              </w:rPr>
            </w:pPr>
          </w:p>
        </w:tc>
        <w:tc>
          <w:tcPr>
            <w:tcW w:w="340" w:type="dxa"/>
            <w:vAlign w:val="bottom"/>
            <w:shd w:val="clear" w:color="auto" w:fill="F0FF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Acquired servicing rights</w:t>
            </w:r>
          </w:p>
        </w:tc>
        <w:tc>
          <w:tcPr>
            <w:tcW w:w="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3,454</w:t>
            </w:r>
          </w:p>
        </w:tc>
        <w:tc>
          <w:tcPr>
            <w:tcW w:w="8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Originated servicing rights capitalized upon sale of loans</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F0FFFF"/>
          </w:tcPr>
          <w:p>
            <w:pPr>
              <w:spacing w:after="0"/>
              <w:rPr>
                <w:sz w:val="20"/>
                <w:szCs w:val="20"/>
                <w:color w:val="auto"/>
              </w:rPr>
            </w:pPr>
            <w:r>
              <w:rPr>
                <w:rFonts w:ascii="Arial" w:cs="Arial" w:eastAsia="Arial" w:hAnsi="Arial"/>
                <w:sz w:val="18"/>
                <w:szCs w:val="18"/>
                <w:color w:val="auto"/>
              </w:rPr>
              <w:t>Subtractions:</w:t>
            </w:r>
          </w:p>
        </w:tc>
        <w:tc>
          <w:tcPr>
            <w:tcW w:w="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(273)</w:t>
            </w:r>
          </w:p>
        </w:tc>
      </w:tr>
      <w:tr>
        <w:trPr>
          <w:trHeight w:val="250"/>
        </w:trPr>
        <w:tc>
          <w:tcPr>
            <w:tcW w:w="20" w:type="dxa"/>
            <w:vAlign w:val="bottom"/>
          </w:tcPr>
          <w:p>
            <w:pPr>
              <w:spacing w:after="0"/>
              <w:rPr>
                <w:sz w:val="21"/>
                <w:szCs w:val="21"/>
                <w:color w:val="auto"/>
              </w:rPr>
            </w:pPr>
          </w:p>
        </w:tc>
        <w:tc>
          <w:tcPr>
            <w:tcW w:w="74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Impairment</w:t>
            </w:r>
          </w:p>
        </w:tc>
        <w:tc>
          <w:tcPr>
            <w:tcW w:w="2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w:t>
            </w:r>
          </w:p>
        </w:tc>
      </w:tr>
      <w:tr>
        <w:trPr>
          <w:trHeight w:val="217"/>
        </w:trPr>
        <w:tc>
          <w:tcPr>
            <w:tcW w:w="20" w:type="dxa"/>
            <w:vAlign w:val="bottom"/>
          </w:tcPr>
          <w:p>
            <w:pPr>
              <w:spacing w:after="0"/>
              <w:rPr>
                <w:sz w:val="18"/>
                <w:szCs w:val="18"/>
                <w:color w:val="auto"/>
              </w:rPr>
            </w:pPr>
          </w:p>
        </w:tc>
        <w:tc>
          <w:tcPr>
            <w:tcW w:w="748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Residential mortgage servicing rights, net of valuation allowance, end of period</w:t>
            </w:r>
          </w:p>
        </w:tc>
        <w:tc>
          <w:tcPr>
            <w:tcW w:w="20" w:type="dxa"/>
            <w:vAlign w:val="bottom"/>
            <w:tcBorders>
              <w:top w:val="single" w:sz="8" w:color="F0FFFF"/>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80" w:type="dxa"/>
            <w:vAlign w:val="bottom"/>
            <w:tcBorders>
              <w:top w:val="single" w:sz="8" w:color="F0FF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estimated fair value of residential mortgage servicing rights was $3.52 million at December 31, 2015.</w:t>
      </w:r>
    </w:p>
    <w:p>
      <w:pPr>
        <w:spacing w:after="0" w:line="225" w:lineRule="exact"/>
        <w:rPr>
          <w:sz w:val="20"/>
          <w:szCs w:val="20"/>
          <w:color w:val="auto"/>
        </w:rPr>
      </w:pPr>
    </w:p>
    <w:p>
      <w:pPr>
        <w:jc w:val="both"/>
        <w:ind w:left="332"/>
        <w:spacing w:after="0" w:line="277" w:lineRule="auto"/>
        <w:rPr>
          <w:sz w:val="20"/>
          <w:szCs w:val="20"/>
          <w:color w:val="auto"/>
        </w:rPr>
      </w:pPr>
      <w:r>
        <w:rPr>
          <w:rFonts w:ascii="Arial" w:cs="Arial" w:eastAsia="Arial" w:hAnsi="Arial"/>
          <w:sz w:val="18"/>
          <w:szCs w:val="18"/>
          <w:color w:val="auto"/>
        </w:rPr>
        <w:t>The following table summarizes the activity in the valuation allowance for impairment of the residential mortgage servicing rights portfolio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712" w:type="dxa"/>
        <w:tblCellMar>
          <w:top w:w="0" w:type="dxa"/>
          <w:left w:w="0" w:type="dxa"/>
          <w:bottom w:w="0" w:type="dxa"/>
          <w:right w:w="0" w:type="dxa"/>
        </w:tblCellMar>
      </w:tblPr>
      <w:tr>
        <w:trPr>
          <w:trHeight w:val="178"/>
        </w:trPr>
        <w:tc>
          <w:tcPr>
            <w:tcW w:w="6220" w:type="dxa"/>
            <w:vAlign w:val="bottom"/>
            <w:tcBorders>
              <w:bottom w:val="single" w:sz="8" w:color="F0FF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F0FFFF"/>
            </w:tcBorders>
          </w:tcPr>
          <w:p>
            <w:pPr>
              <w:spacing w:after="0"/>
              <w:rPr>
                <w:sz w:val="15"/>
                <w:szCs w:val="15"/>
                <w:color w:val="auto"/>
              </w:rPr>
            </w:pPr>
          </w:p>
        </w:tc>
      </w:tr>
      <w:tr>
        <w:trPr>
          <w:trHeight w:val="216"/>
        </w:trPr>
        <w:tc>
          <w:tcPr>
            <w:tcW w:w="6220" w:type="dxa"/>
            <w:vAlign w:val="bottom"/>
            <w:shd w:val="clear" w:color="auto" w:fill="F0FFFF"/>
          </w:tcPr>
          <w:p>
            <w:pPr>
              <w:spacing w:after="0"/>
              <w:rPr>
                <w:sz w:val="20"/>
                <w:szCs w:val="20"/>
                <w:color w:val="auto"/>
              </w:rPr>
            </w:pPr>
            <w:r>
              <w:rPr>
                <w:rFonts w:ascii="Arial" w:cs="Arial" w:eastAsia="Arial" w:hAnsi="Arial"/>
                <w:sz w:val="18"/>
                <w:szCs w:val="18"/>
                <w:color w:val="auto"/>
              </w:rPr>
              <w:t>Valuation allowance, beginning of period</w:t>
            </w:r>
          </w:p>
        </w:tc>
        <w:tc>
          <w:tcPr>
            <w:tcW w:w="400" w:type="dxa"/>
            <w:vAlign w:val="bottom"/>
            <w:shd w:val="clear" w:color="auto" w:fill="F0FF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r>
      <w:tr>
        <w:trPr>
          <w:trHeight w:val="237"/>
        </w:trPr>
        <w:tc>
          <w:tcPr>
            <w:tcW w:w="6220" w:type="dxa"/>
            <w:vAlign w:val="bottom"/>
            <w:tcBorders>
              <w:bottom w:val="single" w:sz="8" w:color="F0FFFF"/>
            </w:tcBorders>
          </w:tcPr>
          <w:p>
            <w:pPr>
              <w:ind w:left="180"/>
              <w:spacing w:after="0"/>
              <w:rPr>
                <w:sz w:val="20"/>
                <w:szCs w:val="20"/>
                <w:color w:val="auto"/>
              </w:rPr>
            </w:pPr>
            <w:r>
              <w:rPr>
                <w:rFonts w:ascii="Arial" w:cs="Arial" w:eastAsia="Arial" w:hAnsi="Arial"/>
                <w:sz w:val="18"/>
                <w:szCs w:val="18"/>
                <w:color w:val="auto"/>
              </w:rPr>
              <w:t>Additions charged to operations, net</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F0FFFF"/>
            </w:tcBorders>
          </w:tcPr>
          <w:p>
            <w:pPr>
              <w:spacing w:after="0"/>
              <w:rPr>
                <w:sz w:val="20"/>
                <w:szCs w:val="20"/>
                <w:color w:val="auto"/>
              </w:rPr>
            </w:pPr>
          </w:p>
        </w:tc>
      </w:tr>
      <w:tr>
        <w:trPr>
          <w:trHeight w:val="255"/>
        </w:trPr>
        <w:tc>
          <w:tcPr>
            <w:tcW w:w="62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Valuation allowance, end of period</w:t>
            </w:r>
          </w:p>
        </w:tc>
        <w:tc>
          <w:tcPr>
            <w:tcW w:w="400" w:type="dxa"/>
            <w:vAlign w:val="bottom"/>
            <w:tcBorders>
              <w:bottom w:val="single" w:sz="8" w:color="auto"/>
            </w:tcBorders>
            <w:shd w:val="clear" w:color="auto" w:fill="F0FF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bottom w:val="single" w:sz="8" w:color="F0FFFF"/>
            </w:tcBorders>
            <w:shd w:val="clear" w:color="auto" w:fill="F0FFFF"/>
          </w:tcPr>
          <w:p>
            <w:pPr>
              <w:spacing w:after="0"/>
              <w:rPr>
                <w:sz w:val="21"/>
                <w:szCs w:val="21"/>
                <w:color w:val="auto"/>
              </w:rPr>
            </w:pPr>
          </w:p>
        </w:tc>
      </w:tr>
      <w:tr>
        <w:trPr>
          <w:trHeight w:val="20"/>
        </w:trPr>
        <w:tc>
          <w:tcPr>
            <w:tcW w:w="6220" w:type="dxa"/>
            <w:vAlign w:val="bottom"/>
            <w:tcBorders>
              <w:top w:val="single" w:sz="8" w:color="F0FFFF"/>
            </w:tcBorders>
          </w:tcPr>
          <w:p>
            <w:pPr>
              <w:spacing w:after="0" w:line="20" w:lineRule="exact"/>
              <w:rPr>
                <w:sz w:val="1"/>
                <w:szCs w:val="1"/>
                <w:color w:val="auto"/>
              </w:rPr>
            </w:pPr>
          </w:p>
        </w:tc>
        <w:tc>
          <w:tcPr>
            <w:tcW w:w="400" w:type="dxa"/>
            <w:vAlign w:val="bottom"/>
            <w:tcBorders>
              <w:top w:val="single" w:sz="8" w:color="F0FFFF"/>
              <w:bottom w:val="single" w:sz="8" w:color="auto"/>
            </w:tcBorders>
          </w:tcPr>
          <w:p>
            <w:pPr>
              <w:spacing w:after="0" w:line="20" w:lineRule="exact"/>
              <w:rPr>
                <w:sz w:val="1"/>
                <w:szCs w:val="1"/>
                <w:color w:val="auto"/>
              </w:rPr>
            </w:pPr>
          </w:p>
        </w:tc>
        <w:tc>
          <w:tcPr>
            <w:tcW w:w="1300" w:type="dxa"/>
            <w:vAlign w:val="bottom"/>
            <w:tcBorders>
              <w:top w:val="single" w:sz="8" w:color="F0FFFF"/>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ind w:left="332"/>
        <w:spacing w:after="0" w:line="259" w:lineRule="auto"/>
        <w:rPr>
          <w:sz w:val="20"/>
          <w:szCs w:val="20"/>
          <w:color w:val="auto"/>
        </w:rPr>
      </w:pPr>
      <w:r>
        <w:rPr>
          <w:rFonts w:ascii="Arial" w:cs="Arial" w:eastAsia="Arial" w:hAnsi="Arial"/>
          <w:sz w:val="18"/>
          <w:szCs w:val="18"/>
          <w:color w:val="auto"/>
        </w:rPr>
        <w:t>The portfolio of residential mortgage loans serviced for others, which is not included in the consolidated balance sheet, was $377 million at December 31, 2015. The amount of contractually specified servicing fees earned by United on these servicing rights during the year ended December 31, 2015 was $299,000. Servicing fees, impairment, and amortization of these servicing rights are included in mortgage loan and other related fee revenue in the Consolidated Statement of Income.</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Servicing Rights, continued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Residential Mortgage Servicing Rights, continued</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following table summarizes the estimated future amortization expense of residential mortgage servicing rights during the years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2016</w:t>
            </w:r>
          </w:p>
        </w:tc>
        <w:tc>
          <w:tcPr>
            <w:tcW w:w="920" w:type="dxa"/>
            <w:vAlign w:val="bottom"/>
            <w:shd w:val="clear" w:color="auto" w:fill="F0FFFF"/>
          </w:tcPr>
          <w:p>
            <w:pPr>
              <w:jc w:val="right"/>
              <w:ind w:right="7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819</w:t>
            </w:r>
          </w:p>
        </w:tc>
        <w:tc>
          <w:tcPr>
            <w:tcW w:w="60" w:type="dxa"/>
            <w:vAlign w:val="bottom"/>
            <w:shd w:val="clear" w:color="auto" w:fill="F0FF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2017</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8"/>
                <w:szCs w:val="18"/>
                <w:color w:val="auto"/>
              </w:rPr>
            </w:pPr>
          </w:p>
        </w:tc>
      </w:tr>
      <w:tr>
        <w:trPr>
          <w:trHeight w:val="216"/>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2018</w:t>
            </w:r>
          </w:p>
        </w:tc>
        <w:tc>
          <w:tcPr>
            <w:tcW w:w="92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539</w:t>
            </w:r>
          </w:p>
        </w:tc>
        <w:tc>
          <w:tcPr>
            <w:tcW w:w="60" w:type="dxa"/>
            <w:vAlign w:val="bottom"/>
            <w:shd w:val="clear" w:color="auto" w:fill="F0FF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2019</w:t>
            </w:r>
          </w:p>
        </w:tc>
        <w:tc>
          <w:tcPr>
            <w:tcW w:w="9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w:t>
            </w:r>
          </w:p>
        </w:tc>
        <w:tc>
          <w:tcPr>
            <w:tcW w:w="60" w:type="dxa"/>
            <w:vAlign w:val="bottom"/>
          </w:tcPr>
          <w:p>
            <w:pPr>
              <w:spacing w:after="0"/>
              <w:rPr>
                <w:sz w:val="18"/>
                <w:szCs w:val="18"/>
                <w:color w:val="auto"/>
              </w:rPr>
            </w:pPr>
          </w:p>
        </w:tc>
      </w:tr>
      <w:tr>
        <w:trPr>
          <w:trHeight w:val="216"/>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2020</w:t>
            </w:r>
          </w:p>
        </w:tc>
        <w:tc>
          <w:tcPr>
            <w:tcW w:w="920" w:type="dxa"/>
            <w:vAlign w:val="bottom"/>
            <w:shd w:val="clear" w:color="auto" w:fill="F0FFFF"/>
          </w:tcPr>
          <w:p>
            <w:pPr>
              <w:spacing w:after="0"/>
              <w:rPr>
                <w:sz w:val="18"/>
                <w:szCs w:val="18"/>
                <w:color w:val="auto"/>
              </w:rPr>
            </w:pPr>
          </w:p>
        </w:tc>
        <w:tc>
          <w:tcPr>
            <w:tcW w:w="12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F0FFFF"/>
          </w:tcPr>
          <w:p>
            <w:pPr>
              <w:spacing w:after="0"/>
              <w:rPr>
                <w:sz w:val="18"/>
                <w:szCs w:val="18"/>
                <w:color w:val="auto"/>
              </w:rPr>
            </w:pPr>
          </w:p>
        </w:tc>
      </w:tr>
      <w:tr>
        <w:trPr>
          <w:trHeight w:val="237"/>
        </w:trPr>
        <w:tc>
          <w:tcPr>
            <w:tcW w:w="462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thereafter</w:t>
            </w:r>
          </w:p>
        </w:tc>
        <w:tc>
          <w:tcPr>
            <w:tcW w:w="9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60" w:type="dxa"/>
            <w:vAlign w:val="bottom"/>
            <w:tcBorders>
              <w:bottom w:val="single" w:sz="8" w:color="F0FFFF"/>
            </w:tcBorders>
          </w:tcPr>
          <w:p>
            <w:pPr>
              <w:spacing w:after="0"/>
              <w:rPr>
                <w:sz w:val="20"/>
                <w:szCs w:val="20"/>
                <w:color w:val="auto"/>
              </w:rPr>
            </w:pPr>
          </w:p>
        </w:tc>
      </w:tr>
      <w:tr>
        <w:trPr>
          <w:trHeight w:val="216"/>
        </w:trPr>
        <w:tc>
          <w:tcPr>
            <w:tcW w:w="46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4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r>
      <w:tr>
        <w:trPr>
          <w:trHeight w:val="243"/>
        </w:trPr>
        <w:tc>
          <w:tcPr>
            <w:tcW w:w="4620" w:type="dxa"/>
            <w:vAlign w:val="bottom"/>
          </w:tcPr>
          <w:p>
            <w:pPr>
              <w:spacing w:after="0"/>
              <w:rPr>
                <w:sz w:val="21"/>
                <w:szCs w:val="21"/>
                <w:color w:val="auto"/>
              </w:rPr>
            </w:pP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60" w:type="dxa"/>
            <w:vAlign w:val="bottom"/>
          </w:tcPr>
          <w:p>
            <w:pPr>
              <w:spacing w:after="0"/>
              <w:rPr>
                <w:sz w:val="21"/>
                <w:szCs w:val="21"/>
                <w:color w:val="auto"/>
              </w:rPr>
            </w:pPr>
          </w:p>
        </w:tc>
      </w:tr>
      <w:tr>
        <w:trPr>
          <w:trHeight w:val="21"/>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 xml:space="preserve">At December 31, 2015, the contractual maturities of time deposits, including brokered time deposits,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5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2016</w:t>
            </w:r>
          </w:p>
        </w:tc>
        <w:tc>
          <w:tcPr>
            <w:tcW w:w="760" w:type="dxa"/>
            <w:vAlign w:val="bottom"/>
            <w:shd w:val="clear" w:color="auto" w:fill="F0FFFF"/>
          </w:tcPr>
          <w:p>
            <w:pPr>
              <w:jc w:val="right"/>
              <w:ind w:right="5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1,027,814</w:t>
            </w:r>
          </w:p>
        </w:tc>
        <w:tc>
          <w:tcPr>
            <w:tcW w:w="60" w:type="dxa"/>
            <w:vAlign w:val="bottom"/>
            <w:shd w:val="clear" w:color="auto" w:fill="F0FF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2017</w:t>
            </w:r>
          </w:p>
        </w:tc>
        <w:tc>
          <w:tcPr>
            <w:tcW w:w="7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137,114</w:t>
            </w:r>
          </w:p>
        </w:tc>
      </w:tr>
      <w:tr>
        <w:trPr>
          <w:trHeight w:val="216"/>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2018</w:t>
            </w:r>
          </w:p>
        </w:tc>
        <w:tc>
          <w:tcPr>
            <w:tcW w:w="76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58,559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23,894</w:t>
            </w:r>
          </w:p>
        </w:tc>
      </w:tr>
      <w:tr>
        <w:trPr>
          <w:trHeight w:val="216"/>
        </w:trPr>
        <w:tc>
          <w:tcPr>
            <w:tcW w:w="4620" w:type="dxa"/>
            <w:vAlign w:val="bottom"/>
            <w:shd w:val="clear" w:color="auto" w:fill="F0FFFF"/>
          </w:tcPr>
          <w:p>
            <w:pPr>
              <w:spacing w:after="0"/>
              <w:rPr>
                <w:sz w:val="20"/>
                <w:szCs w:val="20"/>
                <w:color w:val="auto"/>
              </w:rPr>
            </w:pPr>
            <w:r>
              <w:rPr>
                <w:rFonts w:ascii="Arial" w:cs="Arial" w:eastAsia="Arial" w:hAnsi="Arial"/>
                <w:sz w:val="18"/>
                <w:szCs w:val="18"/>
                <w:color w:val="auto"/>
              </w:rPr>
              <w:t>2020</w:t>
            </w:r>
          </w:p>
        </w:tc>
        <w:tc>
          <w:tcPr>
            <w:tcW w:w="760" w:type="dxa"/>
            <w:vAlign w:val="bottom"/>
            <w:shd w:val="clear" w:color="auto" w:fill="F0FFFF"/>
          </w:tcPr>
          <w:p>
            <w:pPr>
              <w:spacing w:after="0"/>
              <w:rPr>
                <w:sz w:val="18"/>
                <w:szCs w:val="18"/>
                <w:color w:val="auto"/>
              </w:rPr>
            </w:pPr>
          </w:p>
        </w:tc>
        <w:tc>
          <w:tcPr>
            <w:tcW w:w="14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35,222</w:t>
            </w:r>
          </w:p>
        </w:tc>
      </w:tr>
      <w:tr>
        <w:trPr>
          <w:trHeight w:val="237"/>
        </w:trPr>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76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241,939</w:t>
            </w:r>
          </w:p>
        </w:tc>
      </w:tr>
      <w:tr>
        <w:trPr>
          <w:trHeight w:val="216"/>
        </w:trPr>
        <w:tc>
          <w:tcPr>
            <w:tcW w:w="4620" w:type="dxa"/>
            <w:vAlign w:val="bottom"/>
            <w:tcBorders>
              <w:top w:val="single" w:sz="8" w:color="F0FFFF"/>
            </w:tcBorders>
            <w:shd w:val="clear" w:color="auto" w:fill="F0FFFF"/>
          </w:tcPr>
          <w:p>
            <w:pPr>
              <w:spacing w:after="0"/>
              <w:rPr>
                <w:sz w:val="18"/>
                <w:szCs w:val="18"/>
                <w:color w:val="auto"/>
              </w:rPr>
            </w:pPr>
          </w:p>
        </w:tc>
        <w:tc>
          <w:tcPr>
            <w:tcW w:w="760" w:type="dxa"/>
            <w:vAlign w:val="bottom"/>
            <w:tcBorders>
              <w:top w:val="single" w:sz="8" w:color="auto"/>
            </w:tcBorders>
            <w:shd w:val="clear" w:color="auto" w:fill="F0FFFF"/>
          </w:tcPr>
          <w:p>
            <w:pPr>
              <w:spacing w:after="0"/>
              <w:rPr>
                <w:sz w:val="18"/>
                <w:szCs w:val="18"/>
                <w:color w:val="auto"/>
              </w:rPr>
            </w:pPr>
          </w:p>
        </w:tc>
        <w:tc>
          <w:tcPr>
            <w:tcW w:w="1400" w:type="dxa"/>
            <w:vAlign w:val="bottom"/>
            <w:tcBorders>
              <w:top w:val="single" w:sz="8" w:color="auto"/>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r>
      <w:tr>
        <w:trPr>
          <w:trHeight w:val="243"/>
        </w:trPr>
        <w:tc>
          <w:tcPr>
            <w:tcW w:w="4620" w:type="dxa"/>
            <w:vAlign w:val="bottom"/>
          </w:tcPr>
          <w:p>
            <w:pPr>
              <w:spacing w:after="0"/>
              <w:rPr>
                <w:sz w:val="21"/>
                <w:szCs w:val="21"/>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1,524,542</w:t>
            </w:r>
          </w:p>
        </w:tc>
        <w:tc>
          <w:tcPr>
            <w:tcW w:w="60" w:type="dxa"/>
            <w:vAlign w:val="bottom"/>
          </w:tcPr>
          <w:p>
            <w:pPr>
              <w:spacing w:after="0"/>
              <w:rPr>
                <w:sz w:val="21"/>
                <w:szCs w:val="21"/>
                <w:color w:val="auto"/>
              </w:rPr>
            </w:pPr>
          </w:p>
        </w:tc>
      </w:tr>
      <w:tr>
        <w:trPr>
          <w:trHeight w:val="21"/>
        </w:trPr>
        <w:tc>
          <w:tcPr>
            <w:tcW w:w="46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At December 31, 2015 and 2014, time deposits (excluding brokered time deposits) that met or exceeded the FDIC insurance limit of $250,000 totaled $139 million and $135 million, respectively.</w:t>
      </w:r>
    </w:p>
    <w:p>
      <w:pPr>
        <w:spacing w:after="0" w:line="170"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At December 31, 2015 and 2014, United held $242 million and $273 million, respectively, in certificates of deposit obtained through third party brokers. The daily average balance of these brokered deposits totaled $269 million and $294 million in 2015 and 2014, respectively. The brokered certificates of deposit at December 31, 2015 had maturities ranging from 2018 through 2033 and are callable by United. Most of the brokered certificates of deposit have been swapped in fair value hedging relationships to 90 day LIBOR minus a spread that currently exceeds LIBOR, thereby resulting in a negative yield. United also has certain market-linked brokered deposits that are considered hybrid instruments that contain embedded derivatives that have been bifurcated from the host contract leaving host instruments paying a rate of 90 day LIBOR minus a spread that also result in a negative yield.</w:t>
      </w:r>
    </w:p>
    <w:p>
      <w:pPr>
        <w:spacing w:after="0" w:line="161"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Federal Home Loan Bank Advances</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December 31, 2015 and 2014, United had FHLB advances totaling $430 million and $270 million, respectively. The advances outstanding at December 31, 2015 had maturities in 2016 with interest rates up to .60%. At December 31, 2015, the weighted average interest rate on FHLB advances was ..49%, compared to .22% as of December 31, 2014. The FHLB advances are collateralized by owner occupied and income producing commercial real estate and residential mortgage loans, investment securities and FHLB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2" w:name="page103"/>
    <w:bookmarkEnd w:id="102"/>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 xml:space="preserve">Long-term debt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332"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Stated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Earliest</w:t>
            </w:r>
          </w:p>
        </w:tc>
        <w:tc>
          <w:tcPr>
            <w:tcW w:w="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Issue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Maturity</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Call</w:t>
            </w:r>
          </w:p>
        </w:tc>
        <w:tc>
          <w:tcPr>
            <w:tcW w:w="1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960" w:type="dxa"/>
            <w:vAlign w:val="bottom"/>
            <w:gridSpan w:val="2"/>
          </w:tcPr>
          <w:p>
            <w:pPr>
              <w:ind w:left="220"/>
              <w:spacing w:after="0"/>
              <w:rPr>
                <w:sz w:val="20"/>
                <w:szCs w:val="20"/>
                <w:color w:val="auto"/>
              </w:rPr>
            </w:pPr>
            <w:r>
              <w:rPr>
                <w:rFonts w:ascii="Arial" w:cs="Arial" w:eastAsia="Arial" w:hAnsi="Arial"/>
                <w:sz w:val="14"/>
                <w:szCs w:val="14"/>
                <w:b w:val="1"/>
                <w:bCs w:val="1"/>
                <w:color w:val="auto"/>
              </w:rPr>
              <w:t>Date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80" w:type="dxa"/>
            <w:vAlign w:val="bottom"/>
          </w:tcPr>
          <w:p>
            <w:pPr>
              <w:spacing w:after="0"/>
              <w:rPr>
                <w:sz w:val="14"/>
                <w:szCs w:val="14"/>
                <w:color w:val="auto"/>
              </w:rPr>
            </w:pPr>
          </w:p>
        </w:tc>
        <w:tc>
          <w:tcPr>
            <w:tcW w:w="21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Interest Rate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2012 senior debentures</w:t>
            </w:r>
          </w:p>
        </w:tc>
        <w:tc>
          <w:tcPr>
            <w:tcW w:w="94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35,000</w:t>
            </w:r>
          </w:p>
        </w:tc>
        <w:tc>
          <w:tcPr>
            <w:tcW w:w="160" w:type="dxa"/>
            <w:vAlign w:val="bottom"/>
            <w:shd w:val="clear" w:color="auto" w:fill="F0FF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35,000</w:t>
            </w: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2012</w:t>
            </w:r>
          </w:p>
        </w:tc>
        <w:tc>
          <w:tcPr>
            <w:tcW w:w="2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2017</w:t>
            </w:r>
          </w:p>
        </w:tc>
        <w:tc>
          <w:tcPr>
            <w:tcW w:w="2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2017</w:t>
            </w:r>
          </w:p>
        </w:tc>
        <w:tc>
          <w:tcPr>
            <w:tcW w:w="232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9.000%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2013 senior debentures</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2013</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2018</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2015</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96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6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2320" w:type="dxa"/>
            <w:vAlign w:val="bottom"/>
            <w:gridSpan w:val="2"/>
            <w:shd w:val="clear" w:color="auto" w:fill="F0FFFF"/>
          </w:tcPr>
          <w:p>
            <w:pPr>
              <w:jc w:val="center"/>
              <w:ind w:left="88"/>
              <w:spacing w:after="0" w:line="130" w:lineRule="exact"/>
              <w:rPr>
                <w:sz w:val="20"/>
                <w:szCs w:val="20"/>
                <w:color w:val="auto"/>
              </w:rPr>
            </w:pPr>
            <w:r>
              <w:rPr>
                <w:rFonts w:ascii="Arial" w:cs="Arial" w:eastAsia="Arial" w:hAnsi="Arial"/>
                <w:sz w:val="14"/>
                <w:szCs w:val="14"/>
                <w:color w:val="auto"/>
                <w:w w:val="94"/>
              </w:rPr>
              <w:t>5.000% through August 13, 2020,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F0FFFF"/>
          </w:tcPr>
          <w:p>
            <w:pPr>
              <w:spacing w:after="0"/>
              <w:rPr>
                <w:sz w:val="12"/>
                <w:szCs w:val="12"/>
                <w:color w:val="auto"/>
              </w:rPr>
            </w:pPr>
          </w:p>
        </w:tc>
        <w:tc>
          <w:tcPr>
            <w:tcW w:w="7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760" w:type="dxa"/>
            <w:vAlign w:val="bottom"/>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214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month LIBOR plus 3.814%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60" w:type="dxa"/>
            <w:vAlign w:val="bottom"/>
            <w:shd w:val="clear" w:color="auto" w:fill="F0FFFF"/>
          </w:tcPr>
          <w:p>
            <w:pPr>
              <w:spacing w:after="0"/>
              <w:rPr>
                <w:sz w:val="20"/>
                <w:szCs w:val="20"/>
                <w:color w:val="auto"/>
              </w:rPr>
            </w:pPr>
            <w:r>
              <w:rPr>
                <w:rFonts w:ascii="Arial" w:cs="Arial" w:eastAsia="Arial" w:hAnsi="Arial"/>
                <w:sz w:val="14"/>
                <w:szCs w:val="14"/>
                <w:color w:val="auto"/>
              </w:rPr>
              <w:t>2022 senior debentures</w:t>
            </w:r>
          </w:p>
        </w:tc>
        <w:tc>
          <w:tcPr>
            <w:tcW w:w="78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50,000</w:t>
            </w:r>
          </w:p>
        </w:tc>
        <w:tc>
          <w:tcPr>
            <w:tcW w:w="160" w:type="dxa"/>
            <w:vAlign w:val="bottom"/>
            <w:shd w:val="clear" w:color="auto" w:fill="F0FFFF"/>
          </w:tcPr>
          <w:p>
            <w:pPr>
              <w:spacing w:after="0"/>
              <w:rPr>
                <w:sz w:val="14"/>
                <w:szCs w:val="14"/>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2015</w:t>
            </w:r>
          </w:p>
        </w:tc>
        <w:tc>
          <w:tcPr>
            <w:tcW w:w="220" w:type="dxa"/>
            <w:vAlign w:val="bottom"/>
            <w:shd w:val="clear" w:color="auto" w:fill="F0FFFF"/>
          </w:tcPr>
          <w:p>
            <w:pPr>
              <w:spacing w:after="0"/>
              <w:rPr>
                <w:sz w:val="14"/>
                <w:szCs w:val="14"/>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2022</w:t>
            </w:r>
          </w:p>
        </w:tc>
        <w:tc>
          <w:tcPr>
            <w:tcW w:w="220" w:type="dxa"/>
            <w:vAlign w:val="bottom"/>
            <w:shd w:val="clear" w:color="auto" w:fill="F0FFFF"/>
          </w:tcPr>
          <w:p>
            <w:pPr>
              <w:spacing w:after="0"/>
              <w:rPr>
                <w:sz w:val="14"/>
                <w:szCs w:val="14"/>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2020</w:t>
            </w:r>
          </w:p>
        </w:tc>
        <w:tc>
          <w:tcPr>
            <w:tcW w:w="180" w:type="dxa"/>
            <w:vAlign w:val="bottom"/>
            <w:shd w:val="clear" w:color="auto" w:fill="F0FFFF"/>
          </w:tcPr>
          <w:p>
            <w:pPr>
              <w:spacing w:after="0"/>
              <w:rPr>
                <w:sz w:val="14"/>
                <w:szCs w:val="14"/>
                <w:color w:val="auto"/>
              </w:rPr>
            </w:pPr>
          </w:p>
        </w:tc>
        <w:tc>
          <w:tcPr>
            <w:tcW w:w="2140" w:type="dxa"/>
            <w:vAlign w:val="bottom"/>
            <w:shd w:val="clear" w:color="auto" w:fill="F0FFFF"/>
          </w:tcPr>
          <w:p>
            <w:pPr>
              <w:ind w:left="140"/>
              <w:spacing w:after="0"/>
              <w:rPr>
                <w:sz w:val="20"/>
                <w:szCs w:val="20"/>
                <w:color w:val="auto"/>
              </w:rPr>
            </w:pPr>
            <w:r>
              <w:rPr>
                <w:rFonts w:ascii="Arial" w:cs="Arial" w:eastAsia="Arial" w:hAnsi="Arial"/>
                <w:sz w:val="14"/>
                <w:szCs w:val="14"/>
                <w:color w:val="auto"/>
              </w:rPr>
              <w:t>thereafter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20" w:type="dxa"/>
            <w:vAlign w:val="bottom"/>
            <w:gridSpan w:val="2"/>
          </w:tcPr>
          <w:p>
            <w:pPr>
              <w:jc w:val="center"/>
              <w:ind w:left="48"/>
              <w:spacing w:after="0" w:line="130" w:lineRule="exact"/>
              <w:rPr>
                <w:sz w:val="20"/>
                <w:szCs w:val="20"/>
                <w:color w:val="auto"/>
              </w:rPr>
            </w:pPr>
            <w:r>
              <w:rPr>
                <w:rFonts w:ascii="Arial" w:cs="Arial" w:eastAsia="Arial" w:hAnsi="Arial"/>
                <w:sz w:val="14"/>
                <w:szCs w:val="14"/>
                <w:color w:val="auto"/>
                <w:w w:val="94"/>
              </w:rPr>
              <w:t>5.500% through August 13, 2025 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month LIBOR plus 3.71%</w:t>
            </w:r>
          </w:p>
        </w:tc>
        <w:tc>
          <w:tcPr>
            <w:tcW w:w="0" w:type="dxa"/>
            <w:vAlign w:val="bottom"/>
          </w:tcPr>
          <w:p>
            <w:pPr>
              <w:spacing w:after="0"/>
              <w:rPr>
                <w:sz w:val="1"/>
                <w:szCs w:val="1"/>
                <w:color w:val="auto"/>
              </w:rPr>
            </w:pPr>
          </w:p>
        </w:tc>
      </w:tr>
      <w:tr>
        <w:trPr>
          <w:trHeight w:val="188"/>
        </w:trPr>
        <w:tc>
          <w:tcPr>
            <w:tcW w:w="2960" w:type="dxa"/>
            <w:vAlign w:val="bottom"/>
          </w:tcPr>
          <w:p>
            <w:pPr>
              <w:spacing w:after="0"/>
              <w:rPr>
                <w:sz w:val="20"/>
                <w:szCs w:val="20"/>
                <w:color w:val="auto"/>
              </w:rPr>
            </w:pPr>
            <w:r>
              <w:rPr>
                <w:rFonts w:ascii="Arial" w:cs="Arial" w:eastAsia="Arial" w:hAnsi="Arial"/>
                <w:sz w:val="14"/>
                <w:szCs w:val="14"/>
                <w:color w:val="auto"/>
              </w:rPr>
              <w:t>2027 senior debentures</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35,000</w:t>
            </w:r>
          </w:p>
        </w:tc>
        <w:tc>
          <w:tcPr>
            <w:tcW w:w="16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2015</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2027</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2025</w:t>
            </w:r>
          </w:p>
        </w:tc>
        <w:tc>
          <w:tcPr>
            <w:tcW w:w="180" w:type="dxa"/>
            <w:vAlign w:val="bottom"/>
          </w:tcPr>
          <w:p>
            <w:pPr>
              <w:spacing w:after="0"/>
              <w:rPr>
                <w:sz w:val="16"/>
                <w:szCs w:val="16"/>
                <w:color w:val="auto"/>
              </w:rPr>
            </w:pPr>
          </w:p>
        </w:tc>
        <w:tc>
          <w:tcPr>
            <w:tcW w:w="2160" w:type="dxa"/>
            <w:vAlign w:val="bottom"/>
            <w:gridSpan w:val="2"/>
          </w:tcPr>
          <w:p>
            <w:pPr>
              <w:ind w:left="140"/>
              <w:spacing w:after="0"/>
              <w:rPr>
                <w:sz w:val="20"/>
                <w:szCs w:val="20"/>
                <w:color w:val="auto"/>
              </w:rPr>
            </w:pPr>
            <w:r>
              <w:rPr>
                <w:rFonts w:ascii="Arial" w:cs="Arial" w:eastAsia="Arial" w:hAnsi="Arial"/>
                <w:sz w:val="14"/>
                <w:szCs w:val="14"/>
                <w:color w:val="auto"/>
              </w:rPr>
              <w:t>thereafter</w:t>
            </w:r>
          </w:p>
        </w:tc>
        <w:tc>
          <w:tcPr>
            <w:tcW w:w="0" w:type="dxa"/>
            <w:vAlign w:val="bottom"/>
          </w:tcPr>
          <w:p>
            <w:pPr>
              <w:spacing w:after="0"/>
              <w:rPr>
                <w:sz w:val="1"/>
                <w:szCs w:val="1"/>
                <w:color w:val="auto"/>
              </w:rPr>
            </w:pPr>
          </w:p>
        </w:tc>
      </w:tr>
      <w:tr>
        <w:trPr>
          <w:trHeight w:val="156"/>
        </w:trPr>
        <w:tc>
          <w:tcPr>
            <w:tcW w:w="2960" w:type="dxa"/>
            <w:vAlign w:val="bottom"/>
            <w:tcBorders>
              <w:top w:val="single" w:sz="8" w:color="F0FFFF"/>
              <w:bottom w:val="single" w:sz="8" w:color="F0FFFF"/>
            </w:tcBorders>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senior debentures</w:t>
            </w:r>
          </w:p>
        </w:tc>
        <w:tc>
          <w:tcPr>
            <w:tcW w:w="780" w:type="dxa"/>
            <w:vAlign w:val="bottom"/>
            <w:tcBorders>
              <w:top w:val="single" w:sz="8" w:color="F0FFFF"/>
              <w:bottom w:val="single" w:sz="8" w:color="F0FFFF"/>
            </w:tcBorders>
            <w:shd w:val="clear" w:color="auto" w:fill="F0FFFF"/>
          </w:tcPr>
          <w:p>
            <w:pPr>
              <w:spacing w:after="0"/>
              <w:rPr>
                <w:sz w:val="13"/>
                <w:szCs w:val="13"/>
                <w:color w:val="auto"/>
              </w:rPr>
            </w:pPr>
          </w:p>
        </w:tc>
        <w:tc>
          <w:tcPr>
            <w:tcW w:w="160" w:type="dxa"/>
            <w:vAlign w:val="bottom"/>
            <w:tcBorders>
              <w:top w:val="single" w:sz="8" w:color="auto"/>
              <w:bottom w:val="single" w:sz="8" w:color="auto"/>
            </w:tcBorders>
            <w:shd w:val="clear" w:color="auto" w:fill="F0FFFF"/>
          </w:tcPr>
          <w:p>
            <w:pPr>
              <w:spacing w:after="0"/>
              <w:rPr>
                <w:sz w:val="13"/>
                <w:szCs w:val="13"/>
                <w:color w:val="auto"/>
              </w:rPr>
            </w:pPr>
          </w:p>
        </w:tc>
        <w:tc>
          <w:tcPr>
            <w:tcW w:w="6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160,000</w:t>
            </w: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160" w:type="dxa"/>
            <w:vAlign w:val="bottom"/>
            <w:tcBorders>
              <w:top w:val="single" w:sz="8" w:color="auto"/>
              <w:bottom w:val="single" w:sz="8" w:color="auto"/>
            </w:tcBorders>
            <w:shd w:val="clear" w:color="auto" w:fill="F0FFFF"/>
          </w:tcPr>
          <w:p>
            <w:pPr>
              <w:spacing w:after="0"/>
              <w:rPr>
                <w:sz w:val="13"/>
                <w:szCs w:val="13"/>
                <w:color w:val="auto"/>
              </w:rPr>
            </w:pPr>
          </w:p>
        </w:tc>
        <w:tc>
          <w:tcPr>
            <w:tcW w:w="6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75,000</w:t>
            </w: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740" w:type="dxa"/>
            <w:vAlign w:val="bottom"/>
            <w:tcBorders>
              <w:top w:val="single" w:sz="8" w:color="F0FFFF"/>
              <w:bottom w:val="single" w:sz="8" w:color="F0FFFF"/>
            </w:tcBorders>
            <w:shd w:val="clear" w:color="auto" w:fill="F0FFFF"/>
          </w:tcPr>
          <w:p>
            <w:pPr>
              <w:spacing w:after="0"/>
              <w:rPr>
                <w:sz w:val="13"/>
                <w:szCs w:val="13"/>
                <w:color w:val="auto"/>
              </w:rPr>
            </w:pP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760" w:type="dxa"/>
            <w:vAlign w:val="bottom"/>
            <w:tcBorders>
              <w:top w:val="single" w:sz="8" w:color="F0FFFF"/>
              <w:bottom w:val="single" w:sz="8" w:color="F0FFFF"/>
            </w:tcBorders>
            <w:shd w:val="clear" w:color="auto" w:fill="F0FFFF"/>
          </w:tcPr>
          <w:p>
            <w:pPr>
              <w:spacing w:after="0"/>
              <w:rPr>
                <w:sz w:val="13"/>
                <w:szCs w:val="13"/>
                <w:color w:val="auto"/>
              </w:rPr>
            </w:pP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760" w:type="dxa"/>
            <w:vAlign w:val="bottom"/>
            <w:tcBorders>
              <w:top w:val="single" w:sz="8" w:color="F0FFFF"/>
              <w:bottom w:val="single" w:sz="8" w:color="F0FFFF"/>
            </w:tcBorders>
            <w:shd w:val="clear" w:color="auto" w:fill="F0FFFF"/>
          </w:tcPr>
          <w:p>
            <w:pPr>
              <w:spacing w:after="0"/>
              <w:rPr>
                <w:sz w:val="13"/>
                <w:szCs w:val="13"/>
                <w:color w:val="auto"/>
              </w:rPr>
            </w:pPr>
          </w:p>
        </w:tc>
        <w:tc>
          <w:tcPr>
            <w:tcW w:w="180" w:type="dxa"/>
            <w:vAlign w:val="bottom"/>
            <w:tcBorders>
              <w:top w:val="single" w:sz="8" w:color="F0FFFF"/>
              <w:bottom w:val="single" w:sz="8" w:color="F0FFFF"/>
            </w:tcBorders>
            <w:shd w:val="clear" w:color="auto" w:fill="F0FFFF"/>
          </w:tcPr>
          <w:p>
            <w:pPr>
              <w:spacing w:after="0"/>
              <w:rPr>
                <w:sz w:val="13"/>
                <w:szCs w:val="13"/>
                <w:color w:val="auto"/>
              </w:rPr>
            </w:pPr>
          </w:p>
        </w:tc>
        <w:tc>
          <w:tcPr>
            <w:tcW w:w="2140" w:type="dxa"/>
            <w:vAlign w:val="bottom"/>
            <w:tcBorders>
              <w:top w:val="single" w:sz="8" w:color="F0FFFF"/>
              <w:bottom w:val="single" w:sz="8" w:color="F0FFFF"/>
            </w:tcBorders>
            <w:shd w:val="clear" w:color="auto" w:fill="F0FF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United Community Capital Trust</w:t>
            </w:r>
          </w:p>
        </w:tc>
        <w:tc>
          <w:tcPr>
            <w:tcW w:w="7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21,650</w:t>
            </w: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1998</w:t>
            </w:r>
          </w:p>
        </w:tc>
        <w:tc>
          <w:tcPr>
            <w:tcW w:w="2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2028</w:t>
            </w:r>
          </w:p>
        </w:tc>
        <w:tc>
          <w:tcPr>
            <w:tcW w:w="2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2008</w:t>
            </w:r>
          </w:p>
        </w:tc>
        <w:tc>
          <w:tcPr>
            <w:tcW w:w="232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8.125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United Community Statutory Trust I</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5,155</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2030</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2010</w:t>
            </w:r>
          </w:p>
        </w:tc>
        <w:tc>
          <w:tcPr>
            <w:tcW w:w="2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United Community Capital Trust II</w:t>
            </w:r>
          </w:p>
        </w:tc>
        <w:tc>
          <w:tcPr>
            <w:tcW w:w="7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10,309</w:t>
            </w: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2000</w:t>
            </w:r>
          </w:p>
        </w:tc>
        <w:tc>
          <w:tcPr>
            <w:tcW w:w="2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2030</w:t>
            </w:r>
          </w:p>
        </w:tc>
        <w:tc>
          <w:tcPr>
            <w:tcW w:w="2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2010</w:t>
            </w:r>
          </w:p>
        </w:tc>
        <w:tc>
          <w:tcPr>
            <w:tcW w:w="232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11.295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line="149" w:lineRule="exact"/>
              <w:rPr>
                <w:sz w:val="20"/>
                <w:szCs w:val="20"/>
                <w:color w:val="auto"/>
              </w:rPr>
            </w:pPr>
            <w:r>
              <w:rPr>
                <w:rFonts w:ascii="Arial" w:cs="Arial" w:eastAsia="Arial" w:hAnsi="Arial"/>
                <w:sz w:val="14"/>
                <w:szCs w:val="14"/>
                <w:color w:val="auto"/>
              </w:rPr>
              <w:t>Southern Bancorp Capital Trust I</w:t>
            </w: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4,382</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4,382</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2004</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2034</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2009</w:t>
            </w:r>
          </w:p>
        </w:tc>
        <w:tc>
          <w:tcPr>
            <w:tcW w:w="180" w:type="dxa"/>
            <w:vAlign w:val="bottom"/>
          </w:tcPr>
          <w:p>
            <w:pPr>
              <w:spacing w:after="0"/>
              <w:rPr>
                <w:sz w:val="12"/>
                <w:szCs w:val="12"/>
                <w:color w:val="auto"/>
              </w:rPr>
            </w:pPr>
          </w:p>
        </w:tc>
        <w:tc>
          <w:tcPr>
            <w:tcW w:w="2140" w:type="dxa"/>
            <w:vAlign w:val="bottom"/>
          </w:tcPr>
          <w:p>
            <w:pPr>
              <w:jc w:val="right"/>
              <w:spacing w:after="0" w:line="149" w:lineRule="exact"/>
              <w:rPr>
                <w:sz w:val="20"/>
                <w:szCs w:val="20"/>
                <w:color w:val="auto"/>
              </w:rPr>
            </w:pPr>
            <w:r>
              <w:rPr>
                <w:rFonts w:ascii="Arial" w:cs="Arial" w:eastAsia="Arial" w:hAnsi="Arial"/>
                <w:sz w:val="14"/>
                <w:szCs w:val="14"/>
                <w:color w:val="auto"/>
              </w:rPr>
              <w:t>Prime + 1.00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United Community Statutory Trust II</w:t>
            </w:r>
          </w:p>
        </w:tc>
        <w:tc>
          <w:tcPr>
            <w:tcW w:w="78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12,131</w:t>
            </w: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2008</w:t>
            </w:r>
          </w:p>
        </w:tc>
        <w:tc>
          <w:tcPr>
            <w:tcW w:w="2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2038</w:t>
            </w:r>
          </w:p>
        </w:tc>
        <w:tc>
          <w:tcPr>
            <w:tcW w:w="2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2013</w:t>
            </w:r>
          </w:p>
        </w:tc>
        <w:tc>
          <w:tcPr>
            <w:tcW w:w="232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9.000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20"/>
                <w:szCs w:val="20"/>
                <w:color w:val="auto"/>
              </w:rPr>
            </w:pPr>
            <w:r>
              <w:rPr>
                <w:rFonts w:ascii="Arial" w:cs="Arial" w:eastAsia="Arial" w:hAnsi="Arial"/>
                <w:sz w:val="14"/>
                <w:szCs w:val="14"/>
                <w:color w:val="auto"/>
              </w:rPr>
              <w:t>United Community Statutory Trust III</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1,238</w:t>
            </w:r>
          </w:p>
        </w:tc>
        <w:tc>
          <w:tcPr>
            <w:tcW w:w="16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1,238</w:t>
            </w:r>
          </w:p>
        </w:tc>
        <w:tc>
          <w:tcPr>
            <w:tcW w:w="740" w:type="dxa"/>
            <w:vAlign w:val="bottom"/>
          </w:tcPr>
          <w:p>
            <w:pPr>
              <w:jc w:val="right"/>
              <w:spacing w:after="0"/>
              <w:rPr>
                <w:sz w:val="20"/>
                <w:szCs w:val="20"/>
                <w:color w:val="auto"/>
              </w:rPr>
            </w:pPr>
            <w:r>
              <w:rPr>
                <w:rFonts w:ascii="Arial" w:cs="Arial" w:eastAsia="Arial" w:hAnsi="Arial"/>
                <w:sz w:val="14"/>
                <w:szCs w:val="14"/>
                <w:color w:val="auto"/>
              </w:rPr>
              <w:t>2008</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2038</w:t>
            </w: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2013</w:t>
            </w:r>
          </w:p>
        </w:tc>
        <w:tc>
          <w:tcPr>
            <w:tcW w:w="1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Prime + 3.00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60" w:type="dxa"/>
            <w:vAlign w:val="bottom"/>
            <w:tcBorders>
              <w:top w:val="single" w:sz="8" w:color="F0FFFF"/>
              <w:bottom w:val="single" w:sz="8" w:color="F0FFFF"/>
            </w:tcBorders>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trust preferred securities</w:t>
            </w:r>
          </w:p>
        </w:tc>
        <w:tc>
          <w:tcPr>
            <w:tcW w:w="780" w:type="dxa"/>
            <w:vAlign w:val="bottom"/>
            <w:tcBorders>
              <w:top w:val="single" w:sz="8" w:color="F0FFFF"/>
              <w:bottom w:val="single" w:sz="8" w:color="F0FFFF"/>
            </w:tcBorders>
            <w:shd w:val="clear" w:color="auto" w:fill="F0FFFF"/>
          </w:tcPr>
          <w:p>
            <w:pPr>
              <w:spacing w:after="0"/>
              <w:rPr>
                <w:sz w:val="13"/>
                <w:szCs w:val="13"/>
                <w:color w:val="auto"/>
              </w:rPr>
            </w:pPr>
          </w:p>
        </w:tc>
        <w:tc>
          <w:tcPr>
            <w:tcW w:w="160" w:type="dxa"/>
            <w:vAlign w:val="bottom"/>
            <w:tcBorders>
              <w:top w:val="single" w:sz="8" w:color="auto"/>
              <w:bottom w:val="single" w:sz="8" w:color="auto"/>
            </w:tcBorders>
            <w:shd w:val="clear" w:color="auto" w:fill="F0FFFF"/>
          </w:tcPr>
          <w:p>
            <w:pPr>
              <w:spacing w:after="0"/>
              <w:rPr>
                <w:sz w:val="13"/>
                <w:szCs w:val="13"/>
                <w:color w:val="auto"/>
              </w:rPr>
            </w:pPr>
          </w:p>
        </w:tc>
        <w:tc>
          <w:tcPr>
            <w:tcW w:w="6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5,620</w:t>
            </w: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160" w:type="dxa"/>
            <w:vAlign w:val="bottom"/>
            <w:tcBorders>
              <w:top w:val="single" w:sz="8" w:color="auto"/>
              <w:bottom w:val="single" w:sz="8" w:color="auto"/>
            </w:tcBorders>
            <w:shd w:val="clear" w:color="auto" w:fill="F0FFFF"/>
          </w:tcPr>
          <w:p>
            <w:pPr>
              <w:spacing w:after="0"/>
              <w:rPr>
                <w:sz w:val="13"/>
                <w:szCs w:val="13"/>
                <w:color w:val="auto"/>
              </w:rPr>
            </w:pPr>
          </w:p>
        </w:tc>
        <w:tc>
          <w:tcPr>
            <w:tcW w:w="600" w:type="dxa"/>
            <w:vAlign w:val="bottom"/>
            <w:tcBorders>
              <w:top w:val="single" w:sz="8" w:color="auto"/>
              <w:bottom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54,865</w:t>
            </w: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740" w:type="dxa"/>
            <w:vAlign w:val="bottom"/>
            <w:tcBorders>
              <w:top w:val="single" w:sz="8" w:color="F0FFFF"/>
              <w:bottom w:val="single" w:sz="8" w:color="F0FFFF"/>
            </w:tcBorders>
            <w:shd w:val="clear" w:color="auto" w:fill="F0FFFF"/>
          </w:tcPr>
          <w:p>
            <w:pPr>
              <w:spacing w:after="0"/>
              <w:rPr>
                <w:sz w:val="13"/>
                <w:szCs w:val="13"/>
                <w:color w:val="auto"/>
              </w:rPr>
            </w:pP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760" w:type="dxa"/>
            <w:vAlign w:val="bottom"/>
            <w:tcBorders>
              <w:top w:val="single" w:sz="8" w:color="F0FFFF"/>
              <w:bottom w:val="single" w:sz="8" w:color="F0FFFF"/>
            </w:tcBorders>
            <w:shd w:val="clear" w:color="auto" w:fill="F0FFFF"/>
          </w:tcPr>
          <w:p>
            <w:pPr>
              <w:spacing w:after="0"/>
              <w:rPr>
                <w:sz w:val="13"/>
                <w:szCs w:val="13"/>
                <w:color w:val="auto"/>
              </w:rPr>
            </w:pPr>
          </w:p>
        </w:tc>
        <w:tc>
          <w:tcPr>
            <w:tcW w:w="220" w:type="dxa"/>
            <w:vAlign w:val="bottom"/>
            <w:tcBorders>
              <w:top w:val="single" w:sz="8" w:color="F0FFFF"/>
              <w:bottom w:val="single" w:sz="8" w:color="F0FFFF"/>
            </w:tcBorders>
            <w:shd w:val="clear" w:color="auto" w:fill="F0FFFF"/>
          </w:tcPr>
          <w:p>
            <w:pPr>
              <w:spacing w:after="0"/>
              <w:rPr>
                <w:sz w:val="13"/>
                <w:szCs w:val="13"/>
                <w:color w:val="auto"/>
              </w:rPr>
            </w:pPr>
          </w:p>
        </w:tc>
        <w:tc>
          <w:tcPr>
            <w:tcW w:w="760" w:type="dxa"/>
            <w:vAlign w:val="bottom"/>
            <w:tcBorders>
              <w:top w:val="single" w:sz="8" w:color="F0FFFF"/>
              <w:bottom w:val="single" w:sz="8" w:color="F0FFFF"/>
            </w:tcBorders>
            <w:shd w:val="clear" w:color="auto" w:fill="F0FFFF"/>
          </w:tcPr>
          <w:p>
            <w:pPr>
              <w:spacing w:after="0"/>
              <w:rPr>
                <w:sz w:val="13"/>
                <w:szCs w:val="13"/>
                <w:color w:val="auto"/>
              </w:rPr>
            </w:pPr>
          </w:p>
        </w:tc>
        <w:tc>
          <w:tcPr>
            <w:tcW w:w="180" w:type="dxa"/>
            <w:vAlign w:val="bottom"/>
            <w:tcBorders>
              <w:top w:val="single" w:sz="8" w:color="F0FFFF"/>
              <w:bottom w:val="single" w:sz="8" w:color="F0FFFF"/>
            </w:tcBorders>
            <w:shd w:val="clear" w:color="auto" w:fill="F0FFFF"/>
          </w:tcPr>
          <w:p>
            <w:pPr>
              <w:spacing w:after="0"/>
              <w:rPr>
                <w:sz w:val="13"/>
                <w:szCs w:val="13"/>
                <w:color w:val="auto"/>
              </w:rPr>
            </w:pPr>
          </w:p>
        </w:tc>
        <w:tc>
          <w:tcPr>
            <w:tcW w:w="2140" w:type="dxa"/>
            <w:vAlign w:val="bottom"/>
            <w:tcBorders>
              <w:top w:val="single" w:sz="8" w:color="F0FFFF"/>
              <w:bottom w:val="single" w:sz="8" w:color="F0FFFF"/>
            </w:tcBorders>
            <w:shd w:val="clear" w:color="auto" w:fill="F0FF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60" w:type="dxa"/>
            <w:vAlign w:val="bottom"/>
            <w:shd w:val="clear" w:color="auto" w:fill="F0FFFF"/>
          </w:tcPr>
          <w:p>
            <w:pPr>
              <w:ind w:left="160"/>
              <w:spacing w:after="0"/>
              <w:rPr>
                <w:sz w:val="20"/>
                <w:szCs w:val="20"/>
                <w:color w:val="auto"/>
              </w:rPr>
            </w:pPr>
            <w:r>
              <w:rPr>
                <w:rFonts w:ascii="Arial" w:cs="Arial" w:eastAsia="Arial" w:hAnsi="Arial"/>
                <w:sz w:val="14"/>
                <w:szCs w:val="14"/>
                <w:color w:val="auto"/>
              </w:rPr>
              <w:t>Total long-term debt</w:t>
            </w: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165,620</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129,865</w:t>
            </w:r>
          </w:p>
        </w:tc>
        <w:tc>
          <w:tcPr>
            <w:tcW w:w="7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140" w:type="dxa"/>
            <w:vAlign w:val="bottom"/>
            <w:shd w:val="clear" w:color="auto" w:fill="F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6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140" w:type="dxa"/>
            <w:vAlign w:val="bottom"/>
            <w:tcBorders>
              <w:top w:val="single" w:sz="8" w:color="F0FF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32"/>
        <w:spacing w:after="0" w:line="277" w:lineRule="auto"/>
        <w:rPr>
          <w:sz w:val="20"/>
          <w:szCs w:val="20"/>
          <w:color w:val="auto"/>
        </w:rPr>
      </w:pPr>
      <w:r>
        <w:rPr>
          <w:rFonts w:ascii="Arial" w:cs="Arial" w:eastAsia="Arial" w:hAnsi="Arial"/>
          <w:sz w:val="18"/>
          <w:szCs w:val="18"/>
          <w:color w:val="auto"/>
        </w:rPr>
        <w:t>Interest is currently paid semiannually for all senior debentures and trust preferred securities. The 2022 and 2027 senior debentures require quarterly interest payments after August 2020 and 2025, respectively.</w:t>
      </w:r>
    </w:p>
    <w:p>
      <w:pPr>
        <w:spacing w:after="0" w:line="166" w:lineRule="exact"/>
        <w:rPr>
          <w:sz w:val="20"/>
          <w:szCs w:val="20"/>
          <w:color w:val="auto"/>
        </w:rPr>
      </w:pPr>
    </w:p>
    <w:p>
      <w:pPr>
        <w:ind w:left="332"/>
        <w:spacing w:after="0"/>
        <w:rPr>
          <w:sz w:val="20"/>
          <w:szCs w:val="20"/>
          <w:color w:val="auto"/>
        </w:rPr>
      </w:pPr>
      <w:r>
        <w:rPr>
          <w:rFonts w:ascii="Arial" w:cs="Arial" w:eastAsia="Arial" w:hAnsi="Arial"/>
          <w:sz w:val="18"/>
          <w:szCs w:val="18"/>
          <w:b w:val="1"/>
          <w:bCs w:val="1"/>
          <w:u w:val="single" w:color="auto"/>
          <w:color w:val="auto"/>
        </w:rPr>
        <w:t>Senior Debentures</w:t>
      </w:r>
    </w:p>
    <w:p>
      <w:pPr>
        <w:spacing w:after="0" w:line="229" w:lineRule="exact"/>
        <w:rPr>
          <w:sz w:val="20"/>
          <w:szCs w:val="20"/>
          <w:color w:val="auto"/>
        </w:rPr>
      </w:pPr>
    </w:p>
    <w:p>
      <w:pPr>
        <w:jc w:val="both"/>
        <w:ind w:left="332"/>
        <w:spacing w:after="0" w:line="293" w:lineRule="auto"/>
        <w:rPr>
          <w:sz w:val="20"/>
          <w:szCs w:val="20"/>
          <w:color w:val="auto"/>
        </w:rPr>
      </w:pPr>
      <w:r>
        <w:rPr>
          <w:rFonts w:ascii="Arial" w:cs="Arial" w:eastAsia="Arial" w:hAnsi="Arial"/>
          <w:sz w:val="16"/>
          <w:szCs w:val="16"/>
          <w:color w:val="auto"/>
        </w:rPr>
        <w:t>The 2012 senior debentures are not redeemable prior to maturity and will mature on October 15, 2017. The 2013 senior debentures are redeemable on or after August 13, 2015, at a redemption price equal to 100% of the principal amount plus any accrued and unpaid interest, and will mature on August 13, 2018 if not redeemed prior to that date. The 2022 senior debentures are redeemable, in whole or in part, on or after August 14, 2020 at a redemption price equal to 100% of the principal amount to be redeemed plus any accrued and unpaid interest, and will mature on February 14, 2022 if not redeemed prior to that date. The 2027 senior debentures are redeemable, in whole or in part, on or after August 14, 2025 at a redemption price equal to 100% of the principal amount to be redeemed plus any accrued and unpaid interest, and will mature on February 14, 2027 if not redeemed prior to that date.</w:t>
      </w:r>
    </w:p>
    <w:p>
      <w:pPr>
        <w:spacing w:after="0" w:line="161" w:lineRule="exact"/>
        <w:rPr>
          <w:sz w:val="20"/>
          <w:szCs w:val="20"/>
          <w:color w:val="auto"/>
        </w:rPr>
      </w:pPr>
    </w:p>
    <w:p>
      <w:pPr>
        <w:ind w:left="332"/>
        <w:spacing w:after="0"/>
        <w:rPr>
          <w:sz w:val="20"/>
          <w:szCs w:val="20"/>
          <w:color w:val="auto"/>
        </w:rPr>
      </w:pPr>
      <w:r>
        <w:rPr>
          <w:rFonts w:ascii="Arial" w:cs="Arial" w:eastAsia="Arial" w:hAnsi="Arial"/>
          <w:sz w:val="18"/>
          <w:szCs w:val="18"/>
          <w:b w:val="1"/>
          <w:bCs w:val="1"/>
          <w:u w:val="single" w:color="auto"/>
          <w:color w:val="auto"/>
        </w:rPr>
        <w:t>Trust Preferred Securities</w:t>
      </w:r>
    </w:p>
    <w:p>
      <w:pPr>
        <w:spacing w:after="0" w:line="229" w:lineRule="exact"/>
        <w:rPr>
          <w:sz w:val="20"/>
          <w:szCs w:val="20"/>
          <w:color w:val="auto"/>
        </w:rPr>
      </w:pPr>
    </w:p>
    <w:p>
      <w:pPr>
        <w:jc w:val="both"/>
        <w:ind w:left="332" w:right="20"/>
        <w:spacing w:after="0" w:line="277" w:lineRule="auto"/>
        <w:rPr>
          <w:sz w:val="20"/>
          <w:szCs w:val="20"/>
          <w:color w:val="auto"/>
        </w:rPr>
      </w:pPr>
      <w:r>
        <w:rPr>
          <w:rFonts w:ascii="Arial" w:cs="Arial" w:eastAsia="Arial" w:hAnsi="Arial"/>
          <w:sz w:val="18"/>
          <w:szCs w:val="18"/>
          <w:color w:val="auto"/>
        </w:rPr>
        <w:t>Trust preferred securities qualify as Tier 1 capital under risk based capital guidelines subject to certain limitations. The trust preferred securities are mandatorily redeemable upon maturity, or upon earlier redemption at a premium as provided in the indentures.</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31"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Reclassifications Out of Accumulated Other Comprehensive Income</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presents the details regarding amounts reclassified out of accumulated other comprehensive income </w:t>
      </w:r>
      <w:r>
        <w:rPr>
          <w:rFonts w:ascii="Arial" w:cs="Arial" w:eastAsia="Arial" w:hAnsi="Arial"/>
          <w:sz w:val="18"/>
          <w:szCs w:val="18"/>
          <w:i w:val="1"/>
          <w:i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9"/>
          </w:tcPr>
          <w:p>
            <w:pPr>
              <w:jc w:val="center"/>
              <w:ind w:right="299"/>
              <w:spacing w:after="0"/>
              <w:rPr>
                <w:sz w:val="20"/>
                <w:szCs w:val="20"/>
                <w:color w:val="auto"/>
              </w:rPr>
            </w:pPr>
            <w:r>
              <w:rPr>
                <w:rFonts w:ascii="Arial" w:cs="Arial" w:eastAsia="Arial" w:hAnsi="Arial"/>
                <w:sz w:val="14"/>
                <w:szCs w:val="14"/>
                <w:b w:val="1"/>
                <w:bCs w:val="1"/>
                <w:color w:val="auto"/>
                <w:w w:val="91"/>
              </w:rPr>
              <w:t>Amounts Reclassified from Accumulated</w:t>
            </w:r>
          </w:p>
        </w:tc>
        <w:tc>
          <w:tcPr>
            <w:tcW w:w="4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Details about Accumulated 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9"/>
          </w:tcPr>
          <w:p>
            <w:pPr>
              <w:jc w:val="center"/>
              <w:ind w:right="299"/>
              <w:spacing w:after="0"/>
              <w:rPr>
                <w:sz w:val="20"/>
                <w:szCs w:val="20"/>
                <w:color w:val="auto"/>
              </w:rPr>
            </w:pPr>
            <w:r>
              <w:rPr>
                <w:rFonts w:ascii="Arial" w:cs="Arial" w:eastAsia="Arial" w:hAnsi="Arial"/>
                <w:sz w:val="14"/>
                <w:szCs w:val="14"/>
                <w:b w:val="1"/>
                <w:bCs w:val="1"/>
                <w:color w:val="auto"/>
                <w:w w:val="93"/>
              </w:rPr>
              <w:t>Other Comprehensive Income</w:t>
            </w:r>
          </w:p>
        </w:tc>
        <w:tc>
          <w:tcPr>
            <w:tcW w:w="410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Affected Line Item in the Statement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9"/>
          </w:tcPr>
          <w:p>
            <w:pPr>
              <w:jc w:val="center"/>
              <w:ind w:right="299"/>
              <w:spacing w:after="0"/>
              <w:rPr>
                <w:sz w:val="20"/>
                <w:szCs w:val="20"/>
                <w:color w:val="auto"/>
              </w:rPr>
            </w:pPr>
            <w:r>
              <w:rPr>
                <w:rFonts w:ascii="Arial" w:cs="Arial" w:eastAsia="Arial" w:hAnsi="Arial"/>
                <w:sz w:val="14"/>
                <w:szCs w:val="14"/>
                <w:b w:val="1"/>
                <w:bCs w:val="1"/>
                <w:color w:val="auto"/>
                <w:w w:val="92"/>
              </w:rPr>
              <w:t>For the Years Ended December 31,</w:t>
            </w: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Comprehensive Income Components</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41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Where Net Income is Presented</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Realized gains on available-for-sale securities:</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2,255</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4,871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186</w:t>
            </w: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Securities gains, net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59"/>
              <w:spacing w:after="0"/>
              <w:rPr>
                <w:sz w:val="20"/>
                <w:szCs w:val="20"/>
                <w:color w:val="auto"/>
              </w:rPr>
            </w:pPr>
            <w:r>
              <w:rPr>
                <w:rFonts w:ascii="Arial" w:cs="Arial" w:eastAsia="Arial" w:hAnsi="Arial"/>
                <w:sz w:val="14"/>
                <w:szCs w:val="14"/>
                <w:color w:val="auto"/>
              </w:rPr>
              <w:t>(862)</w:t>
            </w:r>
          </w:p>
        </w:tc>
        <w:tc>
          <w:tcPr>
            <w:tcW w:w="1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39"/>
              <w:spacing w:after="0"/>
              <w:rPr>
                <w:sz w:val="20"/>
                <w:szCs w:val="20"/>
                <w:color w:val="auto"/>
              </w:rPr>
            </w:pPr>
            <w:r>
              <w:rPr>
                <w:rFonts w:ascii="Arial" w:cs="Arial" w:eastAsia="Arial" w:hAnsi="Arial"/>
                <w:sz w:val="14"/>
                <w:szCs w:val="14"/>
                <w:color w:val="auto"/>
              </w:rPr>
              <w:t>(1,902)</w:t>
            </w:r>
          </w:p>
        </w:tc>
        <w:tc>
          <w:tcPr>
            <w:tcW w:w="16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139"/>
              <w:spacing w:after="0"/>
              <w:rPr>
                <w:sz w:val="20"/>
                <w:szCs w:val="20"/>
                <w:color w:val="auto"/>
              </w:rPr>
            </w:pPr>
            <w:r>
              <w:rPr>
                <w:rFonts w:ascii="Arial" w:cs="Arial" w:eastAsia="Arial" w:hAnsi="Arial"/>
                <w:sz w:val="14"/>
                <w:szCs w:val="14"/>
                <w:color w:val="auto"/>
              </w:rPr>
              <w:t>(72)</w:t>
            </w:r>
          </w:p>
        </w:tc>
        <w:tc>
          <w:tcPr>
            <w:tcW w:w="4100" w:type="dxa"/>
            <w:vAlign w:val="bottom"/>
            <w:shd w:val="clear" w:color="auto" w:fill="F0FFFF"/>
          </w:tcPr>
          <w:p>
            <w:pPr>
              <w:spacing w:after="0"/>
              <w:rPr>
                <w:sz w:val="20"/>
                <w:szCs w:val="20"/>
                <w:color w:val="auto"/>
              </w:rPr>
            </w:pPr>
            <w:r>
              <w:rPr>
                <w:rFonts w:ascii="Arial" w:cs="Arial" w:eastAsia="Arial" w:hAnsi="Arial"/>
                <w:sz w:val="14"/>
                <w:szCs w:val="14"/>
                <w:color w:val="auto"/>
              </w:rPr>
              <w:t>Tax 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1,393</w:t>
            </w:r>
          </w:p>
        </w:tc>
        <w:tc>
          <w:tcPr>
            <w:tcW w:w="14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2,969</w:t>
            </w:r>
          </w:p>
        </w:tc>
        <w:tc>
          <w:tcPr>
            <w:tcW w:w="22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114</w:t>
            </w:r>
          </w:p>
        </w:tc>
        <w:tc>
          <w:tcPr>
            <w:tcW w:w="220" w:type="dxa"/>
            <w:vAlign w:val="bottom"/>
            <w:tcBorders>
              <w:top w:val="single" w:sz="8" w:color="F0FFFF"/>
            </w:tcBorders>
          </w:tcPr>
          <w:p>
            <w:pPr>
              <w:spacing w:after="0"/>
              <w:rPr>
                <w:sz w:val="12"/>
                <w:szCs w:val="12"/>
                <w:color w:val="auto"/>
              </w:rPr>
            </w:pPr>
          </w:p>
        </w:tc>
        <w:tc>
          <w:tcPr>
            <w:tcW w:w="4100" w:type="dxa"/>
            <w:vAlign w:val="bottom"/>
            <w:tcBorders>
              <w:top w:val="single" w:sz="8" w:color="F0FFFF"/>
            </w:tcBorders>
          </w:tcPr>
          <w:p>
            <w:pPr>
              <w:spacing w:after="0" w:line="149" w:lineRule="exact"/>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4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gridSpan w:val="12"/>
          </w:tcPr>
          <w:p>
            <w:pPr>
              <w:spacing w:after="0" w:line="149" w:lineRule="exact"/>
              <w:rPr>
                <w:sz w:val="20"/>
                <w:szCs w:val="20"/>
                <w:color w:val="auto"/>
              </w:rPr>
            </w:pPr>
            <w:r>
              <w:rPr>
                <w:rFonts w:ascii="Arial" w:cs="Arial" w:eastAsia="Arial" w:hAnsi="Arial"/>
                <w:sz w:val="14"/>
                <w:szCs w:val="14"/>
                <w:color w:val="auto"/>
              </w:rPr>
              <w:t>Amortization of (losses) gains included in net income on available-for-sale securities transferred to held to maturity:</w:t>
            </w:r>
          </w:p>
        </w:tc>
        <w:tc>
          <w:tcPr>
            <w:tcW w:w="4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F0FFFF"/>
          </w:tcPr>
          <w:p>
            <w:pPr>
              <w:spacing w:after="0"/>
              <w:rPr>
                <w:sz w:val="12"/>
                <w:szCs w:val="12"/>
                <w:color w:val="auto"/>
              </w:rPr>
            </w:pPr>
          </w:p>
        </w:tc>
        <w:tc>
          <w:tcPr>
            <w:tcW w:w="2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F0FFFF"/>
          </w:tcPr>
          <w:p>
            <w:pPr>
              <w:jc w:val="right"/>
              <w:ind w:right="59"/>
              <w:spacing w:after="0" w:line="149" w:lineRule="exact"/>
              <w:rPr>
                <w:sz w:val="20"/>
                <w:szCs w:val="20"/>
                <w:color w:val="auto"/>
              </w:rPr>
            </w:pPr>
            <w:r>
              <w:rPr>
                <w:rFonts w:ascii="Arial" w:cs="Arial" w:eastAsia="Arial" w:hAnsi="Arial"/>
                <w:sz w:val="14"/>
                <w:szCs w:val="14"/>
                <w:color w:val="auto"/>
              </w:rPr>
              <w:t>(1,702)</w:t>
            </w:r>
          </w:p>
        </w:tc>
        <w:tc>
          <w:tcPr>
            <w:tcW w:w="260" w:type="dxa"/>
            <w:vAlign w:val="bottom"/>
            <w:gridSpan w:val="2"/>
            <w:shd w:val="clear" w:color="auto" w:fill="F0FF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F0FFFF"/>
          </w:tcPr>
          <w:p>
            <w:pPr>
              <w:jc w:val="right"/>
              <w:ind w:right="139"/>
              <w:spacing w:after="0" w:line="149" w:lineRule="exact"/>
              <w:rPr>
                <w:sz w:val="20"/>
                <w:szCs w:val="20"/>
                <w:color w:val="auto"/>
              </w:rPr>
            </w:pPr>
            <w:r>
              <w:rPr>
                <w:rFonts w:ascii="Arial" w:cs="Arial" w:eastAsia="Arial" w:hAnsi="Arial"/>
                <w:sz w:val="14"/>
                <w:szCs w:val="14"/>
                <w:color w:val="auto"/>
              </w:rPr>
              <w:t>(1,656)</w:t>
            </w:r>
          </w:p>
        </w:tc>
        <w:tc>
          <w:tcPr>
            <w:tcW w:w="160" w:type="dxa"/>
            <w:vAlign w:val="bottom"/>
            <w:shd w:val="clear" w:color="auto" w:fill="F0FF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F0FFFF"/>
          </w:tcPr>
          <w:p>
            <w:pPr>
              <w:jc w:val="right"/>
              <w:ind w:right="179"/>
              <w:spacing w:after="0" w:line="149" w:lineRule="exact"/>
              <w:rPr>
                <w:sz w:val="20"/>
                <w:szCs w:val="20"/>
                <w:color w:val="auto"/>
              </w:rPr>
            </w:pPr>
            <w:r>
              <w:rPr>
                <w:rFonts w:ascii="Arial" w:cs="Arial" w:eastAsia="Arial" w:hAnsi="Arial"/>
                <w:sz w:val="14"/>
                <w:szCs w:val="14"/>
                <w:color w:val="auto"/>
              </w:rPr>
              <w:t>731</w:t>
            </w:r>
          </w:p>
        </w:tc>
        <w:tc>
          <w:tcPr>
            <w:tcW w:w="4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Investment securities interest revenue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622</w:t>
            </w:r>
          </w:p>
        </w:tc>
        <w:tc>
          <w:tcPr>
            <w:tcW w:w="160" w:type="dxa"/>
            <w:vAlign w:val="bottom"/>
          </w:tcPr>
          <w:p>
            <w:pPr>
              <w:spacing w:after="0"/>
              <w:rPr>
                <w:sz w:val="14"/>
                <w:szCs w:val="14"/>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4"/>
                <w:szCs w:val="14"/>
                <w:color w:val="auto"/>
              </w:rPr>
              <w:t>(282)</w:t>
            </w:r>
          </w:p>
        </w:tc>
        <w:tc>
          <w:tcPr>
            <w:tcW w:w="4100" w:type="dxa"/>
            <w:vAlign w:val="bottom"/>
          </w:tcPr>
          <w:p>
            <w:pPr>
              <w:spacing w:after="0"/>
              <w:rPr>
                <w:sz w:val="20"/>
                <w:szCs w:val="20"/>
                <w:color w:val="auto"/>
              </w:rPr>
            </w:pPr>
            <w:r>
              <w:rPr>
                <w:rFonts w:ascii="Arial" w:cs="Arial" w:eastAsia="Arial" w:hAnsi="Arial"/>
                <w:sz w:val="14"/>
                <w:szCs w:val="14"/>
                <w:color w:val="auto"/>
              </w:rPr>
              <w:t>Tax (expense) benefit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4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(1,064</w:t>
            </w:r>
          </w:p>
        </w:tc>
        <w:tc>
          <w:tcPr>
            <w:tcW w:w="140" w:type="dxa"/>
            <w:vAlign w:val="bottom"/>
            <w:tcBorders>
              <w:top w:val="single" w:sz="8" w:color="F0FFFF"/>
              <w:bottom w:val="single" w:sz="8" w:color="F0FFFF"/>
            </w:tcBorders>
            <w:shd w:val="clear" w:color="auto" w:fill="F0FFFF"/>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(1,034</w:t>
            </w:r>
          </w:p>
        </w:tc>
        <w:tc>
          <w:tcPr>
            <w:tcW w:w="220" w:type="dxa"/>
            <w:vAlign w:val="bottom"/>
            <w:tcBorders>
              <w:top w:val="single" w:sz="8" w:color="F0FFFF"/>
              <w:bottom w:val="single" w:sz="8" w:color="F0FFFF"/>
            </w:tcBorders>
            <w:shd w:val="clear" w:color="auto" w:fill="F0FFFF"/>
          </w:tcPr>
          <w:p>
            <w:pPr>
              <w:jc w:val="right"/>
              <w:ind w:right="13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F0FF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449</w:t>
            </w:r>
          </w:p>
        </w:tc>
        <w:tc>
          <w:tcPr>
            <w:tcW w:w="220" w:type="dxa"/>
            <w:vAlign w:val="bottom"/>
            <w:tcBorders>
              <w:top w:val="single" w:sz="8" w:color="F0FFFF"/>
              <w:bottom w:val="single" w:sz="8" w:color="F0FFFF"/>
            </w:tcBorders>
            <w:shd w:val="clear" w:color="auto" w:fill="F0FFFF"/>
          </w:tcPr>
          <w:p>
            <w:pPr>
              <w:spacing w:after="0"/>
              <w:rPr>
                <w:sz w:val="15"/>
                <w:szCs w:val="15"/>
                <w:color w:val="auto"/>
              </w:rPr>
            </w:pPr>
          </w:p>
        </w:tc>
        <w:tc>
          <w:tcPr>
            <w:tcW w:w="41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F0FFFF"/>
            </w:tcBorders>
            <w:gridSpan w:val="2"/>
          </w:tcPr>
          <w:p>
            <w:pPr>
              <w:spacing w:after="0" w:line="20" w:lineRule="exact"/>
              <w:rPr>
                <w:sz w:val="1"/>
                <w:szCs w:val="1"/>
                <w:color w:val="auto"/>
              </w:rPr>
            </w:pPr>
          </w:p>
        </w:tc>
        <w:tc>
          <w:tcPr>
            <w:tcW w:w="820" w:type="dxa"/>
            <w:vAlign w:val="bottom"/>
            <w:tcBorders>
              <w:top w:val="single" w:sz="8" w:color="F0FFFF"/>
              <w:bottom w:val="single" w:sz="8" w:color="auto"/>
            </w:tcBorders>
            <w:gridSpan w:val="2"/>
          </w:tcPr>
          <w:p>
            <w:pPr>
              <w:spacing w:after="0" w:line="20" w:lineRule="exact"/>
              <w:rPr>
                <w:sz w:val="1"/>
                <w:szCs w:val="1"/>
                <w:color w:val="auto"/>
              </w:rPr>
            </w:pPr>
          </w:p>
        </w:tc>
        <w:tc>
          <w:tcPr>
            <w:tcW w:w="240" w:type="dxa"/>
            <w:vAlign w:val="bottom"/>
            <w:tcBorders>
              <w:top w:val="single" w:sz="8" w:color="F0FFFF"/>
            </w:tcBorders>
            <w:gridSpan w:val="2"/>
          </w:tcPr>
          <w:p>
            <w:pPr>
              <w:spacing w:after="0" w:line="20" w:lineRule="exact"/>
              <w:rPr>
                <w:sz w:val="1"/>
                <w:szCs w:val="1"/>
                <w:color w:val="auto"/>
              </w:rPr>
            </w:pPr>
          </w:p>
        </w:tc>
        <w:tc>
          <w:tcPr>
            <w:tcW w:w="800" w:type="dxa"/>
            <w:vAlign w:val="bottom"/>
            <w:tcBorders>
              <w:top w:val="single" w:sz="8" w:color="F0FFFF"/>
              <w:bottom w:val="single" w:sz="8" w:color="auto"/>
            </w:tcBorders>
            <w:gridSpan w:val="2"/>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300" w:type="dxa"/>
            <w:vAlign w:val="bottom"/>
            <w:gridSpan w:val="9"/>
            <w:shd w:val="clear" w:color="auto" w:fill="F0FFFF"/>
          </w:tcPr>
          <w:p>
            <w:pPr>
              <w:spacing w:after="0" w:line="149" w:lineRule="exact"/>
              <w:rPr>
                <w:sz w:val="20"/>
                <w:szCs w:val="20"/>
                <w:color w:val="auto"/>
              </w:rPr>
            </w:pPr>
            <w:r>
              <w:rPr>
                <w:rFonts w:ascii="Arial" w:cs="Arial" w:eastAsia="Arial" w:hAnsi="Arial"/>
                <w:sz w:val="14"/>
                <w:szCs w:val="14"/>
                <w:color w:val="auto"/>
                <w:w w:val="98"/>
              </w:rPr>
              <w:t>Amounts included in net income on derivative financial instruments accounted for as cash flow hedges:</w:t>
            </w: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80"/>
              <w:spacing w:after="0" w:line="149" w:lineRule="exact"/>
              <w:rPr>
                <w:sz w:val="20"/>
                <w:szCs w:val="20"/>
                <w:color w:val="auto"/>
              </w:rPr>
            </w:pPr>
            <w:r>
              <w:rPr>
                <w:rFonts w:ascii="Arial" w:cs="Arial" w:eastAsia="Arial" w:hAnsi="Arial"/>
                <w:sz w:val="14"/>
                <w:szCs w:val="14"/>
                <w:color w:val="auto"/>
              </w:rPr>
              <w:t>Effective portion of interest rate contracts</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852</w:t>
            </w: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Loan interest 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F0FFFF"/>
          </w:tcPr>
          <w:p>
            <w:pPr>
              <w:ind w:left="480"/>
              <w:spacing w:after="0" w:line="149" w:lineRule="exact"/>
              <w:rPr>
                <w:sz w:val="20"/>
                <w:szCs w:val="20"/>
                <w:color w:val="auto"/>
              </w:rPr>
            </w:pPr>
            <w:r>
              <w:rPr>
                <w:rFonts w:ascii="Arial" w:cs="Arial" w:eastAsia="Arial" w:hAnsi="Arial"/>
                <w:sz w:val="14"/>
                <w:szCs w:val="14"/>
                <w:color w:val="auto"/>
              </w:rPr>
              <w:t>Ineffective portion of interest rate contracts</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79"/>
              <w:spacing w:after="0" w:line="149" w:lineRule="exact"/>
              <w:rPr>
                <w:sz w:val="20"/>
                <w:szCs w:val="20"/>
                <w:color w:val="auto"/>
              </w:rPr>
            </w:pPr>
            <w:r>
              <w:rPr>
                <w:rFonts w:ascii="Arial" w:cs="Arial" w:eastAsia="Arial" w:hAnsi="Arial"/>
                <w:sz w:val="14"/>
                <w:szCs w:val="14"/>
                <w:color w:val="auto"/>
              </w:rPr>
              <w:t>52</w:t>
            </w:r>
          </w:p>
        </w:tc>
        <w:tc>
          <w:tcPr>
            <w:tcW w:w="4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Loan interest 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80"/>
              <w:spacing w:after="0" w:line="149" w:lineRule="exact"/>
              <w:rPr>
                <w:sz w:val="20"/>
                <w:szCs w:val="20"/>
                <w:color w:val="auto"/>
              </w:rPr>
            </w:pPr>
            <w:r>
              <w:rPr>
                <w:rFonts w:ascii="Arial" w:cs="Arial" w:eastAsia="Arial" w:hAnsi="Arial"/>
                <w:sz w:val="14"/>
                <w:szCs w:val="14"/>
                <w:color w:val="auto"/>
              </w:rPr>
              <w:t>Effective portion of interest rate contracts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(764)</w:t>
            </w:r>
          </w:p>
        </w:tc>
        <w:tc>
          <w:tcPr>
            <w:tcW w:w="16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Time deposit interest 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F0FFFF"/>
          </w:tcPr>
          <w:p>
            <w:pPr>
              <w:ind w:left="480"/>
              <w:spacing w:after="0" w:line="149" w:lineRule="exact"/>
              <w:rPr>
                <w:sz w:val="20"/>
                <w:szCs w:val="20"/>
                <w:color w:val="auto"/>
              </w:rPr>
            </w:pPr>
            <w:r>
              <w:rPr>
                <w:rFonts w:ascii="Arial" w:cs="Arial" w:eastAsia="Arial" w:hAnsi="Arial"/>
                <w:sz w:val="14"/>
                <w:szCs w:val="14"/>
                <w:color w:val="auto"/>
              </w:rPr>
              <w:t>Effective portion of interest rate contracts</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9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39"/>
              <w:spacing w:after="0" w:line="149" w:lineRule="exact"/>
              <w:rPr>
                <w:sz w:val="20"/>
                <w:szCs w:val="20"/>
                <w:color w:val="auto"/>
              </w:rPr>
            </w:pPr>
            <w:r>
              <w:rPr>
                <w:rFonts w:ascii="Arial" w:cs="Arial" w:eastAsia="Arial" w:hAnsi="Arial"/>
                <w:sz w:val="14"/>
                <w:szCs w:val="14"/>
                <w:color w:val="auto"/>
              </w:rPr>
              <w:t>(223)</w:t>
            </w: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4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Money market deposit interest 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80"/>
              <w:spacing w:after="0" w:line="149" w:lineRule="exact"/>
              <w:rPr>
                <w:sz w:val="20"/>
                <w:szCs w:val="20"/>
                <w:color w:val="auto"/>
              </w:rPr>
            </w:pPr>
            <w:r>
              <w:rPr>
                <w:rFonts w:ascii="Arial" w:cs="Arial" w:eastAsia="Arial" w:hAnsi="Arial"/>
                <w:sz w:val="14"/>
                <w:szCs w:val="14"/>
                <w:color w:val="auto"/>
              </w:rPr>
              <w:t>Amortization of losses on de-designated positions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(129)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(79)</w:t>
            </w:r>
          </w:p>
        </w:tc>
        <w:tc>
          <w:tcPr>
            <w:tcW w:w="16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Deposits in banks and short-term investments interest revenue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F0FFFF"/>
          </w:tcPr>
          <w:p>
            <w:pPr>
              <w:ind w:left="480"/>
              <w:spacing w:after="0" w:line="149" w:lineRule="exact"/>
              <w:rPr>
                <w:sz w:val="20"/>
                <w:szCs w:val="20"/>
                <w:color w:val="auto"/>
              </w:rPr>
            </w:pPr>
            <w:r>
              <w:rPr>
                <w:rFonts w:ascii="Arial" w:cs="Arial" w:eastAsia="Arial" w:hAnsi="Arial"/>
                <w:sz w:val="14"/>
                <w:szCs w:val="14"/>
                <w:color w:val="auto"/>
              </w:rPr>
              <w:t>Amortization of losses on de-designated positions</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59"/>
              <w:spacing w:after="0" w:line="149" w:lineRule="exact"/>
              <w:rPr>
                <w:sz w:val="20"/>
                <w:szCs w:val="20"/>
                <w:color w:val="auto"/>
              </w:rPr>
            </w:pPr>
            <w:r>
              <w:rPr>
                <w:rFonts w:ascii="Arial" w:cs="Arial" w:eastAsia="Arial" w:hAnsi="Arial"/>
                <w:sz w:val="14"/>
                <w:szCs w:val="14"/>
                <w:color w:val="auto"/>
              </w:rPr>
              <w:t>(695)</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60" w:type="dxa"/>
            <w:vAlign w:val="bottom"/>
            <w:gridSpan w:val="2"/>
            <w:shd w:val="clear" w:color="auto" w:fill="F0FFFF"/>
          </w:tcPr>
          <w:p>
            <w:pPr>
              <w:jc w:val="right"/>
              <w:ind w:right="139"/>
              <w:spacing w:after="0" w:line="149" w:lineRule="exact"/>
              <w:rPr>
                <w:sz w:val="20"/>
                <w:szCs w:val="20"/>
                <w:color w:val="auto"/>
              </w:rPr>
            </w:pPr>
            <w:r>
              <w:rPr>
                <w:rFonts w:ascii="Arial" w:cs="Arial" w:eastAsia="Arial" w:hAnsi="Arial"/>
                <w:sz w:val="14"/>
                <w:szCs w:val="14"/>
                <w:color w:val="auto"/>
              </w:rPr>
              <w:t>(198)</w:t>
            </w:r>
          </w:p>
        </w:tc>
        <w:tc>
          <w:tcPr>
            <w:tcW w:w="16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4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Money market deposit interest 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480"/>
              <w:spacing w:after="0" w:line="149" w:lineRule="exact"/>
              <w:rPr>
                <w:sz w:val="20"/>
                <w:szCs w:val="20"/>
                <w:color w:val="auto"/>
              </w:rPr>
            </w:pPr>
            <w:r>
              <w:rPr>
                <w:rFonts w:ascii="Arial" w:cs="Arial" w:eastAsia="Arial" w:hAnsi="Arial"/>
                <w:sz w:val="14"/>
                <w:szCs w:val="14"/>
                <w:color w:val="auto"/>
              </w:rPr>
              <w:t>Amortization of losses on de-designated positions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(1,112)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(234)</w:t>
            </w:r>
          </w:p>
        </w:tc>
        <w:tc>
          <w:tcPr>
            <w:tcW w:w="160" w:type="dxa"/>
            <w:vAlign w:val="bottom"/>
          </w:tcPr>
          <w:p>
            <w:pPr>
              <w:spacing w:after="0"/>
              <w:rPr>
                <w:sz w:val="12"/>
                <w:szCs w:val="12"/>
                <w:color w:val="auto"/>
              </w:rPr>
            </w:pPr>
          </w:p>
        </w:tc>
        <w:tc>
          <w:tcPr>
            <w:tcW w:w="8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Federal Home Loan Bank advances interest expense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shd w:val="clear" w:color="auto" w:fill="F0FFFF"/>
          </w:tcPr>
          <w:p>
            <w:pPr>
              <w:ind w:left="480"/>
              <w:spacing w:after="0"/>
              <w:rPr>
                <w:sz w:val="20"/>
                <w:szCs w:val="20"/>
                <w:color w:val="auto"/>
              </w:rPr>
            </w:pPr>
            <w:r>
              <w:rPr>
                <w:rFonts w:ascii="Arial" w:cs="Arial" w:eastAsia="Arial" w:hAnsi="Arial"/>
                <w:sz w:val="14"/>
                <w:szCs w:val="14"/>
                <w:color w:val="auto"/>
              </w:rPr>
              <w:t>Amortization of losses on de-designated positions</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39"/>
              <w:spacing w:after="0"/>
              <w:rPr>
                <w:sz w:val="20"/>
                <w:szCs w:val="20"/>
                <w:color w:val="auto"/>
              </w:rPr>
            </w:pPr>
            <w:r>
              <w:rPr>
                <w:rFonts w:ascii="Arial" w:cs="Arial" w:eastAsia="Arial" w:hAnsi="Arial"/>
                <w:sz w:val="14"/>
                <w:szCs w:val="14"/>
                <w:color w:val="auto"/>
              </w:rPr>
              <w:t>(512)</w:t>
            </w:r>
          </w:p>
        </w:tc>
        <w:tc>
          <w:tcPr>
            <w:tcW w:w="16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179"/>
              <w:spacing w:after="0"/>
              <w:rPr>
                <w:sz w:val="20"/>
                <w:szCs w:val="20"/>
                <w:color w:val="auto"/>
              </w:rPr>
            </w:pPr>
            <w:r>
              <w:rPr>
                <w:rFonts w:ascii="Arial" w:cs="Arial" w:eastAsia="Arial" w:hAnsi="Arial"/>
                <w:sz w:val="14"/>
                <w:szCs w:val="14"/>
                <w:color w:val="auto"/>
              </w:rPr>
              <w:t>-</w:t>
            </w:r>
          </w:p>
        </w:tc>
        <w:tc>
          <w:tcPr>
            <w:tcW w:w="4100" w:type="dxa"/>
            <w:vAlign w:val="bottom"/>
            <w:shd w:val="clear" w:color="auto" w:fill="F0FFFF"/>
          </w:tcPr>
          <w:p>
            <w:pPr>
              <w:spacing w:after="0"/>
              <w:rPr>
                <w:sz w:val="20"/>
                <w:szCs w:val="20"/>
                <w:color w:val="auto"/>
              </w:rPr>
            </w:pPr>
            <w:r>
              <w:rPr>
                <w:rFonts w:ascii="Arial" w:cs="Arial" w:eastAsia="Arial" w:hAnsi="Arial"/>
                <w:sz w:val="14"/>
                <w:szCs w:val="14"/>
                <w:color w:val="auto"/>
              </w:rPr>
              <w:t>Time deposit interest expense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100" w:type="dxa"/>
            <w:vAlign w:val="bottom"/>
            <w:tcBorders>
              <w:top w:val="single" w:sz="8" w:color="F0FFFF"/>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(1,936)</w:t>
            </w:r>
          </w:p>
        </w:tc>
        <w:tc>
          <w:tcPr>
            <w:tcW w:w="140" w:type="dxa"/>
            <w:vAlign w:val="bottom"/>
            <w:tcBorders>
              <w:top w:val="single" w:sz="8" w:color="F0FFFF"/>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(2,010)</w:t>
            </w:r>
          </w:p>
        </w:tc>
        <w:tc>
          <w:tcPr>
            <w:tcW w:w="220" w:type="dxa"/>
            <w:vAlign w:val="bottom"/>
            <w:tcBorders>
              <w:top w:val="single" w:sz="8" w:color="F0FF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904</w:t>
            </w:r>
          </w:p>
        </w:tc>
        <w:tc>
          <w:tcPr>
            <w:tcW w:w="220" w:type="dxa"/>
            <w:vAlign w:val="bottom"/>
            <w:tcBorders>
              <w:top w:val="single" w:sz="8" w:color="F0FFFF"/>
            </w:tcBorders>
          </w:tcPr>
          <w:p>
            <w:pPr>
              <w:spacing w:after="0"/>
              <w:rPr>
                <w:sz w:val="11"/>
                <w:szCs w:val="11"/>
                <w:color w:val="auto"/>
              </w:rPr>
            </w:pPr>
          </w:p>
        </w:tc>
        <w:tc>
          <w:tcPr>
            <w:tcW w:w="4100" w:type="dxa"/>
            <w:vAlign w:val="bottom"/>
            <w:tcBorders>
              <w:top w:val="single" w:sz="8" w:color="F0FFFF"/>
            </w:tcBorders>
          </w:tcPr>
          <w:p>
            <w:pPr>
              <w:spacing w:after="0" w:line="136" w:lineRule="exact"/>
              <w:rPr>
                <w:sz w:val="20"/>
                <w:szCs w:val="20"/>
                <w:color w:val="auto"/>
              </w:rPr>
            </w:pPr>
            <w:r>
              <w:rPr>
                <w:rFonts w:ascii="Arial" w:cs="Arial" w:eastAsia="Arial" w:hAnsi="Arial"/>
                <w:sz w:val="14"/>
                <w:szCs w:val="14"/>
                <w:color w:val="auto"/>
              </w:rPr>
              <w:t>Total before tax</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99"/>
              <w:spacing w:after="0"/>
              <w:rPr>
                <w:sz w:val="20"/>
                <w:szCs w:val="20"/>
                <w:color w:val="auto"/>
              </w:rPr>
            </w:pPr>
            <w:r>
              <w:rPr>
                <w:rFonts w:ascii="Arial" w:cs="Arial" w:eastAsia="Arial" w:hAnsi="Arial"/>
                <w:sz w:val="14"/>
                <w:szCs w:val="14"/>
                <w:color w:val="auto"/>
              </w:rPr>
              <w:t>753</w:t>
            </w:r>
          </w:p>
        </w:tc>
        <w:tc>
          <w:tcPr>
            <w:tcW w:w="1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60" w:type="dxa"/>
            <w:vAlign w:val="bottom"/>
            <w:gridSpan w:val="2"/>
            <w:shd w:val="clear" w:color="auto" w:fill="F0FFFF"/>
          </w:tcPr>
          <w:p>
            <w:pPr>
              <w:jc w:val="right"/>
              <w:ind w:right="179"/>
              <w:spacing w:after="0"/>
              <w:rPr>
                <w:sz w:val="20"/>
                <w:szCs w:val="20"/>
                <w:color w:val="auto"/>
              </w:rPr>
            </w:pPr>
            <w:r>
              <w:rPr>
                <w:rFonts w:ascii="Arial" w:cs="Arial" w:eastAsia="Arial" w:hAnsi="Arial"/>
                <w:sz w:val="14"/>
                <w:szCs w:val="14"/>
                <w:color w:val="auto"/>
              </w:rPr>
              <w:t>782</w:t>
            </w:r>
          </w:p>
        </w:tc>
        <w:tc>
          <w:tcPr>
            <w:tcW w:w="160" w:type="dxa"/>
            <w:vAlign w:val="bottom"/>
            <w:shd w:val="clear" w:color="auto" w:fill="F0FFFF"/>
          </w:tcPr>
          <w:p>
            <w:pPr>
              <w:spacing w:after="0"/>
              <w:rPr>
                <w:sz w:val="15"/>
                <w:szCs w:val="15"/>
                <w:color w:val="auto"/>
              </w:rPr>
            </w:pPr>
          </w:p>
        </w:tc>
        <w:tc>
          <w:tcPr>
            <w:tcW w:w="840" w:type="dxa"/>
            <w:vAlign w:val="bottom"/>
            <w:gridSpan w:val="2"/>
            <w:shd w:val="clear" w:color="auto" w:fill="F0FFFF"/>
          </w:tcPr>
          <w:p>
            <w:pPr>
              <w:jc w:val="right"/>
              <w:ind w:right="139"/>
              <w:spacing w:after="0"/>
              <w:rPr>
                <w:sz w:val="20"/>
                <w:szCs w:val="20"/>
                <w:color w:val="auto"/>
              </w:rPr>
            </w:pPr>
            <w:r>
              <w:rPr>
                <w:rFonts w:ascii="Arial" w:cs="Arial" w:eastAsia="Arial" w:hAnsi="Arial"/>
                <w:sz w:val="14"/>
                <w:szCs w:val="14"/>
                <w:color w:val="auto"/>
              </w:rPr>
              <w:t>(352)</w:t>
            </w:r>
          </w:p>
        </w:tc>
        <w:tc>
          <w:tcPr>
            <w:tcW w:w="4100" w:type="dxa"/>
            <w:vAlign w:val="bottom"/>
            <w:shd w:val="clear" w:color="auto" w:fill="F0FFFF"/>
          </w:tcPr>
          <w:p>
            <w:pPr>
              <w:spacing w:after="0"/>
              <w:rPr>
                <w:sz w:val="20"/>
                <w:szCs w:val="20"/>
                <w:color w:val="auto"/>
              </w:rPr>
            </w:pPr>
            <w:r>
              <w:rPr>
                <w:rFonts w:ascii="Arial" w:cs="Arial" w:eastAsia="Arial" w:hAnsi="Arial"/>
                <w:sz w:val="14"/>
                <w:szCs w:val="14"/>
                <w:color w:val="auto"/>
              </w:rPr>
              <w:t>Tax (expense) benefit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(1,183</w:t>
            </w:r>
          </w:p>
        </w:tc>
        <w:tc>
          <w:tcPr>
            <w:tcW w:w="140" w:type="dxa"/>
            <w:vAlign w:val="bottom"/>
            <w:tcBorders>
              <w:top w:val="single" w:sz="8" w:color="F0FFFF"/>
            </w:tcBorders>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F0FF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(1,228</w:t>
            </w:r>
          </w:p>
        </w:tc>
        <w:tc>
          <w:tcPr>
            <w:tcW w:w="220" w:type="dxa"/>
            <w:vAlign w:val="bottom"/>
            <w:tcBorders>
              <w:top w:val="single" w:sz="8" w:color="F0FFFF"/>
            </w:tcBorders>
          </w:tcPr>
          <w:p>
            <w:pPr>
              <w:jc w:val="right"/>
              <w:ind w:right="13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552</w:t>
            </w:r>
          </w:p>
        </w:tc>
        <w:tc>
          <w:tcPr>
            <w:tcW w:w="220" w:type="dxa"/>
            <w:vAlign w:val="bottom"/>
            <w:tcBorders>
              <w:top w:val="single" w:sz="8" w:color="F0FFFF"/>
            </w:tcBorders>
          </w:tcPr>
          <w:p>
            <w:pPr>
              <w:spacing w:after="0"/>
              <w:rPr>
                <w:sz w:val="12"/>
                <w:szCs w:val="12"/>
                <w:color w:val="auto"/>
              </w:rPr>
            </w:pPr>
          </w:p>
        </w:tc>
        <w:tc>
          <w:tcPr>
            <w:tcW w:w="4100" w:type="dxa"/>
            <w:vAlign w:val="bottom"/>
            <w:tcBorders>
              <w:top w:val="single" w:sz="8" w:color="F0FFFF"/>
            </w:tcBorders>
          </w:tcPr>
          <w:p>
            <w:pPr>
              <w:spacing w:after="0" w:line="149" w:lineRule="exact"/>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4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41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00" w:type="dxa"/>
            <w:vAlign w:val="bottom"/>
            <w:gridSpan w:val="12"/>
          </w:tcPr>
          <w:p>
            <w:pPr>
              <w:spacing w:after="0" w:line="149" w:lineRule="exact"/>
              <w:rPr>
                <w:sz w:val="20"/>
                <w:szCs w:val="20"/>
                <w:color w:val="auto"/>
              </w:rPr>
            </w:pPr>
            <w:r>
              <w:rPr>
                <w:rFonts w:ascii="Arial" w:cs="Arial" w:eastAsia="Arial" w:hAnsi="Arial"/>
                <w:sz w:val="14"/>
                <w:szCs w:val="14"/>
                <w:color w:val="auto"/>
                <w:w w:val="95"/>
              </w:rPr>
              <w:t>Amortization of prior service cost and actuarial losses included in net periodic pension cost for defined benefit pension plan</w:t>
            </w:r>
          </w:p>
        </w:tc>
        <w:tc>
          <w:tcPr>
            <w:tcW w:w="4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F0FFFF"/>
          </w:tcPr>
          <w:p>
            <w:pPr>
              <w:ind w:left="480"/>
              <w:spacing w:after="0" w:line="149" w:lineRule="exact"/>
              <w:rPr>
                <w:sz w:val="20"/>
                <w:szCs w:val="20"/>
                <w:color w:val="auto"/>
              </w:rPr>
            </w:pPr>
            <w:r>
              <w:rPr>
                <w:rFonts w:ascii="Arial" w:cs="Arial" w:eastAsia="Arial" w:hAnsi="Arial"/>
                <w:sz w:val="14"/>
                <w:szCs w:val="14"/>
                <w:color w:val="auto"/>
              </w:rPr>
              <w:t>Prior service cost</w:t>
            </w:r>
          </w:p>
        </w:tc>
        <w:tc>
          <w:tcPr>
            <w:tcW w:w="24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F0FFFF"/>
          </w:tcPr>
          <w:p>
            <w:pPr>
              <w:jc w:val="right"/>
              <w:ind w:right="59"/>
              <w:spacing w:after="0" w:line="149" w:lineRule="exact"/>
              <w:rPr>
                <w:sz w:val="20"/>
                <w:szCs w:val="20"/>
                <w:color w:val="auto"/>
              </w:rPr>
            </w:pPr>
            <w:r>
              <w:rPr>
                <w:rFonts w:ascii="Arial" w:cs="Arial" w:eastAsia="Arial" w:hAnsi="Arial"/>
                <w:sz w:val="14"/>
                <w:szCs w:val="14"/>
                <w:color w:val="auto"/>
              </w:rPr>
              <w:t>(465)</w:t>
            </w:r>
          </w:p>
        </w:tc>
        <w:tc>
          <w:tcPr>
            <w:tcW w:w="260" w:type="dxa"/>
            <w:vAlign w:val="bottom"/>
            <w:gridSpan w:val="2"/>
            <w:shd w:val="clear" w:color="auto" w:fill="F0FF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F0FFFF"/>
          </w:tcPr>
          <w:p>
            <w:pPr>
              <w:jc w:val="right"/>
              <w:ind w:right="139"/>
              <w:spacing w:after="0" w:line="149" w:lineRule="exact"/>
              <w:rPr>
                <w:sz w:val="20"/>
                <w:szCs w:val="20"/>
                <w:color w:val="auto"/>
              </w:rPr>
            </w:pPr>
            <w:r>
              <w:rPr>
                <w:rFonts w:ascii="Arial" w:cs="Arial" w:eastAsia="Arial" w:hAnsi="Arial"/>
                <w:sz w:val="14"/>
                <w:szCs w:val="14"/>
                <w:color w:val="auto"/>
              </w:rPr>
              <w:t>(365)</w:t>
            </w:r>
          </w:p>
        </w:tc>
        <w:tc>
          <w:tcPr>
            <w:tcW w:w="160" w:type="dxa"/>
            <w:vAlign w:val="bottom"/>
            <w:shd w:val="clear" w:color="auto" w:fill="F0FF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F0FFFF"/>
          </w:tcPr>
          <w:p>
            <w:pPr>
              <w:jc w:val="right"/>
              <w:ind w:right="139"/>
              <w:spacing w:after="0" w:line="149" w:lineRule="exact"/>
              <w:rPr>
                <w:sz w:val="20"/>
                <w:szCs w:val="20"/>
                <w:color w:val="auto"/>
              </w:rPr>
            </w:pPr>
            <w:r>
              <w:rPr>
                <w:rFonts w:ascii="Arial" w:cs="Arial" w:eastAsia="Arial" w:hAnsi="Arial"/>
                <w:sz w:val="14"/>
                <w:szCs w:val="14"/>
                <w:color w:val="auto"/>
              </w:rPr>
              <w:t>(365)</w:t>
            </w:r>
          </w:p>
        </w:tc>
        <w:tc>
          <w:tcPr>
            <w:tcW w:w="4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Salaries and employee benefits expense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59"/>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40" w:type="dxa"/>
            <w:vAlign w:val="bottom"/>
            <w:gridSpan w:val="2"/>
          </w:tcPr>
          <w:p>
            <w:pPr>
              <w:jc w:val="right"/>
              <w:ind w:right="139"/>
              <w:spacing w:after="0"/>
              <w:rPr>
                <w:sz w:val="20"/>
                <w:szCs w:val="20"/>
                <w:color w:val="auto"/>
              </w:rPr>
            </w:pPr>
            <w:r>
              <w:rPr>
                <w:rFonts w:ascii="Arial" w:cs="Arial" w:eastAsia="Arial" w:hAnsi="Arial"/>
                <w:sz w:val="14"/>
                <w:szCs w:val="14"/>
                <w:color w:val="auto"/>
              </w:rPr>
              <w:t>(167)</w:t>
            </w:r>
          </w:p>
        </w:tc>
        <w:tc>
          <w:tcPr>
            <w:tcW w:w="4100" w:type="dxa"/>
            <w:vAlign w:val="bottom"/>
          </w:tcPr>
          <w:p>
            <w:pPr>
              <w:spacing w:after="0"/>
              <w:rPr>
                <w:sz w:val="20"/>
                <w:szCs w:val="20"/>
                <w:color w:val="auto"/>
              </w:rPr>
            </w:pPr>
            <w:r>
              <w:rPr>
                <w:rFonts w:ascii="Arial" w:cs="Arial" w:eastAsia="Arial" w:hAnsi="Arial"/>
                <w:sz w:val="14"/>
                <w:szCs w:val="14"/>
                <w:color w:val="auto"/>
              </w:rPr>
              <w:t>Salaries and employee benefits expense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0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(736)</w:t>
            </w:r>
          </w:p>
        </w:tc>
        <w:tc>
          <w:tcPr>
            <w:tcW w:w="140" w:type="dxa"/>
            <w:vAlign w:val="bottom"/>
            <w:tcBorders>
              <w:top w:val="single" w:sz="8" w:color="F0FFFF"/>
            </w:tcBorders>
            <w:shd w:val="clear" w:color="auto" w:fill="F0FFFF"/>
          </w:tcPr>
          <w:p>
            <w:pPr>
              <w:spacing w:after="0"/>
              <w:rPr>
                <w:sz w:val="12"/>
                <w:szCs w:val="12"/>
                <w:color w:val="auto"/>
              </w:rPr>
            </w:pPr>
          </w:p>
        </w:tc>
        <w:tc>
          <w:tcPr>
            <w:tcW w:w="10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64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(365)</w:t>
            </w:r>
          </w:p>
        </w:tc>
        <w:tc>
          <w:tcPr>
            <w:tcW w:w="220" w:type="dxa"/>
            <w:vAlign w:val="bottom"/>
            <w:tcBorders>
              <w:top w:val="single" w:sz="8" w:color="F0FFFF"/>
            </w:tcBorders>
            <w:shd w:val="clear" w:color="auto" w:fill="F0FFFF"/>
          </w:tcPr>
          <w:p>
            <w:pPr>
              <w:spacing w:after="0"/>
              <w:rPr>
                <w:sz w:val="12"/>
                <w:szCs w:val="12"/>
                <w:color w:val="auto"/>
              </w:rPr>
            </w:pPr>
          </w:p>
        </w:tc>
        <w:tc>
          <w:tcPr>
            <w:tcW w:w="160" w:type="dxa"/>
            <w:vAlign w:val="bottom"/>
            <w:tcBorders>
              <w:top w:val="single" w:sz="8" w:color="auto"/>
            </w:tcBorders>
            <w:shd w:val="clear" w:color="auto" w:fill="F0FFFF"/>
          </w:tcPr>
          <w:p>
            <w:pPr>
              <w:spacing w:after="0"/>
              <w:rPr>
                <w:sz w:val="12"/>
                <w:szCs w:val="12"/>
                <w:color w:val="auto"/>
              </w:rPr>
            </w:pPr>
          </w:p>
        </w:tc>
        <w:tc>
          <w:tcPr>
            <w:tcW w:w="620" w:type="dxa"/>
            <w:vAlign w:val="bottom"/>
            <w:tcBorders>
              <w:top w:val="single" w:sz="8" w:color="auto"/>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(532)</w:t>
            </w:r>
          </w:p>
        </w:tc>
        <w:tc>
          <w:tcPr>
            <w:tcW w:w="220" w:type="dxa"/>
            <w:vAlign w:val="bottom"/>
            <w:tcBorders>
              <w:top w:val="single" w:sz="8" w:color="F0FFFF"/>
            </w:tcBorders>
            <w:shd w:val="clear" w:color="auto" w:fill="F0FFFF"/>
          </w:tcPr>
          <w:p>
            <w:pPr>
              <w:spacing w:after="0"/>
              <w:rPr>
                <w:sz w:val="12"/>
                <w:szCs w:val="12"/>
                <w:color w:val="auto"/>
              </w:rPr>
            </w:pPr>
          </w:p>
        </w:tc>
        <w:tc>
          <w:tcPr>
            <w:tcW w:w="4100" w:type="dxa"/>
            <w:vAlign w:val="bottom"/>
            <w:tcBorders>
              <w:top w:val="single" w:sz="8" w:color="F0FFFF"/>
            </w:tcBorders>
            <w:shd w:val="clear" w:color="auto" w:fill="F0FFFF"/>
          </w:tcPr>
          <w:p>
            <w:pPr>
              <w:spacing w:after="0" w:line="149" w:lineRule="exact"/>
              <w:rPr>
                <w:sz w:val="20"/>
                <w:szCs w:val="20"/>
                <w:color w:val="auto"/>
              </w:rPr>
            </w:pPr>
            <w:r>
              <w:rPr>
                <w:rFonts w:ascii="Arial" w:cs="Arial" w:eastAsia="Arial" w:hAnsi="Arial"/>
                <w:sz w:val="14"/>
                <w:szCs w:val="14"/>
                <w:color w:val="auto"/>
              </w:rPr>
              <w:t>Total before tax</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79"/>
              <w:spacing w:after="0"/>
              <w:rPr>
                <w:sz w:val="20"/>
                <w:szCs w:val="20"/>
                <w:color w:val="auto"/>
              </w:rPr>
            </w:pPr>
            <w:r>
              <w:rPr>
                <w:rFonts w:ascii="Arial" w:cs="Arial" w:eastAsia="Arial" w:hAnsi="Arial"/>
                <w:sz w:val="14"/>
                <w:szCs w:val="14"/>
                <w:color w:val="auto"/>
              </w:rPr>
              <w:t>142</w:t>
            </w:r>
          </w:p>
        </w:tc>
        <w:tc>
          <w:tcPr>
            <w:tcW w:w="160" w:type="dxa"/>
            <w:vAlign w:val="bottom"/>
          </w:tcPr>
          <w:p>
            <w:pPr>
              <w:spacing w:after="0"/>
              <w:rPr>
                <w:sz w:val="14"/>
                <w:szCs w:val="14"/>
                <w:color w:val="auto"/>
              </w:rPr>
            </w:pPr>
          </w:p>
        </w:tc>
        <w:tc>
          <w:tcPr>
            <w:tcW w:w="840" w:type="dxa"/>
            <w:vAlign w:val="bottom"/>
            <w:gridSpan w:val="2"/>
          </w:tcPr>
          <w:p>
            <w:pPr>
              <w:jc w:val="right"/>
              <w:ind w:right="179"/>
              <w:spacing w:after="0"/>
              <w:rPr>
                <w:sz w:val="20"/>
                <w:szCs w:val="20"/>
                <w:color w:val="auto"/>
              </w:rPr>
            </w:pPr>
            <w:r>
              <w:rPr>
                <w:rFonts w:ascii="Arial" w:cs="Arial" w:eastAsia="Arial" w:hAnsi="Arial"/>
                <w:sz w:val="14"/>
                <w:szCs w:val="14"/>
                <w:color w:val="auto"/>
              </w:rPr>
              <w:t>207</w:t>
            </w:r>
          </w:p>
        </w:tc>
        <w:tc>
          <w:tcPr>
            <w:tcW w:w="4100" w:type="dxa"/>
            <w:vAlign w:val="bottom"/>
          </w:tcPr>
          <w:p>
            <w:pPr>
              <w:spacing w:after="0"/>
              <w:rPr>
                <w:sz w:val="20"/>
                <w:szCs w:val="20"/>
                <w:color w:val="auto"/>
              </w:rPr>
            </w:pPr>
            <w:r>
              <w:rPr>
                <w:rFonts w:ascii="Arial" w:cs="Arial" w:eastAsia="Arial" w:hAnsi="Arial"/>
                <w:sz w:val="14"/>
                <w:szCs w:val="14"/>
                <w:color w:val="auto"/>
              </w:rPr>
              <w:t>Tax benefit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410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F0FFFF"/>
              <w:bottom w:val="single" w:sz="8" w:color="F0FFFF"/>
            </w:tcBorders>
            <w:shd w:val="clear" w:color="auto" w:fill="F0FFFF"/>
          </w:tcPr>
          <w:p>
            <w:pPr>
              <w:spacing w:after="0"/>
              <w:rPr>
                <w:sz w:val="15"/>
                <w:szCs w:val="15"/>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(450</w:t>
            </w:r>
          </w:p>
        </w:tc>
        <w:tc>
          <w:tcPr>
            <w:tcW w:w="140" w:type="dxa"/>
            <w:vAlign w:val="bottom"/>
            <w:tcBorders>
              <w:top w:val="single" w:sz="8" w:color="F0FFFF"/>
              <w:bottom w:val="single" w:sz="8" w:color="F0FFFF"/>
            </w:tcBorders>
            <w:shd w:val="clear" w:color="auto" w:fill="F0FFFF"/>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F0FFFF"/>
              <w:bottom w:val="single" w:sz="8" w:color="F0FFFF"/>
            </w:tcBorders>
            <w:shd w:val="clear" w:color="auto" w:fill="F0FFFF"/>
          </w:tcPr>
          <w:p>
            <w:pPr>
              <w:spacing w:after="0"/>
              <w:rPr>
                <w:sz w:val="15"/>
                <w:szCs w:val="15"/>
                <w:color w:val="auto"/>
              </w:rPr>
            </w:pPr>
          </w:p>
        </w:tc>
        <w:tc>
          <w:tcPr>
            <w:tcW w:w="160" w:type="dxa"/>
            <w:vAlign w:val="bottom"/>
            <w:tcBorders>
              <w:top w:val="single" w:sz="8" w:color="auto"/>
              <w:bottom w:val="single" w:sz="8" w:color="auto"/>
            </w:tcBorders>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(223</w:t>
            </w:r>
          </w:p>
        </w:tc>
        <w:tc>
          <w:tcPr>
            <w:tcW w:w="220" w:type="dxa"/>
            <w:vAlign w:val="bottom"/>
            <w:tcBorders>
              <w:top w:val="single" w:sz="8" w:color="F0FFFF"/>
              <w:bottom w:val="single" w:sz="8" w:color="F0FFFF"/>
            </w:tcBorders>
            <w:shd w:val="clear" w:color="auto" w:fill="F0FFFF"/>
          </w:tcPr>
          <w:p>
            <w:pPr>
              <w:jc w:val="right"/>
              <w:ind w:right="139"/>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F0FF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4"/>
                <w:szCs w:val="14"/>
                <w:color w:val="auto"/>
              </w:rPr>
              <w:t>(325</w:t>
            </w:r>
          </w:p>
        </w:tc>
        <w:tc>
          <w:tcPr>
            <w:tcW w:w="220" w:type="dxa"/>
            <w:vAlign w:val="bottom"/>
            <w:tcBorders>
              <w:top w:val="single" w:sz="8" w:color="F0FFFF"/>
              <w:bottom w:val="single" w:sz="8" w:color="F0FFFF"/>
            </w:tcBorders>
            <w:shd w:val="clear" w:color="auto" w:fill="F0FFFF"/>
          </w:tcPr>
          <w:p>
            <w:pPr>
              <w:jc w:val="right"/>
              <w:ind w:right="139"/>
              <w:spacing w:after="0"/>
              <w:rPr>
                <w:sz w:val="20"/>
                <w:szCs w:val="20"/>
                <w:color w:val="auto"/>
              </w:rPr>
            </w:pPr>
            <w:r>
              <w:rPr>
                <w:rFonts w:ascii="Arial" w:cs="Arial" w:eastAsia="Arial" w:hAnsi="Arial"/>
                <w:sz w:val="8"/>
                <w:szCs w:val="8"/>
                <w:color w:val="auto"/>
                <w:w w:val="73"/>
              </w:rPr>
              <w:t>)</w:t>
            </w:r>
          </w:p>
        </w:tc>
        <w:tc>
          <w:tcPr>
            <w:tcW w:w="4100" w:type="dxa"/>
            <w:vAlign w:val="bottom"/>
            <w:tcBorders>
              <w:top w:val="single" w:sz="8" w:color="F0FFFF"/>
              <w:bottom w:val="single" w:sz="8" w:color="F0FFFF"/>
            </w:tcBorders>
            <w:shd w:val="clear" w:color="auto" w:fill="F0FFFF"/>
          </w:tcPr>
          <w:p>
            <w:pPr>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bottom w:val="single" w:sz="8" w:color="auto"/>
            </w:tcBorders>
          </w:tcPr>
          <w:p>
            <w:pPr>
              <w:spacing w:after="0" w:line="20" w:lineRule="exact"/>
              <w:rPr>
                <w:sz w:val="1"/>
                <w:szCs w:val="1"/>
                <w:color w:val="auto"/>
              </w:rPr>
            </w:pPr>
          </w:p>
        </w:tc>
        <w:tc>
          <w:tcPr>
            <w:tcW w:w="7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4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bottom w:val="single" w:sz="8" w:color="auto"/>
            </w:tcBorders>
          </w:tcPr>
          <w:p>
            <w:pPr>
              <w:spacing w:after="0" w:line="20" w:lineRule="exact"/>
              <w:rPr>
                <w:sz w:val="1"/>
                <w:szCs w:val="1"/>
                <w:color w:val="auto"/>
              </w:rPr>
            </w:pPr>
          </w:p>
        </w:tc>
        <w:tc>
          <w:tcPr>
            <w:tcW w:w="62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shd w:val="clear" w:color="auto" w:fill="F0FFFF"/>
          </w:tcPr>
          <w:p>
            <w:pPr>
              <w:spacing w:after="0"/>
              <w:rPr>
                <w:sz w:val="20"/>
                <w:szCs w:val="20"/>
                <w:color w:val="auto"/>
              </w:rPr>
            </w:pPr>
            <w:r>
              <w:rPr>
                <w:rFonts w:ascii="Arial" w:cs="Arial" w:eastAsia="Arial" w:hAnsi="Arial"/>
                <w:sz w:val="14"/>
                <w:szCs w:val="14"/>
                <w:color w:val="auto"/>
              </w:rPr>
              <w:t>Total reclassifications for the period</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F0FFFF"/>
          </w:tcPr>
          <w:p>
            <w:pPr>
              <w:jc w:val="right"/>
              <w:ind w:right="59"/>
              <w:spacing w:after="0" w:line="176" w:lineRule="exact"/>
              <w:rPr>
                <w:sz w:val="20"/>
                <w:szCs w:val="20"/>
                <w:color w:val="auto"/>
              </w:rPr>
            </w:pPr>
            <w:r>
              <w:rPr>
                <w:rFonts w:ascii="Arial" w:cs="Arial" w:eastAsia="Arial" w:hAnsi="Arial"/>
                <w:sz w:val="12"/>
                <w:szCs w:val="12"/>
                <w:color w:val="auto"/>
              </w:rPr>
              <w:t>(1,304</w:t>
            </w:r>
            <w:r>
              <w:rPr>
                <w:rFonts w:ascii="Arial" w:cs="Arial" w:eastAsia="Arial" w:hAnsi="Arial"/>
                <w:sz w:val="20"/>
                <w:szCs w:val="20"/>
                <w:color w:val="auto"/>
                <w:vertAlign w:val="superscript"/>
              </w:rPr>
              <w:t>)</w:t>
            </w:r>
          </w:p>
        </w:tc>
        <w:tc>
          <w:tcPr>
            <w:tcW w:w="260" w:type="dxa"/>
            <w:vAlign w:val="bottom"/>
            <w:gridSpan w:val="2"/>
            <w:shd w:val="clear" w:color="auto" w:fill="F0FF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F0FFFF"/>
          </w:tcPr>
          <w:p>
            <w:pPr>
              <w:jc w:val="right"/>
              <w:ind w:right="179"/>
              <w:spacing w:after="0"/>
              <w:rPr>
                <w:sz w:val="20"/>
                <w:szCs w:val="20"/>
                <w:color w:val="auto"/>
              </w:rPr>
            </w:pPr>
            <w:r>
              <w:rPr>
                <w:rFonts w:ascii="Arial" w:cs="Arial" w:eastAsia="Arial" w:hAnsi="Arial"/>
                <w:sz w:val="14"/>
                <w:szCs w:val="14"/>
                <w:color w:val="auto"/>
              </w:rPr>
              <w:t>484</w:t>
            </w:r>
          </w:p>
        </w:tc>
        <w:tc>
          <w:tcPr>
            <w:tcW w:w="160" w:type="dxa"/>
            <w:vAlign w:val="bottom"/>
            <w:shd w:val="clear" w:color="auto" w:fill="F0FF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F0FFFF"/>
          </w:tcPr>
          <w:p>
            <w:pPr>
              <w:jc w:val="right"/>
              <w:ind w:right="179"/>
              <w:spacing w:after="0"/>
              <w:rPr>
                <w:sz w:val="20"/>
                <w:szCs w:val="20"/>
                <w:color w:val="auto"/>
              </w:rPr>
            </w:pPr>
            <w:r>
              <w:rPr>
                <w:rFonts w:ascii="Arial" w:cs="Arial" w:eastAsia="Arial" w:hAnsi="Arial"/>
                <w:sz w:val="14"/>
                <w:szCs w:val="14"/>
                <w:color w:val="auto"/>
              </w:rPr>
              <w:t>790</w:t>
            </w:r>
          </w:p>
        </w:tc>
        <w:tc>
          <w:tcPr>
            <w:tcW w:w="4100" w:type="dxa"/>
            <w:vAlign w:val="bottom"/>
            <w:shd w:val="clear" w:color="auto" w:fill="F0FFFF"/>
          </w:tcPr>
          <w:p>
            <w:pPr>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4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restart"/>
          </w:tcPr>
          <w:p>
            <w:pPr>
              <w:spacing w:after="0"/>
              <w:rPr>
                <w:sz w:val="10"/>
                <w:szCs w:val="10"/>
                <w:color w:val="auto"/>
              </w:rPr>
            </w:pPr>
          </w:p>
        </w:tc>
        <w:tc>
          <w:tcPr>
            <w:tcW w:w="4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Amounts shown above in parentheses reduce earnings</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0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62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4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shares of common stock outstanding during the period while the effects of potential shares of common stock outstanding during the period are included in diluted earnings per common share.</w:t>
      </w:r>
    </w:p>
    <w:p>
      <w:pPr>
        <w:spacing w:after="0" w:line="18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United accrued dividends on preferred stock, including accretion of discounts, as shown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600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6000" w:type="dxa"/>
            <w:vAlign w:val="bottom"/>
          </w:tcPr>
          <w:p>
            <w:pPr>
              <w:spacing w:after="0"/>
              <w:rPr>
                <w:sz w:val="14"/>
                <w:szCs w:val="14"/>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6"/>
        </w:trPr>
        <w:tc>
          <w:tcPr>
            <w:tcW w:w="6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0" w:type="dxa"/>
            <w:vAlign w:val="bottom"/>
            <w:shd w:val="clear" w:color="auto" w:fill="F0FFFF"/>
          </w:tcPr>
          <w:p>
            <w:pPr>
              <w:spacing w:after="0"/>
              <w:rPr>
                <w:sz w:val="20"/>
                <w:szCs w:val="20"/>
                <w:color w:val="auto"/>
              </w:rPr>
            </w:pPr>
            <w:r>
              <w:rPr>
                <w:rFonts w:ascii="Arial" w:cs="Arial" w:eastAsia="Arial" w:hAnsi="Arial"/>
                <w:sz w:val="18"/>
                <w:szCs w:val="18"/>
                <w:color w:val="auto"/>
              </w:rPr>
              <w:t>Series A - 6% fixed</w:t>
            </w:r>
          </w:p>
        </w:tc>
        <w:tc>
          <w:tcPr>
            <w:tcW w:w="1040" w:type="dxa"/>
            <w:vAlign w:val="bottom"/>
            <w:shd w:val="clear" w:color="auto" w:fill="F0FFFF"/>
          </w:tcPr>
          <w:p>
            <w:pPr>
              <w:jc w:val="right"/>
              <w:ind w:right="856"/>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F0FF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Series B - 5% fixed until December 6, 2013, 9% thereafter</w:t>
            </w:r>
          </w:p>
        </w:tc>
        <w:tc>
          <w:tcPr>
            <w:tcW w:w="104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10,401</w:t>
            </w:r>
          </w:p>
        </w:tc>
      </w:tr>
      <w:tr>
        <w:trPr>
          <w:trHeight w:val="216"/>
        </w:trPr>
        <w:tc>
          <w:tcPr>
            <w:tcW w:w="6000" w:type="dxa"/>
            <w:vAlign w:val="bottom"/>
            <w:shd w:val="clear" w:color="auto" w:fill="F0FFFF"/>
          </w:tcPr>
          <w:p>
            <w:pPr>
              <w:spacing w:after="0"/>
              <w:rPr>
                <w:sz w:val="20"/>
                <w:szCs w:val="20"/>
                <w:color w:val="auto"/>
              </w:rPr>
            </w:pPr>
            <w:r>
              <w:rPr>
                <w:rFonts w:ascii="Arial" w:cs="Arial" w:eastAsia="Arial" w:hAnsi="Arial"/>
                <w:sz w:val="18"/>
                <w:szCs w:val="18"/>
                <w:color w:val="auto"/>
              </w:rPr>
              <w:t>Series D - LIBOR plus 9.6875%, resets quarterly</w:t>
            </w:r>
          </w:p>
        </w:tc>
        <w:tc>
          <w:tcPr>
            <w:tcW w:w="1040" w:type="dxa"/>
            <w:vAlign w:val="bottom"/>
            <w:shd w:val="clear" w:color="auto" w:fill="F0FFFF"/>
          </w:tcPr>
          <w:p>
            <w:pPr>
              <w:spacing w:after="0"/>
              <w:rPr>
                <w:sz w:val="18"/>
                <w:szCs w:val="18"/>
                <w:color w:val="auto"/>
              </w:rPr>
            </w:pPr>
          </w:p>
        </w:tc>
        <w:tc>
          <w:tcPr>
            <w:tcW w:w="4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1,665</w:t>
            </w:r>
          </w:p>
        </w:tc>
      </w:tr>
      <w:tr>
        <w:trPr>
          <w:trHeight w:val="237"/>
        </w:trPr>
        <w:tc>
          <w:tcPr>
            <w:tcW w:w="6000" w:type="dxa"/>
            <w:vAlign w:val="bottom"/>
          </w:tcPr>
          <w:p>
            <w:pPr>
              <w:spacing w:after="0"/>
              <w:rPr>
                <w:sz w:val="20"/>
                <w:szCs w:val="20"/>
                <w:color w:val="auto"/>
              </w:rPr>
            </w:pPr>
            <w:r>
              <w:rPr>
                <w:rFonts w:ascii="Arial" w:cs="Arial" w:eastAsia="Arial" w:hAnsi="Arial"/>
                <w:sz w:val="18"/>
                <w:szCs w:val="18"/>
                <w:color w:val="auto"/>
              </w:rPr>
              <w:t>Series H - 1% until March 15, 2016, 9% thereafter</w:t>
            </w:r>
          </w:p>
        </w:tc>
        <w:tc>
          <w:tcPr>
            <w:tcW w:w="104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5"/>
        </w:trPr>
        <w:tc>
          <w:tcPr>
            <w:tcW w:w="6000" w:type="dxa"/>
            <w:vAlign w:val="bottom"/>
            <w:tcBorders>
              <w:top w:val="single" w:sz="8" w:color="F0FFFF"/>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Total preferred stock dividends</w:t>
            </w:r>
          </w:p>
        </w:tc>
        <w:tc>
          <w:tcPr>
            <w:tcW w:w="1040" w:type="dxa"/>
            <w:vAlign w:val="bottom"/>
            <w:tcBorders>
              <w:top w:val="single" w:sz="8" w:color="auto"/>
              <w:bottom w:val="single" w:sz="8" w:color="auto"/>
            </w:tcBorders>
            <w:shd w:val="clear" w:color="auto" w:fill="F0FFFF"/>
          </w:tcPr>
          <w:p>
            <w:pPr>
              <w:jc w:val="right"/>
              <w:ind w:right="85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320" w:type="dxa"/>
            <w:vAlign w:val="bottom"/>
            <w:tcBorders>
              <w:top w:val="single" w:sz="8" w:color="auto"/>
              <w:bottom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439</w:t>
            </w: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340" w:type="dxa"/>
            <w:vAlign w:val="bottom"/>
            <w:tcBorders>
              <w:top w:val="single" w:sz="8" w:color="auto"/>
              <w:bottom w:val="single" w:sz="8" w:color="auto"/>
            </w:tcBorders>
            <w:shd w:val="clear" w:color="auto" w:fill="F0FF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12,078</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r>
      <w:tr>
        <w:trPr>
          <w:trHeight w:val="20"/>
        </w:trPr>
        <w:tc>
          <w:tcPr>
            <w:tcW w:w="600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36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F0FFFF"/>
              <w:bottom w:val="single" w:sz="8" w:color="auto"/>
            </w:tcBorders>
          </w:tcPr>
          <w:p>
            <w:pPr>
              <w:spacing w:after="0" w:line="20" w:lineRule="exact"/>
              <w:rPr>
                <w:sz w:val="1"/>
                <w:szCs w:val="1"/>
                <w:color w:val="auto"/>
              </w:rPr>
            </w:pPr>
          </w:p>
        </w:tc>
        <w:tc>
          <w:tcPr>
            <w:tcW w:w="1080" w:type="dxa"/>
            <w:vAlign w:val="bottom"/>
            <w:tcBorders>
              <w:top w:val="single" w:sz="8" w:color="F0FFFF"/>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bottom w:val="single" w:sz="8" w:color="auto"/>
            </w:tcBorders>
          </w:tcPr>
          <w:p>
            <w:pPr>
              <w:spacing w:after="0" w:line="20" w:lineRule="exact"/>
              <w:rPr>
                <w:sz w:val="1"/>
                <w:szCs w:val="1"/>
                <w:color w:val="auto"/>
              </w:rPr>
            </w:pPr>
          </w:p>
        </w:tc>
        <w:tc>
          <w:tcPr>
            <w:tcW w:w="104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preferred stock dividends were subtracted from net income in order to arrive at net income available to common shareholders.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continued</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sets forth the computation of basic and diluted net income per common share </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Net income available to common stockholders</w:t>
            </w:r>
          </w:p>
        </w:tc>
        <w:tc>
          <w:tcPr>
            <w:tcW w:w="2040" w:type="dxa"/>
            <w:vAlign w:val="bottom"/>
            <w:gridSpan w:val="2"/>
            <w:shd w:val="clear" w:color="auto" w:fill="F0FFFF"/>
          </w:tcPr>
          <w:p>
            <w:pPr>
              <w:jc w:val="right"/>
              <w:ind w:right="66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w w:val="90"/>
              </w:rPr>
              <w:t>71,511</w:t>
            </w:r>
          </w:p>
        </w:tc>
        <w:tc>
          <w:tcPr>
            <w:tcW w:w="5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67,181</w:t>
            </w:r>
          </w:p>
        </w:tc>
        <w:tc>
          <w:tcPr>
            <w:tcW w:w="3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261,062</w:t>
            </w:r>
          </w:p>
        </w:tc>
        <w:tc>
          <w:tcPr>
            <w:tcW w:w="10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F0FFFF"/>
            </w:tcBorders>
          </w:tcPr>
          <w:p>
            <w:pPr>
              <w:spacing w:after="0" w:line="20" w:lineRule="exact"/>
              <w:rPr>
                <w:sz w:val="1"/>
                <w:szCs w:val="1"/>
                <w:color w:val="auto"/>
              </w:rPr>
            </w:pPr>
          </w:p>
        </w:tc>
        <w:tc>
          <w:tcPr>
            <w:tcW w:w="1200" w:type="dxa"/>
            <w:vAlign w:val="bottom"/>
            <w:tcBorders>
              <w:top w:val="single" w:sz="8" w:color="F0FF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4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Income per common share:</w:t>
            </w:r>
          </w:p>
        </w:tc>
        <w:tc>
          <w:tcPr>
            <w:tcW w:w="1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1.11</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Diluted</w:t>
            </w:r>
          </w:p>
        </w:tc>
        <w:tc>
          <w:tcPr>
            <w:tcW w:w="1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5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1.11</w:t>
            </w:r>
          </w:p>
        </w:tc>
        <w:tc>
          <w:tcPr>
            <w:tcW w:w="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F0FFFF"/>
          </w:tcPr>
          <w:p>
            <w:pPr>
              <w:spacing w:after="0"/>
              <w:rPr>
                <w:sz w:val="20"/>
                <w:szCs w:val="20"/>
                <w:color w:val="auto"/>
              </w:rPr>
            </w:pPr>
            <w:r>
              <w:rPr>
                <w:rFonts w:ascii="Arial" w:cs="Arial" w:eastAsia="Arial" w:hAnsi="Arial"/>
                <w:sz w:val="18"/>
                <w:szCs w:val="18"/>
                <w:color w:val="auto"/>
              </w:rPr>
              <w:t>Weighted average common shares:</w:t>
            </w:r>
          </w:p>
        </w:tc>
        <w:tc>
          <w:tcPr>
            <w:tcW w:w="1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65,488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60,588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F0FFFF"/>
          </w:tcPr>
          <w:p>
            <w:pPr>
              <w:spacing w:after="0"/>
              <w:rPr>
                <w:sz w:val="18"/>
                <w:szCs w:val="18"/>
                <w:color w:val="auto"/>
              </w:rPr>
            </w:pPr>
          </w:p>
        </w:tc>
        <w:tc>
          <w:tcPr>
            <w:tcW w:w="1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Effect of dilutive securities:</w:t>
            </w: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F0FFFF"/>
          </w:tcPr>
          <w:p>
            <w:pPr>
              <w:ind w:left="300"/>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5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w:t>
            </w:r>
          </w:p>
        </w:tc>
        <w:tc>
          <w:tcPr>
            <w:tcW w:w="1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w:t>
            </w:r>
          </w:p>
        </w:tc>
        <w:tc>
          <w:tcPr>
            <w:tcW w:w="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40" w:type="dxa"/>
            <w:vAlign w:val="bottom"/>
          </w:tcPr>
          <w:p>
            <w:pPr>
              <w:ind w:left="300"/>
              <w:spacing w:after="0"/>
              <w:rPr>
                <w:sz w:val="20"/>
                <w:szCs w:val="20"/>
                <w:color w:val="auto"/>
              </w:rPr>
            </w:pPr>
            <w:r>
              <w:rPr>
                <w:rFonts w:ascii="Arial" w:cs="Arial" w:eastAsia="Arial" w:hAnsi="Arial"/>
                <w:sz w:val="18"/>
                <w:szCs w:val="18"/>
                <w:color w:val="auto"/>
              </w:rPr>
              <w:t>Warrants</w:t>
            </w:r>
          </w:p>
        </w:tc>
        <w:tc>
          <w:tcPr>
            <w:tcW w:w="1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top w:val="single" w:sz="8" w:color="F0FFFF"/>
            </w:tcBorders>
            <w:shd w:val="clear" w:color="auto" w:fill="F0FFFF"/>
          </w:tcPr>
          <w:p>
            <w:pPr>
              <w:spacing w:after="0"/>
              <w:rPr>
                <w:sz w:val="18"/>
                <w:szCs w:val="18"/>
                <w:color w:val="auto"/>
              </w:rPr>
            </w:pPr>
          </w:p>
        </w:tc>
        <w:tc>
          <w:tcPr>
            <w:tcW w:w="120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520" w:type="dxa"/>
            <w:vAlign w:val="bottom"/>
            <w:tcBorders>
              <w:top w:val="single" w:sz="8" w:color="auto"/>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Diluted</w:t>
            </w:r>
          </w:p>
        </w:tc>
        <w:tc>
          <w:tcPr>
            <w:tcW w:w="1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65,492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60,590</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At December 31, 2015, United had the following potentially dilutive stock options and warrants outstanding: a warrant to purchase 219,909 shares of common stock at $61.40 per share; 241,493 shares of common stock issuable upon exercise of stock options granted to employees with a weighted average exercise price of $89.92; and 712,667 shares of common stock issuable upon completion of vesting of restricted stock awards.</w:t>
      </w:r>
    </w:p>
    <w:p>
      <w:pPr>
        <w:spacing w:after="0" w:line="166"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At December 31, 2014, United had the following potentially dilutive stock options and warrants outstanding: a warrant to purchase 219,909 shares of common stock at $61.40 per share; 313,555 shares of common stock issuable upon exercise of stock options granted to employees with a weighted average exercise price of $93.40; and 829,201 shares of common stock issuable upon completion of vesting of restricted stock awards.</w:t>
      </w:r>
    </w:p>
    <w:p>
      <w:pPr>
        <w:spacing w:after="0" w:line="166"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At December 31, 2013, United had the following potentially dilutive stock options and warrants outstanding: a warrant to purchase 219,909 shares of common stock at $61.40 per share; 371,449 shares of common stock issuable upon exercise of stock options granted to employees with a weighted average exercise price of $98.54; 1,073,259 shares of common stock issuable upon completion of vesting of restricted stock awards; and warrants to purchase shares of common stock equivalent junior preferred stock at a price equivalent to $21.25 per share that would be convertible into 1,411,765 shares of common stock, which were granted to Fletcher International Ltd. (“Fletcher”) in connection with a 2010 asset purchase and sale agreement.</w:t>
      </w:r>
    </w:p>
    <w:p>
      <w:pPr>
        <w:spacing w:after="0" w:line="154"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Income tax expense (benefit)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8"/>
                <w:szCs w:val="18"/>
                <w:color w:val="auto"/>
              </w:rPr>
              <w:t>Current</w:t>
            </w:r>
          </w:p>
        </w:tc>
        <w:tc>
          <w:tcPr>
            <w:tcW w:w="2700" w:type="dxa"/>
            <w:vAlign w:val="bottom"/>
            <w:gridSpan w:val="2"/>
            <w:shd w:val="clear" w:color="auto" w:fill="F0FFFF"/>
          </w:tcPr>
          <w:p>
            <w:pPr>
              <w:jc w:val="right"/>
              <w:ind w:right="70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5,140</w:t>
            </w:r>
          </w:p>
        </w:tc>
        <w:tc>
          <w:tcPr>
            <w:tcW w:w="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1,224</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3,467</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Deferred</w:t>
            </w:r>
          </w:p>
        </w:tc>
        <w:tc>
          <w:tcPr>
            <w:tcW w:w="1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37,685</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37,524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23,785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8"/>
                <w:szCs w:val="18"/>
                <w:color w:val="auto"/>
              </w:rPr>
              <w:t>Increase (decrease) in valuation allowance</w:t>
            </w:r>
          </w:p>
        </w:tc>
        <w:tc>
          <w:tcPr>
            <w:tcW w:w="182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5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702</w:t>
            </w:r>
          </w:p>
        </w:tc>
        <w:tc>
          <w:tcPr>
            <w:tcW w:w="6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(265,440)</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180" w:type="dxa"/>
            <w:vAlign w:val="bottom"/>
            <w:tcBorders>
              <w:top w:val="single" w:sz="8" w:color="F0FFFF"/>
            </w:tcBorders>
          </w:tcPr>
          <w:p>
            <w:pPr>
              <w:spacing w:after="0"/>
              <w:rPr>
                <w:sz w:val="18"/>
                <w:szCs w:val="18"/>
                <w:color w:val="auto"/>
              </w:rPr>
            </w:pPr>
          </w:p>
        </w:tc>
        <w:tc>
          <w:tcPr>
            <w:tcW w:w="1820" w:type="dxa"/>
            <w:vAlign w:val="bottom"/>
            <w:tcBorders>
              <w:top w:val="single" w:sz="8" w:color="F0FF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41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income tax expense (benefit)</w:t>
            </w:r>
          </w:p>
        </w:tc>
        <w:tc>
          <w:tcPr>
            <w:tcW w:w="2700" w:type="dxa"/>
            <w:vAlign w:val="bottom"/>
            <w:gridSpan w:val="2"/>
            <w:shd w:val="clear" w:color="auto" w:fill="F0FFFF"/>
          </w:tcPr>
          <w:p>
            <w:pPr>
              <w:jc w:val="right"/>
              <w:ind w:right="70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w w:val="90"/>
              </w:rPr>
              <w:t>43,436</w:t>
            </w:r>
          </w:p>
        </w:tc>
        <w:tc>
          <w:tcPr>
            <w:tcW w:w="4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39,450</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(238,188)</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180" w:type="dxa"/>
            <w:vAlign w:val="bottom"/>
            <w:tcBorders>
              <w:top w:val="single" w:sz="8" w:color="F0FFFF"/>
            </w:tcBorders>
          </w:tcPr>
          <w:p>
            <w:pPr>
              <w:spacing w:after="0" w:line="20" w:lineRule="exact"/>
              <w:rPr>
                <w:sz w:val="1"/>
                <w:szCs w:val="1"/>
                <w:color w:val="auto"/>
              </w:rPr>
            </w:pPr>
          </w:p>
        </w:tc>
        <w:tc>
          <w:tcPr>
            <w:tcW w:w="1820" w:type="dxa"/>
            <w:vAlign w:val="bottom"/>
            <w:tcBorders>
              <w:top w:val="single" w:sz="8" w:color="F0FFFF"/>
              <w:bottom w:val="single" w:sz="8" w:color="F0FFFF"/>
            </w:tcBorders>
            <w:vMerge w:val="restart"/>
          </w:tcPr>
          <w:p>
            <w:pPr>
              <w:jc w:val="right"/>
              <w:ind w:right="430"/>
              <w:spacing w:after="0"/>
              <w:rPr>
                <w:sz w:val="20"/>
                <w:szCs w:val="20"/>
                <w:color w:val="auto"/>
              </w:rPr>
            </w:pPr>
            <w:r>
              <w:rPr>
                <w:rFonts w:ascii="Arial" w:cs="Arial" w:eastAsia="Arial" w:hAnsi="Arial"/>
                <w:sz w:val="18"/>
                <w:szCs w:val="18"/>
                <w:color w:val="auto"/>
              </w:rPr>
              <w:t>99</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40" w:type="dxa"/>
            <w:vAlign w:val="bottom"/>
            <w:tcBorders>
              <w:bottom w:val="single" w:sz="8" w:color="DCDCDC"/>
            </w:tcBorders>
          </w:tcPr>
          <w:p>
            <w:pPr>
              <w:spacing w:after="0"/>
              <w:rPr>
                <w:sz w:val="24"/>
                <w:szCs w:val="24"/>
                <w:color w:val="auto"/>
              </w:rPr>
            </w:pPr>
          </w:p>
        </w:tc>
        <w:tc>
          <w:tcPr>
            <w:tcW w:w="4180" w:type="dxa"/>
            <w:vAlign w:val="bottom"/>
            <w:tcBorders>
              <w:bottom w:val="single" w:sz="8" w:color="DCDCDC"/>
            </w:tcBorders>
          </w:tcPr>
          <w:p>
            <w:pPr>
              <w:spacing w:after="0"/>
              <w:rPr>
                <w:sz w:val="24"/>
                <w:szCs w:val="24"/>
                <w:color w:val="auto"/>
              </w:rPr>
            </w:pPr>
          </w:p>
        </w:tc>
        <w:tc>
          <w:tcPr>
            <w:tcW w:w="1820" w:type="dxa"/>
            <w:vAlign w:val="bottom"/>
            <w:tcBorders>
              <w:bottom w:val="single" w:sz="8" w:color="DCDCDC"/>
            </w:tcBorders>
            <w:vMerge w:val="continue"/>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29" w:lineRule="exact"/>
        <w:rPr>
          <w:rFonts w:ascii="Arial" w:cs="Arial" w:eastAsia="Arial" w:hAnsi="Arial"/>
          <w:sz w:val="18"/>
          <w:szCs w:val="18"/>
          <w:b w:val="1"/>
          <w:bCs w:val="1"/>
          <w:color w:val="auto"/>
        </w:rPr>
      </w:pPr>
    </w:p>
    <w:p>
      <w:pPr>
        <w:ind w:left="3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differences between the provision for income taxes and the amount computed by applying the statutory federal income tax rate of 35% to income before income taxes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shd w:val="clear" w:color="auto" w:fill="F0FFFF"/>
          </w:tcPr>
          <w:p>
            <w:pPr>
              <w:spacing w:after="0"/>
              <w:rPr>
                <w:sz w:val="20"/>
                <w:szCs w:val="20"/>
                <w:color w:val="auto"/>
              </w:rPr>
            </w:pPr>
            <w:r>
              <w:rPr>
                <w:rFonts w:ascii="Arial" w:cs="Arial" w:eastAsia="Arial" w:hAnsi="Arial"/>
                <w:sz w:val="18"/>
                <w:szCs w:val="18"/>
                <w:color w:val="auto"/>
              </w:rPr>
              <w:t>Pretax income at statutory rates</w:t>
            </w:r>
          </w:p>
        </w:tc>
        <w:tc>
          <w:tcPr>
            <w:tcW w:w="1660" w:type="dxa"/>
            <w:vAlign w:val="bottom"/>
            <w:gridSpan w:val="2"/>
            <w:shd w:val="clear" w:color="auto" w:fill="F0FFFF"/>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0"/>
              </w:rPr>
              <w:t>40,255</w:t>
            </w:r>
          </w:p>
        </w:tc>
        <w:tc>
          <w:tcPr>
            <w:tcW w:w="4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37,475</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12,234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Add (deduct):</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State taxes, net of federal benefit</w:t>
            </w:r>
          </w:p>
        </w:tc>
        <w:tc>
          <w:tcPr>
            <w:tcW w:w="7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3,537</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3,365</w:t>
            </w:r>
          </w:p>
        </w:tc>
        <w:tc>
          <w:tcPr>
            <w:tcW w:w="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895</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Bank owned life insurance earnings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(704)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Adjustment to reserve for uncertain tax positions</w:t>
            </w:r>
          </w:p>
        </w:tc>
        <w:tc>
          <w:tcPr>
            <w:tcW w:w="7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6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(426)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Tax-exempt interest revenue</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(714)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Equity compensation</w:t>
            </w:r>
          </w:p>
        </w:tc>
        <w:tc>
          <w:tcPr>
            <w:tcW w:w="7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Transaction costs</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509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Tax credits</w:t>
            </w:r>
          </w:p>
        </w:tc>
        <w:tc>
          <w:tcPr>
            <w:tcW w:w="7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6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(250)</w:t>
            </w:r>
          </w:p>
        </w:tc>
        <w:tc>
          <w:tcPr>
            <w:tcW w:w="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(438)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Change in state statutory tax rate</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340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1"/>
              </w:rPr>
              <w:t>Change in valuation allowance affecting other comprehensive income</w:t>
            </w:r>
          </w:p>
        </w:tc>
        <w:tc>
          <w:tcPr>
            <w:tcW w:w="78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12,174</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tcPr>
          <w:p>
            <w:pPr>
              <w:ind w:left="160"/>
              <w:spacing w:after="0"/>
              <w:rPr>
                <w:sz w:val="20"/>
                <w:szCs w:val="20"/>
                <w:color w:val="auto"/>
              </w:rPr>
            </w:pPr>
            <w:r>
              <w:rPr>
                <w:rFonts w:ascii="Arial" w:cs="Arial" w:eastAsia="Arial" w:hAnsi="Arial"/>
                <w:sz w:val="18"/>
                <w:szCs w:val="18"/>
                <w:color w:val="auto"/>
              </w:rPr>
              <w:t>Increase (decrease) in valuation allowance</w:t>
            </w: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702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(265,440)</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52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6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(676)</w:t>
            </w:r>
          </w:p>
        </w:tc>
        <w:tc>
          <w:tcPr>
            <w:tcW w:w="6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2,552</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220" w:type="dxa"/>
            <w:vAlign w:val="bottom"/>
            <w:tcBorders>
              <w:top w:val="single" w:sz="8" w:color="F0FFFF"/>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52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 income tax expense (benefit)</w:t>
            </w:r>
          </w:p>
        </w:tc>
        <w:tc>
          <w:tcPr>
            <w:tcW w:w="1660" w:type="dxa"/>
            <w:vAlign w:val="bottom"/>
            <w:gridSpan w:val="2"/>
            <w:shd w:val="clear" w:color="auto" w:fill="F0FFFF"/>
          </w:tcPr>
          <w:p>
            <w:pPr>
              <w:jc w:val="right"/>
              <w:ind w:right="70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0"/>
              </w:rPr>
              <w:t>43,436</w:t>
            </w:r>
          </w:p>
        </w:tc>
        <w:tc>
          <w:tcPr>
            <w:tcW w:w="4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39,450</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(238,188)</w:t>
            </w: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20" w:type="dxa"/>
            <w:vAlign w:val="bottom"/>
            <w:tcBorders>
              <w:top w:val="single" w:sz="8" w:color="F0FFFF"/>
            </w:tcBorders>
          </w:tcPr>
          <w:p>
            <w:pPr>
              <w:spacing w:after="0" w:line="20" w:lineRule="exact"/>
              <w:rPr>
                <w:sz w:val="1"/>
                <w:szCs w:val="1"/>
                <w:color w:val="auto"/>
              </w:rPr>
            </w:pPr>
          </w:p>
        </w:tc>
        <w:tc>
          <w:tcPr>
            <w:tcW w:w="780" w:type="dxa"/>
            <w:vAlign w:val="bottom"/>
            <w:tcBorders>
              <w:top w:val="single" w:sz="8" w:color="F0FFFF"/>
              <w:bottom w:val="single" w:sz="8" w:color="F0FFFF"/>
            </w:tcBorders>
            <w:vMerge w:val="restart"/>
          </w:tcPr>
          <w:p>
            <w:pPr>
              <w:jc w:val="right"/>
              <w:ind w:right="390"/>
              <w:spacing w:after="0"/>
              <w:rPr>
                <w:sz w:val="20"/>
                <w:szCs w:val="20"/>
                <w:color w:val="auto"/>
              </w:rPr>
            </w:pPr>
            <w:r>
              <w:rPr>
                <w:rFonts w:ascii="Arial" w:cs="Arial" w:eastAsia="Arial" w:hAnsi="Arial"/>
                <w:sz w:val="18"/>
                <w:szCs w:val="18"/>
                <w:color w:val="auto"/>
                <w:w w:val="93"/>
              </w:rPr>
              <w:t>100</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340" w:type="dxa"/>
            <w:vAlign w:val="bottom"/>
            <w:tcBorders>
              <w:bottom w:val="single" w:sz="8" w:color="DCDCDC"/>
            </w:tcBorders>
          </w:tcPr>
          <w:p>
            <w:pPr>
              <w:spacing w:after="0"/>
              <w:rPr>
                <w:sz w:val="24"/>
                <w:szCs w:val="24"/>
                <w:color w:val="auto"/>
              </w:rPr>
            </w:pPr>
          </w:p>
        </w:tc>
        <w:tc>
          <w:tcPr>
            <w:tcW w:w="522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vMerge w:val="continue"/>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5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29"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summarizes the sources and expected tax consequences of future taxable deductions (revenue) which comprise the net deferred tax asset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60" w:type="dxa"/>
            <w:vAlign w:val="bottom"/>
            <w:tcBorders>
              <w:bottom w:val="single" w:sz="8" w:color="F0FFFF"/>
            </w:tcBorders>
          </w:tcPr>
          <w:p>
            <w:pPr>
              <w:spacing w:after="0"/>
              <w:rPr>
                <w:sz w:val="14"/>
                <w:szCs w:val="14"/>
                <w:color w:val="auto"/>
              </w:rPr>
            </w:pPr>
          </w:p>
        </w:tc>
        <w:tc>
          <w:tcPr>
            <w:tcW w:w="1020" w:type="dxa"/>
            <w:vAlign w:val="bottom"/>
            <w:tcBorders>
              <w:bottom w:val="single" w:sz="8" w:color="F0FF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F0FF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spacing w:after="0"/>
              <w:rPr>
                <w:sz w:val="20"/>
                <w:szCs w:val="20"/>
                <w:color w:val="auto"/>
              </w:rPr>
            </w:pPr>
            <w:r>
              <w:rPr>
                <w:rFonts w:ascii="Arial" w:cs="Arial" w:eastAsia="Arial" w:hAnsi="Arial"/>
                <w:sz w:val="18"/>
                <w:szCs w:val="18"/>
                <w:color w:val="auto"/>
              </w:rPr>
              <w:t>Deferred tax assets:</w:t>
            </w: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25,840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operating loss carryforwards</w:t>
            </w: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155,757</w:t>
            </w: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184,015</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 purchase accounting adjustments</w:t>
            </w: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7,940</w:t>
            </w: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Reserve for losses on foreclosed properties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Nonqualified share based compensation</w:t>
            </w: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3,628</w:t>
            </w: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3,993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3,990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Investment in partnerships</w:t>
            </w: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1,814</w:t>
            </w: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1,856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Unamortized pension actuarial losses and prior service cost</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Acquired intangible assets</w:t>
            </w: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Unrealized losses on securities available-for-sale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Unrealized losses on cash flow hedges</w:t>
            </w: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1,351</w:t>
            </w: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1,977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Derivatives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936</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2,174</w:t>
            </w:r>
          </w:p>
        </w:tc>
        <w:tc>
          <w:tcPr>
            <w:tcW w:w="160" w:type="dxa"/>
            <w:vAlign w:val="bottom"/>
            <w:tcBorders>
              <w:bottom w:val="single" w:sz="8" w:color="F0FFFF"/>
            </w:tcBorders>
            <w:shd w:val="clear" w:color="auto" w:fill="F0FFFF"/>
          </w:tcPr>
          <w:p>
            <w:pPr>
              <w:spacing w:after="0"/>
              <w:rPr>
                <w:sz w:val="20"/>
                <w:szCs w:val="20"/>
                <w:color w:val="auto"/>
              </w:rPr>
            </w:pPr>
          </w:p>
        </w:tc>
        <w:tc>
          <w:tcPr>
            <w:tcW w:w="400" w:type="dxa"/>
            <w:vAlign w:val="bottom"/>
            <w:tcBorders>
              <w:bottom w:val="single" w:sz="8" w:color="auto"/>
            </w:tcBorders>
            <w:shd w:val="clear" w:color="auto" w:fill="F0FFFF"/>
          </w:tcPr>
          <w:p>
            <w:pPr>
              <w:spacing w:after="0"/>
              <w:rPr>
                <w:sz w:val="20"/>
                <w:szCs w:val="20"/>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714</w:t>
            </w: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F0FFFF"/>
            </w:tcBorders>
            <w:shd w:val="clear" w:color="auto" w:fill="F0FFFF"/>
          </w:tcPr>
          <w:p>
            <w:pPr>
              <w:ind w:left="320"/>
              <w:spacing w:after="0"/>
              <w:rPr>
                <w:sz w:val="20"/>
                <w:szCs w:val="20"/>
                <w:color w:val="auto"/>
              </w:rPr>
            </w:pPr>
            <w:r>
              <w:rPr>
                <w:rFonts w:ascii="Arial" w:cs="Arial" w:eastAsia="Arial" w:hAnsi="Arial"/>
                <w:sz w:val="18"/>
                <w:szCs w:val="18"/>
                <w:color w:val="auto"/>
              </w:rPr>
              <w:t>Total deferred tax assets</w:t>
            </w:r>
          </w:p>
        </w:tc>
        <w:tc>
          <w:tcPr>
            <w:tcW w:w="1020" w:type="dxa"/>
            <w:vAlign w:val="bottom"/>
            <w:tcBorders>
              <w:bottom w:val="single" w:sz="8" w:color="F0FFFF"/>
            </w:tcBorders>
            <w:shd w:val="clear" w:color="auto" w:fill="F0FFFF"/>
          </w:tcPr>
          <w:p>
            <w:pPr>
              <w:spacing w:after="0"/>
              <w:rPr>
                <w:sz w:val="20"/>
                <w:szCs w:val="20"/>
                <w:color w:val="auto"/>
              </w:rPr>
            </w:pPr>
          </w:p>
        </w:tc>
        <w:tc>
          <w:tcPr>
            <w:tcW w:w="28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219,276</w:t>
            </w:r>
          </w:p>
        </w:tc>
        <w:tc>
          <w:tcPr>
            <w:tcW w:w="160" w:type="dxa"/>
            <w:vAlign w:val="bottom"/>
            <w:tcBorders>
              <w:bottom w:val="single" w:sz="8" w:color="F0FFFF"/>
            </w:tcBorders>
            <w:shd w:val="clear" w:color="auto" w:fill="F0FFFF"/>
          </w:tcPr>
          <w:p>
            <w:pPr>
              <w:spacing w:after="0"/>
              <w:rPr>
                <w:sz w:val="20"/>
                <w:szCs w:val="20"/>
                <w:color w:val="auto"/>
              </w:rPr>
            </w:pPr>
          </w:p>
        </w:tc>
        <w:tc>
          <w:tcPr>
            <w:tcW w:w="400" w:type="dxa"/>
            <w:vAlign w:val="bottom"/>
            <w:tcBorders>
              <w:bottom w:val="single" w:sz="8" w:color="auto"/>
            </w:tcBorders>
            <w:shd w:val="clear" w:color="auto" w:fill="F0FFFF"/>
          </w:tcPr>
          <w:p>
            <w:pPr>
              <w:spacing w:after="0"/>
              <w:rPr>
                <w:sz w:val="20"/>
                <w:szCs w:val="20"/>
                <w:color w:val="auto"/>
              </w:rPr>
            </w:pPr>
          </w:p>
        </w:tc>
        <w:tc>
          <w:tcPr>
            <w:tcW w:w="8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232,579</w:t>
            </w: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F0FFFF"/>
          </w:tcPr>
          <w:p>
            <w:pPr>
              <w:spacing w:after="0"/>
              <w:rPr>
                <w:sz w:val="20"/>
                <w:szCs w:val="20"/>
                <w:color w:val="auto"/>
              </w:rPr>
            </w:pPr>
            <w:r>
              <w:rPr>
                <w:rFonts w:ascii="Arial" w:cs="Arial" w:eastAsia="Arial" w:hAnsi="Arial"/>
                <w:sz w:val="18"/>
                <w:szCs w:val="18"/>
                <w:color w:val="auto"/>
              </w:rPr>
              <w:t>Deferred tax liabilities:</w:t>
            </w: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Unrealized gains on securities available-for-sale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Acquired intangible assets</w:t>
            </w: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5,034</w:t>
            </w: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398</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 origination costs</w:t>
            </w: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5,030</w:t>
            </w: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4,342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729</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Servicing asset</w:t>
            </w: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2,208</w:t>
            </w: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Borders>
              <w:bottom w:val="single" w:sz="8" w:color="F0FFFF"/>
            </w:tcBorders>
          </w:tcPr>
          <w:p>
            <w:pPr>
              <w:ind w:left="160"/>
              <w:spacing w:after="0"/>
              <w:rPr>
                <w:sz w:val="20"/>
                <w:szCs w:val="20"/>
                <w:color w:val="auto"/>
              </w:rPr>
            </w:pPr>
            <w:r>
              <w:rPr>
                <w:rFonts w:ascii="Arial" w:cs="Arial" w:eastAsia="Arial" w:hAnsi="Arial"/>
                <w:sz w:val="18"/>
                <w:szCs w:val="18"/>
                <w:color w:val="auto"/>
              </w:rPr>
              <w:t>Uncertain tax positions</w:t>
            </w:r>
          </w:p>
        </w:tc>
        <w:tc>
          <w:tcPr>
            <w:tcW w:w="1020" w:type="dxa"/>
            <w:vAlign w:val="bottom"/>
            <w:tcBorders>
              <w:bottom w:val="single" w:sz="8" w:color="F0FF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w:t>
            </w:r>
          </w:p>
        </w:tc>
        <w:tc>
          <w:tcPr>
            <w:tcW w:w="160" w:type="dxa"/>
            <w:vAlign w:val="bottom"/>
            <w:tcBorders>
              <w:bottom w:val="single" w:sz="8" w:color="F0FF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Total deferred tax liabilities</w:t>
            </w:r>
          </w:p>
        </w:tc>
        <w:tc>
          <w:tcPr>
            <w:tcW w:w="10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17,380</w:t>
            </w:r>
          </w:p>
        </w:tc>
        <w:tc>
          <w:tcPr>
            <w:tcW w:w="40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Borders>
              <w:top w:val="single" w:sz="8" w:color="F0FFFF"/>
            </w:tcBorders>
            <w:shd w:val="clear" w:color="auto" w:fill="F0FFFF"/>
          </w:tcPr>
          <w:p>
            <w:pPr>
              <w:spacing w:after="0"/>
              <w:rPr>
                <w:sz w:val="18"/>
                <w:szCs w:val="18"/>
                <w:color w:val="auto"/>
              </w:rPr>
            </w:pPr>
          </w:p>
        </w:tc>
        <w:tc>
          <w:tcPr>
            <w:tcW w:w="10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60" w:type="dxa"/>
            <w:vAlign w:val="bottom"/>
            <w:tcBorders>
              <w:top w:val="single" w:sz="8" w:color="F0FFFF"/>
            </w:tcBorders>
            <w:shd w:val="clear" w:color="auto" w:fill="F0FFFF"/>
          </w:tcPr>
          <w:p>
            <w:pPr>
              <w:spacing w:after="0"/>
              <w:rPr>
                <w:sz w:val="18"/>
                <w:szCs w:val="18"/>
                <w:color w:val="auto"/>
              </w:rPr>
            </w:pPr>
          </w:p>
        </w:tc>
        <w:tc>
          <w:tcPr>
            <w:tcW w:w="4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60" w:type="dxa"/>
            <w:vAlign w:val="bottom"/>
            <w:tcBorders>
              <w:bottom w:val="single" w:sz="8" w:color="F0FFFF"/>
            </w:tcBorders>
          </w:tcPr>
          <w:p>
            <w:pPr>
              <w:spacing w:after="0"/>
              <w:rPr>
                <w:sz w:val="20"/>
                <w:szCs w:val="20"/>
                <w:color w:val="auto"/>
              </w:rPr>
            </w:pPr>
            <w:r>
              <w:rPr>
                <w:rFonts w:ascii="Arial" w:cs="Arial" w:eastAsia="Arial" w:hAnsi="Arial"/>
                <w:sz w:val="18"/>
                <w:szCs w:val="18"/>
                <w:color w:val="auto"/>
              </w:rPr>
              <w:t>Less valuation allowance</w:t>
            </w:r>
          </w:p>
        </w:tc>
        <w:tc>
          <w:tcPr>
            <w:tcW w:w="1020" w:type="dxa"/>
            <w:vAlign w:val="bottom"/>
            <w:tcBorders>
              <w:bottom w:val="single" w:sz="8" w:color="F0FF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4,283</w:t>
            </w:r>
          </w:p>
        </w:tc>
        <w:tc>
          <w:tcPr>
            <w:tcW w:w="160" w:type="dxa"/>
            <w:vAlign w:val="bottom"/>
            <w:tcBorders>
              <w:bottom w:val="single" w:sz="8" w:color="F0FF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80" w:type="dxa"/>
            <w:vAlign w:val="bottom"/>
            <w:tcBorders>
              <w:bottom w:val="single" w:sz="8" w:color="F0FF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320"/>
              <w:spacing w:after="0"/>
              <w:rPr>
                <w:sz w:val="20"/>
                <w:szCs w:val="20"/>
                <w:color w:val="auto"/>
              </w:rPr>
            </w:pPr>
            <w:r>
              <w:rPr>
                <w:rFonts w:ascii="Arial" w:cs="Arial" w:eastAsia="Arial" w:hAnsi="Arial"/>
                <w:sz w:val="18"/>
                <w:szCs w:val="18"/>
                <w:color w:val="auto"/>
              </w:rPr>
              <w:t>Net deferred tax asset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197,613</w:t>
            </w:r>
          </w:p>
        </w:tc>
        <w:tc>
          <w:tcPr>
            <w:tcW w:w="16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215,503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the net deferred tax asset includes an increase of $16.5 million due to current year merger and acquisition activity.</w:t>
      </w:r>
    </w:p>
    <w:p>
      <w:pPr>
        <w:spacing w:after="0" w:line="22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At December 31, 2015, United has state net operating loss carryforwards of approximately $4.58 million that begin to expire in 2018, $16.9 million that begin to expire in 2025, approximately $464 million that begin to expire in 2029, and $52.2 million that begin to expire in 2030, if not previously utilized. United has $315 million in federal net operating loss carryforwards that begin to expire in 2030, if not previously utilized. United has $27.5 million in federal net operating loss carryforwards subject to annual limitation under IRC Section 382 that begin to expire in 2029, if not previously utilized. United has $3.01 million of federal general business tax credits that begin to expire in 2028, if not previously utilized. United has $7.42 million of federal alternative minimum tax credits which have no expiration date. United has $2.04 million of federal alternative minimum tax credits subject to annual limitation under IRC Section 382 which have no expiration date. United has $6.81 million of state tax credits that begin to expire in 2016, if not previously utilized.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29" w:lineRule="exact"/>
        <w:rPr>
          <w:rFonts w:ascii="Arial" w:cs="Arial" w:eastAsia="Arial" w:hAnsi="Arial"/>
          <w:sz w:val="18"/>
          <w:szCs w:val="18"/>
          <w:b w:val="1"/>
          <w:bCs w:val="1"/>
          <w:color w:val="auto"/>
        </w:rPr>
      </w:pPr>
    </w:p>
    <w:p>
      <w:pPr>
        <w:jc w:val="both"/>
        <w:ind w:lef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Management assesses the valuation allowance recorded against deferred tax assets at each reporting period. The determination of whether a valuation allowance for deferred tax assets is appropriate is subject to considerable judgment and requires an evaluation of all the positive and negative evidence.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w:t>
      </w:r>
    </w:p>
    <w:p>
      <w:pPr>
        <w:spacing w:after="0" w:line="171"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In the second quarter of 2013, United reversed $272 million of its valuation on its net deferred tax asset. United established a full valuation allowance on its deferred tax asset in 2010 due to the realization of significant losses and uncertainty about United’s future earnings forecasts.</w:t>
      </w:r>
    </w:p>
    <w:p>
      <w:pPr>
        <w:spacing w:after="0" w:line="146"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December 31, 2015 and 2014, based on the assessment of all the positive and negative evidence, management concluded that it is more likely than not that nearly all of the net deferred tax asset will be realized based upon future taxable income. The valuation allowance of $4.28 million is related to specific state income tax credits that have short carryforward periods and an acquired state net operating loss, both of which are expected to expire unused.</w:t>
      </w:r>
    </w:p>
    <w:p>
      <w:pPr>
        <w:spacing w:after="0" w:line="186" w:lineRule="exact"/>
        <w:rPr>
          <w:rFonts w:ascii="Arial" w:cs="Arial" w:eastAsia="Arial" w:hAnsi="Arial"/>
          <w:sz w:val="18"/>
          <w:szCs w:val="18"/>
          <w:b w:val="1"/>
          <w:bCs w:val="1"/>
          <w:color w:val="auto"/>
        </w:rPr>
      </w:pPr>
    </w:p>
    <w:p>
      <w:pPr>
        <w:jc w:val="both"/>
        <w:ind w:left="3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valuation allowance could fluctuate in future periods based on the assessment of the positive and negative evidence. Management’s conclusion at December 31, 2015 that it was more likely than not that the net deferred tax asset of $198 million will be realized is based on management’s estimate of future taxable income. Management’s estimate of future taxable income is based on internal forecasts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the deferred tax asset. Such an increase to the deferred tax asset valuation allowance could have a material adverse effect on United’s financial condition and results of operations.</w:t>
      </w:r>
    </w:p>
    <w:p>
      <w:pPr>
        <w:spacing w:after="0" w:line="16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reconciliation of the beginning and ending unrecognized tax benefit related to uncertain tax positions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6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8"/>
                <w:szCs w:val="18"/>
                <w:color w:val="auto"/>
              </w:rPr>
              <w:t>Balance at beginning of year</w:t>
            </w:r>
          </w:p>
        </w:tc>
        <w:tc>
          <w:tcPr>
            <w:tcW w:w="1220" w:type="dxa"/>
            <w:vAlign w:val="bottom"/>
            <w:gridSpan w:val="2"/>
            <w:shd w:val="clear" w:color="auto" w:fill="F0FFFF"/>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4,195</w:t>
            </w:r>
          </w:p>
        </w:tc>
        <w:tc>
          <w:tcPr>
            <w:tcW w:w="940" w:type="dxa"/>
            <w:vAlign w:val="bottom"/>
            <w:gridSpan w:val="2"/>
            <w:shd w:val="clear" w:color="auto" w:fill="F0FFFF"/>
          </w:tcPr>
          <w:p>
            <w:pPr>
              <w:jc w:val="right"/>
              <w:ind w:right="7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7"/>
              </w:rPr>
              <w:t>4,503</w:t>
            </w:r>
          </w:p>
        </w:tc>
        <w:tc>
          <w:tcPr>
            <w:tcW w:w="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374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8"/>
                <w:szCs w:val="18"/>
                <w:color w:val="auto"/>
                <w:w w:val="95"/>
              </w:rPr>
              <w:t>Decreases resulting from a lapse in the applicable statute of limitations</w:t>
            </w:r>
          </w:p>
        </w:tc>
        <w:tc>
          <w:tcPr>
            <w:tcW w:w="34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6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(585)</w:t>
            </w:r>
          </w:p>
        </w:tc>
        <w:tc>
          <w:tcPr>
            <w:tcW w:w="60" w:type="dxa"/>
            <w:vAlign w:val="bottom"/>
            <w:shd w:val="clear" w:color="auto" w:fill="F0FFFF"/>
          </w:tcPr>
          <w:p>
            <w:pPr>
              <w:spacing w:after="0"/>
              <w:rPr>
                <w:sz w:val="20"/>
                <w:szCs w:val="20"/>
                <w:color w:val="auto"/>
              </w:rPr>
            </w:pPr>
          </w:p>
        </w:tc>
        <w:tc>
          <w:tcPr>
            <w:tcW w:w="880" w:type="dxa"/>
            <w:vAlign w:val="bottom"/>
            <w:shd w:val="clear" w:color="auto" w:fill="F0FFFF"/>
          </w:tcPr>
          <w:p>
            <w:pPr>
              <w:spacing w:after="0"/>
              <w:rPr>
                <w:sz w:val="20"/>
                <w:szCs w:val="20"/>
                <w:color w:val="auto"/>
              </w:rPr>
            </w:pPr>
          </w:p>
        </w:tc>
        <w:tc>
          <w:tcPr>
            <w:tcW w:w="5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(682)</w:t>
            </w:r>
          </w:p>
        </w:tc>
        <w:tc>
          <w:tcPr>
            <w:tcW w:w="60" w:type="dxa"/>
            <w:vAlign w:val="bottom"/>
            <w:shd w:val="clear" w:color="auto" w:fill="F0FFFF"/>
          </w:tcPr>
          <w:p>
            <w:pPr>
              <w:spacing w:after="0"/>
              <w:rPr>
                <w:sz w:val="20"/>
                <w:szCs w:val="20"/>
                <w:color w:val="auto"/>
              </w:rPr>
            </w:pPr>
          </w:p>
        </w:tc>
        <w:tc>
          <w:tcPr>
            <w:tcW w:w="30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00" w:type="dxa"/>
            <w:vAlign w:val="bottom"/>
            <w:tcBorders>
              <w:top w:val="single" w:sz="8" w:color="F0FFFF"/>
            </w:tcBorders>
          </w:tcPr>
          <w:p>
            <w:pPr>
              <w:spacing w:after="0"/>
              <w:rPr>
                <w:sz w:val="18"/>
                <w:szCs w:val="18"/>
                <w:color w:val="auto"/>
              </w:rPr>
            </w:pPr>
          </w:p>
        </w:tc>
        <w:tc>
          <w:tcPr>
            <w:tcW w:w="340" w:type="dxa"/>
            <w:vAlign w:val="bottom"/>
            <w:tcBorders>
              <w:top w:val="single" w:sz="8" w:color="F0FF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vMerge w:val="continue"/>
          </w:tcPr>
          <w:p>
            <w:pPr>
              <w:spacing w:after="0"/>
              <w:rPr>
                <w:sz w:val="22"/>
                <w:szCs w:val="22"/>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8"/>
                <w:szCs w:val="18"/>
                <w:color w:val="auto"/>
              </w:rPr>
              <w:t>Balance at end of year</w:t>
            </w:r>
          </w:p>
        </w:tc>
        <w:tc>
          <w:tcPr>
            <w:tcW w:w="1220" w:type="dxa"/>
            <w:vAlign w:val="bottom"/>
            <w:gridSpan w:val="2"/>
            <w:shd w:val="clear" w:color="auto" w:fill="F0FFFF"/>
          </w:tcPr>
          <w:p>
            <w:pPr>
              <w:jc w:val="right"/>
              <w:ind w:right="7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3,981</w:t>
            </w:r>
          </w:p>
        </w:tc>
        <w:tc>
          <w:tcPr>
            <w:tcW w:w="940" w:type="dxa"/>
            <w:vAlign w:val="bottom"/>
            <w:gridSpan w:val="2"/>
            <w:shd w:val="clear" w:color="auto" w:fill="F0FFFF"/>
          </w:tcPr>
          <w:p>
            <w:pPr>
              <w:jc w:val="right"/>
              <w:ind w:right="7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w w:val="97"/>
              </w:rPr>
              <w:t>4,195</w:t>
            </w:r>
          </w:p>
        </w:tc>
        <w:tc>
          <w:tcPr>
            <w:tcW w:w="3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F0FFFF"/>
            </w:tcBorders>
          </w:tcPr>
          <w:p>
            <w:pPr>
              <w:spacing w:after="0" w:line="20" w:lineRule="exact"/>
              <w:rPr>
                <w:sz w:val="1"/>
                <w:szCs w:val="1"/>
                <w:color w:val="auto"/>
              </w:rPr>
            </w:pPr>
          </w:p>
        </w:tc>
        <w:tc>
          <w:tcPr>
            <w:tcW w:w="34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Approximately $3.3 million of this amount would increase income from continuing operations, and thus affect United’s effective tax rate, if ultimately recognized into income.</w:t>
      </w:r>
    </w:p>
    <w:p>
      <w:pPr>
        <w:spacing w:after="0" w:line="170"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It is United’s policy to recognize interest and penalties accrued relative to unrecognized tax benefits in their respective federal or state income taxes accounts. In 2013, United reversed $59,000 in previously recorded penalties and interest as a result of statute expiration on affected returns, settlement with a state taxing authority and a change in estimate relating to prior year tax positions. No previously recorded penalties and interest were reversed in 2015 or 2014. No amounts were accrued for interest and penalties at December 31, 2015 or 2014.</w:t>
      </w:r>
    </w:p>
    <w:p>
      <w:pPr>
        <w:spacing w:after="0" w:line="171" w:lineRule="exact"/>
        <w:rPr>
          <w:sz w:val="20"/>
          <w:szCs w:val="20"/>
          <w:color w:val="auto"/>
        </w:rPr>
      </w:pPr>
    </w:p>
    <w:p>
      <w:pPr>
        <w:jc w:val="both"/>
        <w:ind w:left="340"/>
        <w:spacing w:after="0" w:line="308" w:lineRule="auto"/>
        <w:rPr>
          <w:sz w:val="20"/>
          <w:szCs w:val="20"/>
          <w:color w:val="auto"/>
        </w:rPr>
      </w:pPr>
      <w:r>
        <w:rPr>
          <w:rFonts w:ascii="Arial" w:cs="Arial" w:eastAsia="Arial" w:hAnsi="Arial"/>
          <w:sz w:val="17"/>
          <w:szCs w:val="17"/>
          <w:color w:val="auto"/>
        </w:rPr>
        <w:t>United and its subsidiaries file a consolidated U.S. federal income tax return, as well as file various returns in the states where its banking offices are located. United’s federal and state income tax returns are no longer subject to examination by taxing authorities for years before 2012.</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Employee Benefit Plans</w:t>
      </w:r>
    </w:p>
    <w:p>
      <w:pPr>
        <w:spacing w:after="0" w:line="229" w:lineRule="exact"/>
        <w:rPr>
          <w:rFonts w:ascii="Arial" w:cs="Arial" w:eastAsia="Arial" w:hAnsi="Arial"/>
          <w:sz w:val="18"/>
          <w:szCs w:val="18"/>
          <w:b w:val="1"/>
          <w:bCs w:val="1"/>
          <w:color w:val="auto"/>
        </w:rPr>
      </w:pP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United offers a defined contribution 401(k) and Profit Sharing Plan (the “401(k) Plan”) that covers substantially all employees meeting certain minimum service requirements. The Plan allows employees to make pre-tax contributions to the 401(k) Plan and United matches these employee contributions up to 5% of eligible compensation, subject to Plan and regulatory limits. Employees begin to receive matching contributions after completing one year of service and benefits vest after three years of service. United’s Plan is administered in accordance with applicable laws and regulations. Effective April 1, 2012, the matching contribution was 50% of employee contributions up to 5% of eligible compensation. Compensation expense from continuing operations related to the 401(k) Plan totaled $1.45 million, $1.20 million and $1.24 million in 2015, 2014 and 2013, respectively. The 401(k) Plan allows employees to choose to invest among a number of investment options, that previously included United’s common stock. Effective January 1, 2015, United’s common stock was no longer offered as an investment option for new contributions. During 2014 and 2013, the 401(k) Plan purchased 17,373 and 48,996 common shares, respectively, directly from United at the average of the high and low stock price on the date of purchase.</w:t>
      </w:r>
    </w:p>
    <w:p>
      <w:pPr>
        <w:spacing w:after="0" w:line="166" w:lineRule="exact"/>
        <w:rPr>
          <w:rFonts w:ascii="Arial" w:cs="Arial" w:eastAsia="Arial" w:hAnsi="Arial"/>
          <w:sz w:val="18"/>
          <w:szCs w:val="18"/>
          <w:b w:val="1"/>
          <w:bCs w:val="1"/>
          <w:color w:val="auto"/>
        </w:rPr>
      </w:pPr>
    </w:p>
    <w:p>
      <w:pPr>
        <w:jc w:val="both"/>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United sponsors a non-qualified deferred compensation plan for its executive officers, certain other key employees and members of United’s Board of Directors and its community banks’ advisory boards of directors. The deferred compensation plan provides for the pre-tax deferral of compensation, fees and other specified benefits. The deferred compensation plan also permits each employee participant to elect to defer a portion of his or her base salary, bonus or vested restricted stock units and permits each director participant to elect to defer all or a portion of his or her director’s fees. Further, the deferred compensation plan allows for additional contributions by an employee, with matching contributions by United, for amounts that exceed the allowable amounts under the 401(k) Plan. During 2015, 2014 and 2013, United recognized $21,000, $24,000 and $24,000, respectively, in matching contributions for this provision of the deferred compensation plan. The Board of Directors may also elect to make a discretionary contribution to any or all participants. The Board of Directors elected to make a discretionary contribution of 25,000 shares of United’s common stock in 2013 to the deferred compensation plan. No discretionary contributions were made in 2015 or 2014.</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Defined Benefit Pension Plans</w:t>
      </w:r>
    </w:p>
    <w:p>
      <w:pPr>
        <w:spacing w:after="0" w:line="229"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 has an unfunded noncontributory defined benefit pension plan (“Modified Retirement Plan”) that covers certain executive officers and other key employees. The Modified Retirement Plan provides a fixed annual retirement benefit to plan participants.</w:t>
      </w:r>
    </w:p>
    <w:p>
      <w:pPr>
        <w:spacing w:after="0" w:line="170"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United acquired Palmetto on September 1, 2015, including its funded noncontributory defined benefit pension plan (“Funded Plan”), which covers all full-time Palmetto teammates who had fulfilled at least 12 months of continuous service and attained age 21 by December 31, 2007. Benefits under the Funded Plan are no longer accrued for service subsequent to 2007.</w:t>
      </w:r>
    </w:p>
    <w:p>
      <w:pPr>
        <w:spacing w:after="0" w:line="18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Weighted-average assumptions used to determine pension benefit obligations at year end and net periodic pension cost are shown in the table below:</w:t>
      </w:r>
    </w:p>
    <w:p>
      <w:pPr>
        <w:spacing w:after="0" w:line="253"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8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800" w:type="dxa"/>
            <w:vAlign w:val="bottom"/>
            <w:gridSpan w:val="3"/>
          </w:tcPr>
          <w:p>
            <w:pPr>
              <w:jc w:val="center"/>
              <w:ind w:right="480"/>
              <w:spacing w:after="0" w:line="126" w:lineRule="exact"/>
              <w:rPr>
                <w:sz w:val="20"/>
                <w:szCs w:val="20"/>
                <w:color w:val="auto"/>
              </w:rPr>
            </w:pPr>
            <w:r>
              <w:rPr>
                <w:rFonts w:ascii="Arial" w:cs="Arial" w:eastAsia="Arial" w:hAnsi="Arial"/>
                <w:sz w:val="14"/>
                <w:szCs w:val="14"/>
                <w:b w:val="1"/>
                <w:bCs w:val="1"/>
                <w:color w:val="auto"/>
                <w:w w:val="97"/>
              </w:rPr>
              <w:t>Modified</w:t>
            </w:r>
          </w:p>
        </w:tc>
        <w:tc>
          <w:tcPr>
            <w:tcW w:w="13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Funded</w:t>
            </w:r>
          </w:p>
        </w:tc>
        <w:tc>
          <w:tcPr>
            <w:tcW w:w="134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7"/>
              </w:rPr>
              <w:t>Modified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8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Retirement</w:t>
            </w:r>
          </w:p>
        </w:tc>
        <w:tc>
          <w:tcPr>
            <w:tcW w:w="1380" w:type="dxa"/>
            <w:vAlign w:val="bottom"/>
            <w:gridSpan w:val="2"/>
            <w:vMerge w:val="continue"/>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Retirement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40" w:type="dxa"/>
            <w:vAlign w:val="bottom"/>
            <w:tcBorders>
              <w:bottom w:val="single" w:sz="8" w:color="F0FF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240" w:type="dxa"/>
            <w:vAlign w:val="bottom"/>
            <w:tcBorders>
              <w:bottom w:val="single" w:sz="8" w:color="F0FF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Plan</w:t>
            </w:r>
          </w:p>
        </w:tc>
        <w:tc>
          <w:tcPr>
            <w:tcW w:w="260" w:type="dxa"/>
            <w:vAlign w:val="bottom"/>
            <w:tcBorders>
              <w:bottom w:val="single" w:sz="8" w:color="F0FFFF"/>
            </w:tcBorders>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160" w:type="dxa"/>
            <w:vAlign w:val="bottom"/>
            <w:tcBorders>
              <w:bottom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Discount rate for disclosures</w:t>
            </w:r>
          </w:p>
        </w:tc>
        <w:tc>
          <w:tcPr>
            <w:tcW w:w="15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4.53%</w:t>
            </w:r>
          </w:p>
        </w:tc>
        <w:tc>
          <w:tcPr>
            <w:tcW w:w="15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Discount rate for net periodic benefit cost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4.50%</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Expected long-term rate of return</w:t>
            </w:r>
          </w:p>
        </w:tc>
        <w:tc>
          <w:tcPr>
            <w:tcW w:w="1800" w:type="dxa"/>
            <w:vAlign w:val="bottom"/>
            <w:gridSpan w:val="3"/>
            <w:shd w:val="clear" w:color="auto" w:fill="F0FFFF"/>
          </w:tcPr>
          <w:p>
            <w:pPr>
              <w:ind w:left="1020"/>
              <w:spacing w:after="0"/>
              <w:rPr>
                <w:sz w:val="20"/>
                <w:szCs w:val="20"/>
                <w:color w:val="auto"/>
              </w:rPr>
            </w:pPr>
            <w:r>
              <w:rPr>
                <w:rFonts w:ascii="Arial" w:cs="Arial" w:eastAsia="Arial" w:hAnsi="Arial"/>
                <w:sz w:val="18"/>
                <w:szCs w:val="18"/>
                <w:color w:val="auto"/>
              </w:rPr>
              <w:t>N/A</w:t>
            </w:r>
          </w:p>
        </w:tc>
        <w:tc>
          <w:tcPr>
            <w:tcW w:w="1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6.30%</w:t>
            </w:r>
          </w:p>
        </w:tc>
        <w:tc>
          <w:tcPr>
            <w:tcW w:w="15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800" w:type="dxa"/>
            <w:vAlign w:val="bottom"/>
            <w:gridSpan w:val="3"/>
          </w:tcPr>
          <w:p>
            <w:pPr>
              <w:ind w:left="1020"/>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F0FFFF"/>
          </w:tcPr>
          <w:p>
            <w:pPr>
              <w:spacing w:after="0"/>
              <w:rPr>
                <w:sz w:val="20"/>
                <w:szCs w:val="20"/>
                <w:color w:val="auto"/>
              </w:rPr>
            </w:pPr>
            <w:r>
              <w:rPr>
                <w:rFonts w:ascii="Arial" w:cs="Arial" w:eastAsia="Arial" w:hAnsi="Arial"/>
                <w:sz w:val="18"/>
                <w:szCs w:val="18"/>
                <w:color w:val="auto"/>
              </w:rPr>
              <w:t>Measurement date</w:t>
            </w:r>
          </w:p>
        </w:tc>
        <w:tc>
          <w:tcPr>
            <w:tcW w:w="1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12/31/2015</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12/31/2015</w:t>
            </w:r>
          </w:p>
        </w:tc>
        <w:tc>
          <w:tcPr>
            <w:tcW w:w="260" w:type="dxa"/>
            <w:vAlign w:val="bottom"/>
            <w:shd w:val="clear" w:color="auto" w:fill="F0FFFF"/>
          </w:tcPr>
          <w:p>
            <w:pPr>
              <w:spacing w:after="0"/>
              <w:rPr>
                <w:sz w:val="18"/>
                <w:szCs w:val="18"/>
                <w:color w:val="auto"/>
              </w:rPr>
            </w:pPr>
          </w:p>
        </w:tc>
        <w:tc>
          <w:tcPr>
            <w:tcW w:w="1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12/31/2014</w:t>
            </w: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discount rate is determined in consultation with the third-party actuary and is set by matching the projected benefit cash flow to a notional yield curve consisting of bonds monitored by the third-party actuary. The yield curve provides transparency with respect to the underlying bonds and provides matching of future benefit obligations to the payment of benefits.</w:t>
      </w:r>
    </w:p>
    <w:p>
      <w:pPr>
        <w:spacing w:after="0" w:line="18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The expected long-term rate of return is designed to approximate the actual long-term rate of return over time. Therefore, the pattern of income / expense recognition should match the stable pattern of services provided by teammates over the life of the pension obligation. Expected returns on plan assets are developed in conjunction with input from external advisors and take into account the investment policy, actual investment allocation, long-term expected rates of return on the relevant asset classes and considers any material forward-looking return expectations for these major asset classes.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7440" w:hanging="332"/>
        <w:spacing w:after="0" w:line="604" w:lineRule="auto"/>
        <w:tabs>
          <w:tab w:leader="none" w:pos="340"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Pension and Employee Benefit Plans, continued </w:t>
      </w:r>
      <w:r>
        <w:rPr>
          <w:rFonts w:ascii="Arial" w:cs="Arial" w:eastAsia="Arial" w:hAnsi="Arial"/>
          <w:sz w:val="15"/>
          <w:szCs w:val="15"/>
          <w:b w:val="1"/>
          <w:bCs w:val="1"/>
          <w:u w:val="single" w:color="auto"/>
          <w:color w:val="auto"/>
        </w:rPr>
        <w:t>Defined Benefit Pension Plans, continued</w:t>
      </w:r>
    </w:p>
    <w:p>
      <w:pPr>
        <w:ind w:left="34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 xml:space="preserve">United recognizes the underfunded status of the plans as a liability in the consolidated balance sheet. Information about changes in obligations and plan assets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2015</w:t>
            </w: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center"/>
              <w:ind w:right="340"/>
              <w:spacing w:after="0" w:line="126" w:lineRule="exact"/>
              <w:rPr>
                <w:sz w:val="20"/>
                <w:szCs w:val="20"/>
                <w:color w:val="auto"/>
              </w:rPr>
            </w:pPr>
            <w:r>
              <w:rPr>
                <w:rFonts w:ascii="Arial" w:cs="Arial" w:eastAsia="Arial" w:hAnsi="Arial"/>
                <w:sz w:val="14"/>
                <w:szCs w:val="14"/>
                <w:b w:val="1"/>
                <w:bCs w:val="1"/>
                <w:color w:val="auto"/>
                <w:w w:val="97"/>
              </w:rPr>
              <w:t>Modified</w:t>
            </w:r>
          </w:p>
        </w:tc>
        <w:tc>
          <w:tcPr>
            <w:tcW w:w="220" w:type="dxa"/>
            <w:vAlign w:val="bottom"/>
          </w:tcPr>
          <w:p>
            <w:pPr>
              <w:spacing w:after="0"/>
              <w:rPr>
                <w:sz w:val="10"/>
                <w:szCs w:val="10"/>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Funded</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jc w:val="center"/>
              <w:ind w:right="94"/>
              <w:spacing w:after="0" w:line="126" w:lineRule="exact"/>
              <w:rPr>
                <w:sz w:val="20"/>
                <w:szCs w:val="20"/>
                <w:color w:val="auto"/>
              </w:rPr>
            </w:pPr>
            <w:r>
              <w:rPr>
                <w:rFonts w:ascii="Arial" w:cs="Arial" w:eastAsia="Arial" w:hAnsi="Arial"/>
                <w:sz w:val="14"/>
                <w:szCs w:val="14"/>
                <w:b w:val="1"/>
                <w:bCs w:val="1"/>
                <w:color w:val="auto"/>
                <w:w w:val="97"/>
              </w:rPr>
              <w:t>Modified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Retirement</w:t>
            </w: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Retirement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Plan</w:t>
            </w:r>
          </w:p>
        </w:tc>
        <w:tc>
          <w:tcPr>
            <w:tcW w:w="220" w:type="dxa"/>
            <w:vAlign w:val="bottom"/>
          </w:tcPr>
          <w:p>
            <w:pPr>
              <w:spacing w:after="0"/>
              <w:rPr>
                <w:sz w:val="15"/>
                <w:szCs w:val="15"/>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Plan</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Accumulated benefit obligation:</w:t>
            </w:r>
          </w:p>
        </w:tc>
        <w:tc>
          <w:tcPr>
            <w:tcW w:w="18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Accumulated benefit obligation - beginning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15,869</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Business combinations</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19,620</w:t>
            </w: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Service cost</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628</w:t>
            </w: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292</w:t>
            </w: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Plan amendments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1,353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Actuarial (gains) losses</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136</w:t>
            </w: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(802)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tcPr>
          <w:p>
            <w:pPr>
              <w:ind w:left="320"/>
              <w:spacing w:after="0"/>
              <w:rPr>
                <w:sz w:val="20"/>
                <w:szCs w:val="20"/>
                <w:color w:val="auto"/>
              </w:rPr>
            </w:pPr>
            <w:r>
              <w:rPr>
                <w:rFonts w:ascii="Arial" w:cs="Arial" w:eastAsia="Arial" w:hAnsi="Arial"/>
                <w:sz w:val="18"/>
                <w:szCs w:val="18"/>
                <w:color w:val="auto"/>
              </w:rPr>
              <w:t>Accumulated benefit obligation - end of year</w:t>
            </w:r>
          </w:p>
        </w:tc>
        <w:tc>
          <w:tcPr>
            <w:tcW w:w="18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17,595</w:t>
            </w:r>
          </w:p>
        </w:tc>
        <w:tc>
          <w:tcPr>
            <w:tcW w:w="22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19,246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18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4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Change in plan assets, at fair value:</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Beginning plan assets</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Business combinations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18,028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Actual return</w:t>
            </w:r>
          </w:p>
        </w:tc>
        <w:tc>
          <w:tcPr>
            <w:tcW w:w="18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60"/>
              <w:spacing w:after="0"/>
              <w:rPr>
                <w:sz w:val="20"/>
                <w:szCs w:val="20"/>
                <w:color w:val="auto"/>
              </w:rPr>
            </w:pPr>
            <w:r>
              <w:rPr>
                <w:rFonts w:ascii="Arial" w:cs="Arial" w:eastAsia="Arial" w:hAnsi="Arial"/>
                <w:sz w:val="18"/>
                <w:szCs w:val="18"/>
                <w:color w:val="auto"/>
              </w:rPr>
              <w:t>Employer contribution</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(334)</w:t>
            </w:r>
          </w:p>
        </w:tc>
        <w:tc>
          <w:tcPr>
            <w:tcW w:w="22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(802)</w:t>
            </w:r>
          </w:p>
        </w:tc>
        <w:tc>
          <w:tcPr>
            <w:tcW w:w="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Plan assets - end of year</w:t>
            </w:r>
          </w:p>
        </w:tc>
        <w:tc>
          <w:tcPr>
            <w:tcW w:w="18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17,315</w:t>
            </w:r>
          </w:p>
        </w:tc>
        <w:tc>
          <w:tcPr>
            <w:tcW w:w="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00" w:type="dxa"/>
            <w:vAlign w:val="bottom"/>
            <w:shd w:val="clear" w:color="auto" w:fill="F0FFFF"/>
          </w:tcPr>
          <w:p>
            <w:pPr>
              <w:ind w:left="320"/>
              <w:spacing w:after="0"/>
              <w:rPr>
                <w:sz w:val="20"/>
                <w:szCs w:val="20"/>
                <w:color w:val="auto"/>
              </w:rPr>
            </w:pPr>
            <w:r>
              <w:rPr>
                <w:rFonts w:ascii="Arial" w:cs="Arial" w:eastAsia="Arial" w:hAnsi="Arial"/>
                <w:sz w:val="18"/>
                <w:szCs w:val="18"/>
                <w:color w:val="auto"/>
                <w:w w:val="92"/>
              </w:rPr>
              <w:t>Funded status - end of year (plan assets less benefit obligations)</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(17,595)</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(1,931)</w:t>
            </w:r>
          </w:p>
        </w:tc>
        <w:tc>
          <w:tcPr>
            <w:tcW w:w="2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(15,869)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Components of net periodic benefit cost and other amounts recognized in other comprehensive income </w:t>
      </w: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8"/>
        </w:trPr>
        <w:tc>
          <w:tcPr>
            <w:tcW w:w="3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2015</w:t>
            </w: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7"/>
              </w:rPr>
              <w:t>Modified</w:t>
            </w:r>
          </w:p>
        </w:tc>
        <w:tc>
          <w:tcPr>
            <w:tcW w:w="180" w:type="dxa"/>
            <w:vAlign w:val="bottom"/>
          </w:tcPr>
          <w:p>
            <w:pPr>
              <w:spacing w:after="0"/>
              <w:rPr>
                <w:sz w:val="10"/>
                <w:szCs w:val="10"/>
                <w:color w:val="auto"/>
              </w:rPr>
            </w:pPr>
          </w:p>
        </w:tc>
        <w:tc>
          <w:tcPr>
            <w:tcW w:w="1140" w:type="dxa"/>
            <w:vAlign w:val="bottom"/>
            <w:gridSpan w:val="3"/>
            <w:vMerge w:val="restart"/>
          </w:tcPr>
          <w:p>
            <w:pPr>
              <w:jc w:val="right"/>
              <w:ind w:right="470"/>
              <w:spacing w:after="0"/>
              <w:rPr>
                <w:sz w:val="20"/>
                <w:szCs w:val="20"/>
                <w:color w:val="auto"/>
              </w:rPr>
            </w:pPr>
            <w:r>
              <w:rPr>
                <w:rFonts w:ascii="Arial" w:cs="Arial" w:eastAsia="Arial" w:hAnsi="Arial"/>
                <w:sz w:val="14"/>
                <w:szCs w:val="14"/>
                <w:b w:val="1"/>
                <w:bCs w:val="1"/>
                <w:color w:val="auto"/>
              </w:rPr>
              <w:t>Funded</w:t>
            </w:r>
          </w:p>
        </w:tc>
        <w:tc>
          <w:tcPr>
            <w:tcW w:w="900" w:type="dxa"/>
            <w:vAlign w:val="bottom"/>
          </w:tcPr>
          <w:p>
            <w:pPr>
              <w:jc w:val="center"/>
              <w:ind w:right="57"/>
              <w:spacing w:after="0" w:line="126" w:lineRule="exact"/>
              <w:rPr>
                <w:sz w:val="20"/>
                <w:szCs w:val="20"/>
                <w:color w:val="auto"/>
              </w:rPr>
            </w:pPr>
            <w:r>
              <w:rPr>
                <w:rFonts w:ascii="Arial" w:cs="Arial" w:eastAsia="Arial" w:hAnsi="Arial"/>
                <w:sz w:val="14"/>
                <w:szCs w:val="14"/>
                <w:b w:val="1"/>
                <w:bCs w:val="1"/>
                <w:color w:val="auto"/>
                <w:w w:val="97"/>
              </w:rPr>
              <w:t>Modified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37"/>
              <w:spacing w:after="0" w:line="126" w:lineRule="exact"/>
              <w:rPr>
                <w:sz w:val="20"/>
                <w:szCs w:val="20"/>
                <w:color w:val="auto"/>
              </w:rPr>
            </w:pPr>
            <w:r>
              <w:rPr>
                <w:rFonts w:ascii="Arial" w:cs="Arial" w:eastAsia="Arial" w:hAnsi="Arial"/>
                <w:sz w:val="14"/>
                <w:szCs w:val="14"/>
                <w:b w:val="1"/>
                <w:bCs w:val="1"/>
                <w:color w:val="auto"/>
                <w:w w:val="97"/>
              </w:rPr>
              <w:t>Modified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Retirement</w:t>
            </w:r>
          </w:p>
        </w:tc>
        <w:tc>
          <w:tcPr>
            <w:tcW w:w="18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Retirement</w:t>
            </w:r>
          </w:p>
        </w:tc>
        <w:tc>
          <w:tcPr>
            <w:tcW w:w="12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Retirement</w:t>
            </w:r>
          </w:p>
        </w:tc>
        <w:tc>
          <w:tcPr>
            <w:tcW w:w="0" w:type="dxa"/>
            <w:vAlign w:val="bottom"/>
          </w:tcPr>
          <w:p>
            <w:pPr>
              <w:spacing w:after="0"/>
              <w:rPr>
                <w:sz w:val="1"/>
                <w:szCs w:val="1"/>
                <w:color w:val="auto"/>
              </w:rPr>
            </w:pPr>
          </w:p>
        </w:tc>
      </w:tr>
      <w:tr>
        <w:trPr>
          <w:trHeight w:val="178"/>
        </w:trPr>
        <w:tc>
          <w:tcPr>
            <w:tcW w:w="3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Plan</w:t>
            </w:r>
          </w:p>
        </w:tc>
        <w:tc>
          <w:tcPr>
            <w:tcW w:w="180" w:type="dxa"/>
            <w:vAlign w:val="bottom"/>
          </w:tcPr>
          <w:p>
            <w:pPr>
              <w:spacing w:after="0"/>
              <w:rPr>
                <w:sz w:val="15"/>
                <w:szCs w:val="15"/>
                <w:color w:val="auto"/>
              </w:rPr>
            </w:pPr>
          </w:p>
        </w:tc>
        <w:tc>
          <w:tcPr>
            <w:tcW w:w="114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Plan</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216"/>
        </w:trPr>
        <w:tc>
          <w:tcPr>
            <w:tcW w:w="328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Service cost</w:t>
            </w: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376</w:t>
            </w:r>
          </w:p>
        </w:tc>
        <w:tc>
          <w:tcPr>
            <w:tcW w:w="160" w:type="dxa"/>
            <w:vAlign w:val="bottom"/>
            <w:tcBorders>
              <w:top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465</w:t>
            </w:r>
          </w:p>
        </w:tc>
        <w:tc>
          <w:tcPr>
            <w:tcW w:w="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628</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3280" w:type="dxa"/>
            <w:vAlign w:val="bottom"/>
            <w:shd w:val="clear" w:color="auto" w:fill="F0FFFF"/>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465</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7"/>
        </w:trPr>
        <w:tc>
          <w:tcPr>
            <w:tcW w:w="3280" w:type="dxa"/>
            <w:vAlign w:val="bottom"/>
            <w:shd w:val="clear" w:color="auto" w:fill="F0FFFF"/>
          </w:tcPr>
          <w:p>
            <w:pPr>
              <w:spacing w:after="0"/>
              <w:rPr>
                <w:sz w:val="20"/>
                <w:szCs w:val="20"/>
                <w:color w:val="auto"/>
              </w:rPr>
            </w:pPr>
            <w:r>
              <w:rPr>
                <w:rFonts w:ascii="Arial" w:cs="Arial" w:eastAsia="Arial" w:hAnsi="Arial"/>
                <w:sz w:val="18"/>
                <w:szCs w:val="18"/>
                <w:color w:val="auto"/>
              </w:rPr>
              <w:t>Amortization of net losses</w:t>
            </w:r>
          </w:p>
        </w:tc>
        <w:tc>
          <w:tcPr>
            <w:tcW w:w="140" w:type="dxa"/>
            <w:vAlign w:val="bottom"/>
            <w:shd w:val="clear" w:color="auto" w:fill="F0FFFF"/>
          </w:tcPr>
          <w:p>
            <w:pPr>
              <w:spacing w:after="0"/>
              <w:rPr>
                <w:sz w:val="20"/>
                <w:szCs w:val="20"/>
                <w:color w:val="auto"/>
              </w:rPr>
            </w:pP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28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periodic benefit cost</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1,740</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(83) $</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1,285</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0"/>
        </w:trPr>
        <w:tc>
          <w:tcPr>
            <w:tcW w:w="328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estimated net loss and prior service costs for the Modified Retirement Plan that will be amortized from accumulated other comprehensive income into net periodic benefit cost over the next fiscal year are $167,000 and $501,000, respectively, as of December 31, 2015. For the Funded Plan, United is not expecting to amortize any estimated net loss or prior service costs from accumulated other comprehensive income into net periodic benefit cost over the next fiscal year. In 2016, United expects to make contributions to the Modified Retirement Plan and the Funded Plan of $394,000 and $1.60 million,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7440" w:hanging="332"/>
        <w:spacing w:after="0" w:line="604" w:lineRule="auto"/>
        <w:tabs>
          <w:tab w:leader="none" w:pos="340"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Pension and Employee Benefit Plans, continued </w:t>
      </w:r>
      <w:r>
        <w:rPr>
          <w:rFonts w:ascii="Arial" w:cs="Arial" w:eastAsia="Arial" w:hAnsi="Arial"/>
          <w:sz w:val="15"/>
          <w:szCs w:val="15"/>
          <w:b w:val="1"/>
          <w:bCs w:val="1"/>
          <w:u w:val="single" w:color="auto"/>
          <w:color w:val="auto"/>
        </w:rPr>
        <w:t>Defined Benefit Pension Plans, continued</w:t>
      </w:r>
    </w:p>
    <w:p>
      <w:pPr>
        <w:ind w:left="340"/>
        <w:spacing w:after="0"/>
        <w:rPr>
          <w:rFonts w:ascii="Arial" w:cs="Arial" w:eastAsia="Arial" w:hAnsi="Arial"/>
          <w:sz w:val="15"/>
          <w:szCs w:val="15"/>
          <w:b w:val="1"/>
          <w:bCs w:val="1"/>
          <w:color w:val="auto"/>
        </w:rPr>
      </w:pPr>
      <w:r>
        <w:rPr>
          <w:rFonts w:ascii="Arial" w:cs="Arial" w:eastAsia="Arial" w:hAnsi="Arial"/>
          <w:sz w:val="17"/>
          <w:szCs w:val="17"/>
          <w:color w:val="auto"/>
        </w:rPr>
        <w:t xml:space="preserve">The following table summarizes the estimated future benefit payments expected to be paid from the plans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6"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Modified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Funded</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Retirement</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Plan</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216"/>
        </w:trPr>
        <w:tc>
          <w:tcPr>
            <w:tcW w:w="22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2016</w:t>
            </w:r>
          </w:p>
        </w:tc>
        <w:tc>
          <w:tcPr>
            <w:tcW w:w="14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394</w:t>
            </w:r>
          </w:p>
        </w:tc>
        <w:tc>
          <w:tcPr>
            <w:tcW w:w="14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jc w:val="right"/>
              <w:ind w:right="150"/>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1,046</w:t>
            </w:r>
          </w:p>
        </w:tc>
        <w:tc>
          <w:tcPr>
            <w:tcW w:w="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2017</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240" w:type="dxa"/>
            <w:vAlign w:val="bottom"/>
            <w:shd w:val="clear" w:color="auto" w:fill="F0FFFF"/>
          </w:tcPr>
          <w:p>
            <w:pPr>
              <w:spacing w:after="0"/>
              <w:rPr>
                <w:sz w:val="20"/>
                <w:szCs w:val="20"/>
                <w:color w:val="auto"/>
              </w:rPr>
            </w:pPr>
            <w:r>
              <w:rPr>
                <w:rFonts w:ascii="Arial" w:cs="Arial" w:eastAsia="Arial" w:hAnsi="Arial"/>
                <w:sz w:val="18"/>
                <w:szCs w:val="18"/>
                <w:color w:val="auto"/>
              </w:rPr>
              <w:t>2018</w:t>
            </w:r>
          </w:p>
        </w:tc>
        <w:tc>
          <w:tcPr>
            <w:tcW w:w="14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1,066</w:t>
            </w:r>
          </w:p>
        </w:tc>
        <w:tc>
          <w:tcPr>
            <w:tcW w:w="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2019</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240" w:type="dxa"/>
            <w:vAlign w:val="bottom"/>
            <w:shd w:val="clear" w:color="auto" w:fill="F0FFFF"/>
          </w:tcPr>
          <w:p>
            <w:pPr>
              <w:spacing w:after="0"/>
              <w:rPr>
                <w:sz w:val="20"/>
                <w:szCs w:val="20"/>
                <w:color w:val="auto"/>
              </w:rPr>
            </w:pPr>
            <w:r>
              <w:rPr>
                <w:rFonts w:ascii="Arial" w:cs="Arial" w:eastAsia="Arial" w:hAnsi="Arial"/>
                <w:sz w:val="18"/>
                <w:szCs w:val="18"/>
                <w:color w:val="auto"/>
              </w:rPr>
              <w:t>2020</w:t>
            </w:r>
          </w:p>
        </w:tc>
        <w:tc>
          <w:tcPr>
            <w:tcW w:w="14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1,143</w:t>
            </w:r>
          </w:p>
        </w:tc>
        <w:tc>
          <w:tcPr>
            <w:tcW w:w="1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37"/>
        </w:trPr>
        <w:tc>
          <w:tcPr>
            <w:tcW w:w="2240" w:type="dxa"/>
            <w:vAlign w:val="bottom"/>
          </w:tcPr>
          <w:p>
            <w:pPr>
              <w:spacing w:after="0"/>
              <w:rPr>
                <w:sz w:val="20"/>
                <w:szCs w:val="20"/>
                <w:color w:val="auto"/>
              </w:rPr>
            </w:pPr>
            <w:r>
              <w:rPr>
                <w:rFonts w:ascii="Arial" w:cs="Arial" w:eastAsia="Arial" w:hAnsi="Arial"/>
                <w:sz w:val="18"/>
                <w:szCs w:val="18"/>
                <w:color w:val="auto"/>
              </w:rPr>
              <w:t>2021-2025</w:t>
            </w: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5,610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16"/>
        </w:trPr>
        <w:tc>
          <w:tcPr>
            <w:tcW w:w="2240" w:type="dxa"/>
            <w:vAlign w:val="bottom"/>
            <w:tcBorders>
              <w:top w:val="single" w:sz="8" w:color="F0FFFF"/>
            </w:tcBorders>
            <w:shd w:val="clear" w:color="auto" w:fill="F0FFFF"/>
          </w:tcPr>
          <w:p>
            <w:pPr>
              <w:spacing w:after="0"/>
              <w:rPr>
                <w:sz w:val="18"/>
                <w:szCs w:val="18"/>
                <w:color w:val="auto"/>
              </w:rPr>
            </w:pPr>
          </w:p>
        </w:tc>
        <w:tc>
          <w:tcPr>
            <w:tcW w:w="14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2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spacing w:after="0"/>
              <w:rPr>
                <w:sz w:val="18"/>
                <w:szCs w:val="18"/>
                <w:color w:val="auto"/>
              </w:rPr>
            </w:pPr>
          </w:p>
        </w:tc>
        <w:tc>
          <w:tcPr>
            <w:tcW w:w="6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40" w:type="dxa"/>
            <w:vAlign w:val="bottom"/>
          </w:tcPr>
          <w:p>
            <w:pPr>
              <w:spacing w:after="0"/>
              <w:rPr>
                <w:sz w:val="21"/>
                <w:szCs w:val="21"/>
                <w:color w:val="auto"/>
              </w:rPr>
            </w:pPr>
          </w:p>
        </w:tc>
        <w:tc>
          <w:tcPr>
            <w:tcW w:w="17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10,122</w:t>
            </w: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11,463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following table summarizes the Funded Plan assets by major category as of December 31, 2015,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93"/>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5"/>
                <w:szCs w:val="15"/>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2,346</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828"/>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2,346</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Mutual funds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F0FFFF"/>
          </w:tcPr>
          <w:p>
            <w:pPr>
              <w:spacing w:after="0"/>
              <w:rPr>
                <w:sz w:val="20"/>
                <w:szCs w:val="20"/>
                <w:color w:val="auto"/>
              </w:rPr>
            </w:pPr>
            <w:r>
              <w:rPr>
                <w:rFonts w:ascii="Arial" w:cs="Arial" w:eastAsia="Arial" w:hAnsi="Arial"/>
                <w:sz w:val="18"/>
                <w:szCs w:val="18"/>
                <w:color w:val="auto"/>
              </w:rPr>
              <w:t>Corporate stocks</w:t>
            </w: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1,178</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Exchange traded funds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spacing w:after="0"/>
              <w:rPr>
                <w:sz w:val="20"/>
                <w:szCs w:val="20"/>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spacing w:after="0"/>
              <w:rPr>
                <w:sz w:val="20"/>
                <w:szCs w:val="20"/>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spacing w:after="0"/>
              <w:rPr>
                <w:sz w:val="20"/>
                <w:szCs w:val="20"/>
                <w:color w:val="auto"/>
              </w:rPr>
            </w:pPr>
          </w:p>
        </w:tc>
        <w:tc>
          <w:tcPr>
            <w:tcW w:w="980" w:type="dxa"/>
            <w:vAlign w:val="bottom"/>
            <w:tcBorders>
              <w:bottom w:val="single" w:sz="8" w:color="auto"/>
            </w:tcBorders>
            <w:shd w:val="clear" w:color="auto" w:fill="F0FFFF"/>
          </w:tcPr>
          <w:p>
            <w:pPr>
              <w:spacing w:after="0"/>
              <w:rPr>
                <w:sz w:val="20"/>
                <w:szCs w:val="20"/>
                <w:color w:val="auto"/>
              </w:rPr>
            </w:pPr>
          </w:p>
        </w:tc>
        <w:tc>
          <w:tcPr>
            <w:tcW w:w="2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plan assets</w:t>
            </w:r>
          </w:p>
        </w:tc>
        <w:tc>
          <w:tcPr>
            <w:tcW w:w="11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17,315</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828"/>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17,315</w:t>
            </w:r>
          </w:p>
        </w:tc>
        <w:tc>
          <w:tcPr>
            <w:tcW w:w="8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Borders>
              <w:top w:val="single" w:sz="8" w:color="F0FFFF"/>
            </w:tcBorders>
          </w:tcPr>
          <w:p>
            <w:pPr>
              <w:spacing w:after="0" w:line="20" w:lineRule="exact"/>
              <w:rPr>
                <w:sz w:val="1"/>
                <w:szCs w:val="1"/>
                <w:color w:val="auto"/>
              </w:rPr>
            </w:pPr>
          </w:p>
        </w:tc>
        <w:tc>
          <w:tcPr>
            <w:tcW w:w="9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297" w:lineRule="auto"/>
        <w:rPr>
          <w:sz w:val="20"/>
          <w:szCs w:val="20"/>
          <w:color w:val="auto"/>
        </w:rPr>
      </w:pPr>
      <w:r>
        <w:rPr>
          <w:rFonts w:ascii="Arial" w:cs="Arial" w:eastAsia="Arial" w:hAnsi="Arial"/>
          <w:sz w:val="16"/>
          <w:szCs w:val="16"/>
          <w:color w:val="auto"/>
        </w:rPr>
        <w:t>The investment objectives of the plan assets are designed to fund the projected benefit obligation and to maximize returns in order to minimize contributions within reasonable and prudent levels of risk. The precise amount for which these obligations will be settled depends on future events, including the life expectancy of the plan participants. The plan’s investment strategy balances the requirement to generate return, using higher returning assets, with the need to control risk using less volatile assets. Risks include, but are not limited to, inflation, volatility in equity values and changes in interest rates that could cause the plan to become underfunded, thereby increasing the plan’s dependence on contributions from United.</w:t>
      </w:r>
    </w:p>
    <w:p>
      <w:pPr>
        <w:spacing w:after="0" w:line="15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Plan assets are managed by a third-party firm as approved by United’s Employee Benefits Committee. The Board of Directors delegated certain responsibilities to the Employee Benefits Committee including maintaining the investment policy of the plan, approving the appointment of the investment manager and reviewing the performance of the plan assets at least annually.</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Investments within the plan are diversified with the intent to minimize the risk of large losses to the plan. The total portfolio is constructed and maintained to provide prudent diversification within each investment category, and United assumes that the volatility of the portfolio will be similar to the market as a whole. The asset allocation ranges represent a long-term perspective. Therefore, rapid unanticipated market shifts may cause the asset mix to fall outside the policy range. Such divergences are expected to be short-term in nature.</w:t>
      </w:r>
    </w:p>
    <w:p>
      <w:pPr>
        <w:spacing w:after="0" w:line="18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For fair value measurement, cash and cash equivalents are valued at carrying value. Mutual funds, corporate stocks, and exchange traded funds are valued at the closing price reported in the active market in which the instrument is traded. See Note 23 for more details regarding United’s fair value measurements and the fair value hierarchy.</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preceding methods described may produce a fair value calculation that may not be indicative of net realizable value or reflective of future fair values. Furthermore, although United believes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investment securities, wholesale borrowings and deposits.</w:t>
      </w:r>
    </w:p>
    <w:p>
      <w:pPr>
        <w:spacing w:after="0" w:line="177"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conjunction with the FASB’s fair value measurement guidance, management made an accounting policy election to measure the credit risk of its derivative financial instruments that are subject to master netting arrangements on a gross basis.</w:t>
      </w:r>
    </w:p>
    <w:p>
      <w:pPr>
        <w:spacing w:after="0" w:line="17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Derivatives designated as hedging instruments under ASC 815</w:t>
      </w:r>
    </w:p>
    <w:p>
      <w:pPr>
        <w:spacing w:after="0" w:line="230" w:lineRule="exact"/>
        <w:rPr>
          <w:sz w:val="20"/>
          <w:szCs w:val="20"/>
          <w:color w:val="auto"/>
        </w:rPr>
      </w:pPr>
    </w:p>
    <w:tbl>
      <w:tblPr>
        <w:tblLayout w:type="fixed"/>
        <w:tblInd w:w="9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8"/>
              </w:rPr>
              <w:t>Fair Value</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39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20" w:type="dxa"/>
            <w:vAlign w:val="bottom"/>
            <w:gridSpan w:val="2"/>
          </w:tcPr>
          <w:p>
            <w:pPr>
              <w:ind w:left="1800"/>
              <w:spacing w:after="0"/>
              <w:rPr>
                <w:sz w:val="20"/>
                <w:szCs w:val="20"/>
                <w:color w:val="auto"/>
              </w:rPr>
            </w:pPr>
            <w:r>
              <w:rPr>
                <w:rFonts w:ascii="Arial" w:cs="Arial" w:eastAsia="Arial" w:hAnsi="Arial"/>
                <w:sz w:val="14"/>
                <w:szCs w:val="14"/>
                <w:b w:val="1"/>
                <w:bCs w:val="1"/>
                <w:color w:val="auto"/>
              </w:rPr>
              <w:t>Interest Rate Products</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Fair value hedge of corporate bonds</w:t>
            </w: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Derivative assets</w:t>
            </w:r>
          </w:p>
        </w:tc>
        <w:tc>
          <w:tcPr>
            <w:tcW w:w="3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F0FFFF"/>
          </w:tcPr>
          <w:p>
            <w:pPr>
              <w:spacing w:after="0"/>
              <w:rPr>
                <w:sz w:val="21"/>
                <w:szCs w:val="21"/>
                <w:color w:val="auto"/>
              </w:rPr>
            </w:pPr>
          </w:p>
        </w:tc>
        <w:tc>
          <w:tcPr>
            <w:tcW w:w="38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F0FF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48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F0FF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Cash flow hedge of money market deposits</w:t>
            </w:r>
          </w:p>
        </w:tc>
        <w:tc>
          <w:tcPr>
            <w:tcW w:w="24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Fair value hedge of brokered CD’s</w:t>
            </w: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2,169</w:t>
            </w:r>
          </w:p>
        </w:tc>
        <w:tc>
          <w:tcPr>
            <w:tcW w:w="38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5,817</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80" w:type="dxa"/>
            <w:vAlign w:val="bottom"/>
            <w:tcBorders>
              <w:top w:val="single" w:sz="8" w:color="F0FF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w w:val="89"/>
              </w:rPr>
              <w:t>Derivatives not designated as hedging instruments under ASC 815</w:t>
            </w: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5140" w:type="dxa"/>
            <w:vAlign w:val="bottom"/>
            <w:gridSpan w:val="3"/>
            <w:vMerge w:val="continue"/>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8"/>
              </w:rPr>
              <w:t>Fair Value</w:t>
            </w: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center"/>
              <w:ind w:left="39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20" w:type="dxa"/>
            <w:vAlign w:val="bottom"/>
            <w:gridSpan w:val="2"/>
          </w:tcPr>
          <w:p>
            <w:pPr>
              <w:ind w:left="1800"/>
              <w:spacing w:after="0"/>
              <w:rPr>
                <w:sz w:val="20"/>
                <w:szCs w:val="20"/>
                <w:color w:val="auto"/>
              </w:rPr>
            </w:pPr>
            <w:r>
              <w:rPr>
                <w:rFonts w:ascii="Arial" w:cs="Arial" w:eastAsia="Arial" w:hAnsi="Arial"/>
                <w:sz w:val="14"/>
                <w:szCs w:val="14"/>
                <w:b w:val="1"/>
                <w:bCs w:val="1"/>
                <w:color w:val="auto"/>
              </w:rPr>
              <w:t>Interest Rate Products</w:t>
            </w:r>
          </w:p>
        </w:tc>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5"/>
              </w:rPr>
              <w:t>Location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Customer swap positions</w:t>
            </w: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Derivative assets</w:t>
            </w:r>
          </w:p>
        </w:tc>
        <w:tc>
          <w:tcPr>
            <w:tcW w:w="3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6,185</w:t>
            </w:r>
          </w:p>
        </w:tc>
        <w:tc>
          <w:tcPr>
            <w:tcW w:w="38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3,433</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Dealer offsets to customer swap positions</w:t>
            </w:r>
          </w:p>
        </w:tc>
        <w:tc>
          <w:tcPr>
            <w:tcW w:w="2480" w:type="dxa"/>
            <w:vAlign w:val="bottom"/>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Mortgage banking - loan commitment</w:t>
            </w: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188</w:t>
            </w:r>
          </w:p>
        </w:tc>
        <w:tc>
          <w:tcPr>
            <w:tcW w:w="38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Mortgage banking - forward sales commitment</w:t>
            </w:r>
          </w:p>
        </w:tc>
        <w:tc>
          <w:tcPr>
            <w:tcW w:w="2480" w:type="dxa"/>
            <w:vAlign w:val="bottom"/>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Bifurcated embedded derivatives</w:t>
            </w: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Derivative assets</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9,230</w:t>
            </w:r>
          </w:p>
        </w:tc>
        <w:tc>
          <w:tcPr>
            <w:tcW w:w="38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12,262</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Offsetting positions for de-designated cash flow hedges</w:t>
            </w:r>
          </w:p>
        </w:tc>
        <w:tc>
          <w:tcPr>
            <w:tcW w:w="2480" w:type="dxa"/>
            <w:vAlign w:val="bottom"/>
          </w:tcPr>
          <w:p>
            <w:pPr>
              <w:spacing w:after="0"/>
              <w:rPr>
                <w:sz w:val="20"/>
                <w:szCs w:val="20"/>
                <w:color w:val="auto"/>
              </w:rPr>
            </w:pPr>
            <w:r>
              <w:rPr>
                <w:rFonts w:ascii="Arial" w:cs="Arial" w:eastAsia="Arial" w:hAnsi="Arial"/>
                <w:sz w:val="18"/>
                <w:szCs w:val="18"/>
                <w:color w:val="auto"/>
              </w:rPr>
              <w:t>Derivative assets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4,416</w:t>
            </w:r>
          </w:p>
        </w:tc>
        <w:tc>
          <w:tcPr>
            <w:tcW w:w="3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502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480" w:type="dxa"/>
            <w:vAlign w:val="bottom"/>
            <w:tcBorders>
              <w:top w:val="single" w:sz="8" w:color="F0FFFF"/>
              <w:bottom w:val="single" w:sz="8" w:color="F0FFFF"/>
            </w:tcBorders>
            <w:shd w:val="clear" w:color="auto" w:fill="F0FFFF"/>
          </w:tcPr>
          <w:p>
            <w:pPr>
              <w:spacing w:after="0"/>
              <w:rPr>
                <w:sz w:val="21"/>
                <w:szCs w:val="21"/>
                <w:color w:val="auto"/>
              </w:rPr>
            </w:pP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260" w:type="dxa"/>
            <w:vAlign w:val="bottom"/>
            <w:tcBorders>
              <w:top w:val="single" w:sz="8" w:color="auto"/>
              <w:bottom w:val="single" w:sz="8" w:color="auto"/>
            </w:tcBorders>
            <w:shd w:val="clear" w:color="auto" w:fill="F0FF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20,051</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380" w:type="dxa"/>
            <w:vAlign w:val="bottom"/>
            <w:tcBorders>
              <w:top w:val="single" w:sz="8" w:color="auto"/>
              <w:bottom w:val="single" w:sz="8" w:color="auto"/>
            </w:tcBorders>
            <w:shd w:val="clear" w:color="auto" w:fill="F0FFFF"/>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20,599</w:t>
            </w:r>
          </w:p>
        </w:tc>
        <w:tc>
          <w:tcPr>
            <w:tcW w:w="20" w:type="dxa"/>
            <w:vAlign w:val="bottom"/>
            <w:tcBorders>
              <w:top w:val="single" w:sz="8" w:color="F0FFFF"/>
              <w:bottom w:val="single" w:sz="8" w:color="F0FFFF"/>
            </w:tcBorders>
            <w:shd w:val="clear" w:color="auto" w:fill="F0FFFF"/>
          </w:tcPr>
          <w:p>
            <w:pPr>
              <w:spacing w:after="0"/>
              <w:rPr>
                <w:sz w:val="21"/>
                <w:szCs w:val="21"/>
                <w:color w:val="auto"/>
              </w:rPr>
            </w:pP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F0FFFF"/>
            </w:tcBorders>
            <w:gridSpan w:val="2"/>
          </w:tcPr>
          <w:p>
            <w:pPr>
              <w:spacing w:after="0" w:line="20" w:lineRule="exact"/>
              <w:rPr>
                <w:sz w:val="1"/>
                <w:szCs w:val="1"/>
                <w:color w:val="auto"/>
              </w:rPr>
            </w:pPr>
          </w:p>
        </w:tc>
        <w:tc>
          <w:tcPr>
            <w:tcW w:w="2480" w:type="dxa"/>
            <w:vAlign w:val="bottom"/>
            <w:tcBorders>
              <w:top w:val="single" w:sz="8" w:color="F0FFFF"/>
            </w:tcBorders>
          </w:tcPr>
          <w:p>
            <w:pPr>
              <w:spacing w:after="0" w:line="20" w:lineRule="exact"/>
              <w:rPr>
                <w:sz w:val="1"/>
                <w:szCs w:val="1"/>
                <w:color w:val="auto"/>
              </w:rPr>
            </w:pPr>
          </w:p>
        </w:tc>
        <w:tc>
          <w:tcPr>
            <w:tcW w:w="360" w:type="dxa"/>
            <w:vAlign w:val="bottom"/>
            <w:tcBorders>
              <w:top w:val="single" w:sz="8" w:color="F0FFFF"/>
            </w:tcBorders>
            <w:gridSpan w:val="2"/>
          </w:tcPr>
          <w:p>
            <w:pPr>
              <w:spacing w:after="0" w:line="20" w:lineRule="exact"/>
              <w:rPr>
                <w:sz w:val="1"/>
                <w:szCs w:val="1"/>
                <w:color w:val="auto"/>
              </w:rPr>
            </w:pPr>
          </w:p>
        </w:tc>
        <w:tc>
          <w:tcPr>
            <w:tcW w:w="88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380" w:type="dxa"/>
            <w:vAlign w:val="bottom"/>
            <w:tcBorders>
              <w:top w:val="single" w:sz="8" w:color="F0FFFF"/>
            </w:tcBorders>
          </w:tcPr>
          <w:p>
            <w:pPr>
              <w:spacing w:after="0" w:line="20" w:lineRule="exact"/>
              <w:rPr>
                <w:sz w:val="1"/>
                <w:szCs w:val="1"/>
                <w:color w:val="auto"/>
              </w:rPr>
            </w:pPr>
          </w:p>
        </w:tc>
        <w:tc>
          <w:tcPr>
            <w:tcW w:w="760" w:type="dxa"/>
            <w:vAlign w:val="bottom"/>
            <w:tcBorders>
              <w:top w:val="single" w:sz="8" w:color="F0FFFF"/>
            </w:tcBorders>
            <w:gridSpan w:val="2"/>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restart"/>
          </w:tcPr>
          <w:p>
            <w:pPr>
              <w:spacing w:after="0"/>
              <w:rPr>
                <w:sz w:val="16"/>
                <w:szCs w:val="16"/>
                <w:color w:val="auto"/>
              </w:rPr>
            </w:pPr>
          </w:p>
        </w:tc>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Customer swap positions</w:t>
            </w: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Derivative liabilities</w:t>
            </w:r>
          </w:p>
        </w:tc>
        <w:tc>
          <w:tcPr>
            <w:tcW w:w="3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F0FFFF"/>
          </w:tcPr>
          <w:p>
            <w:pPr>
              <w:spacing w:after="0"/>
              <w:rPr>
                <w:sz w:val="18"/>
                <w:szCs w:val="18"/>
                <w:color w:val="auto"/>
              </w:rPr>
            </w:pPr>
          </w:p>
        </w:tc>
        <w:tc>
          <w:tcPr>
            <w:tcW w:w="380" w:type="dxa"/>
            <w:vAlign w:val="bottom"/>
            <w:shd w:val="clear" w:color="auto" w:fill="F0FFFF"/>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Dealer offsets to customer swap positions</w:t>
            </w:r>
          </w:p>
        </w:tc>
        <w:tc>
          <w:tcPr>
            <w:tcW w:w="24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6,339</w:t>
            </w: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3,456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Mortgage banking - forward sales commitment</w:t>
            </w: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Dealer offsets to bifurcated embedded derivatives</w:t>
            </w:r>
          </w:p>
        </w:tc>
        <w:tc>
          <w:tcPr>
            <w:tcW w:w="248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15,794</w:t>
            </w:r>
          </w:p>
        </w:tc>
        <w:tc>
          <w:tcPr>
            <w:tcW w:w="3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De-designated cash flow hedges</w:t>
            </w:r>
          </w:p>
        </w:tc>
        <w:tc>
          <w:tcPr>
            <w:tcW w:w="2480" w:type="dxa"/>
            <w:vAlign w:val="bottom"/>
            <w:shd w:val="clear" w:color="auto" w:fill="F0FF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F0FFFF"/>
          </w:tcPr>
          <w:p>
            <w:pPr>
              <w:spacing w:after="0"/>
              <w:rPr>
                <w:sz w:val="21"/>
                <w:szCs w:val="21"/>
                <w:color w:val="auto"/>
              </w:rPr>
            </w:pPr>
          </w:p>
        </w:tc>
        <w:tc>
          <w:tcPr>
            <w:tcW w:w="260" w:type="dxa"/>
            <w:vAlign w:val="bottom"/>
            <w:shd w:val="clear" w:color="auto" w:fill="F0FFFF"/>
          </w:tcPr>
          <w:p>
            <w:pPr>
              <w:spacing w:after="0"/>
              <w:rPr>
                <w:sz w:val="21"/>
                <w:szCs w:val="21"/>
                <w:color w:val="auto"/>
              </w:rPr>
            </w:pPr>
          </w:p>
        </w:tc>
        <w:tc>
          <w:tcPr>
            <w:tcW w:w="10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4,470</w:t>
            </w:r>
          </w:p>
        </w:tc>
        <w:tc>
          <w:tcPr>
            <w:tcW w:w="380" w:type="dxa"/>
            <w:vAlign w:val="bottom"/>
            <w:shd w:val="clear" w:color="auto" w:fill="F0FFFF"/>
          </w:tcPr>
          <w:p>
            <w:pPr>
              <w:spacing w:after="0"/>
              <w:rPr>
                <w:sz w:val="21"/>
                <w:szCs w:val="21"/>
                <w:color w:val="auto"/>
              </w:rPr>
            </w:pPr>
          </w:p>
        </w:tc>
        <w:tc>
          <w:tcPr>
            <w:tcW w:w="7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4,778</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48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26,656</w:t>
            </w:r>
          </w:p>
        </w:tc>
        <w:tc>
          <w:tcPr>
            <w:tcW w:w="180" w:type="dxa"/>
            <w:vAlign w:val="bottom"/>
            <w:tcBorders>
              <w:top w:val="single" w:sz="8" w:color="F0FF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25,830</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 xml:space="preserve">Derivative contracts that are not accounted for as hedging instruments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are described as “customer derivatives” are between United and certain commercial loan customers with offsetting positions to dealers under a back-to-back swap 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marks on the market linked swaps and the bifurcated embedded derivatives tend to move in opposite directions with changes in 90-day LIBOR and therefore provide an effective economic hedge.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6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 continued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Risk Management Objective of Using Derivatives, continued</w:t>
      </w:r>
    </w:p>
    <w:p>
      <w:pPr>
        <w:spacing w:after="0" w:line="229"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the Company is subject to the risk of variability in market prices. United also enters into forward sale agreements to mitigate risk and to protect the expected gain on the eventual loan sale. Most of this activity is on a matched basis, with a loan sale commitment hedging a specific loan. The commitments to originate residential mortgage loans and forward loan sales commitments are freestanding derivative instruments. The underlying loans are accounted for under the lower of cost or fair value method and are not reflected in the table above. Fair value adjustments on these derivative instruments are recorded within mortgage loan and other related fee income in the Consolidated Statement of Income.</w:t>
      </w:r>
    </w:p>
    <w:p>
      <w:pPr>
        <w:spacing w:after="0" w:line="17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Flow Hedges of Interest Rate Risk</w:t>
      </w:r>
    </w:p>
    <w:p>
      <w:pPr>
        <w:spacing w:after="0" w:line="229" w:lineRule="exact"/>
        <w:rPr>
          <w:rFonts w:ascii="Arial" w:cs="Arial" w:eastAsia="Arial" w:hAnsi="Arial"/>
          <w:sz w:val="18"/>
          <w:szCs w:val="18"/>
          <w:b w:val="1"/>
          <w:bCs w:val="1"/>
          <w:color w:val="auto"/>
        </w:rPr>
      </w:pPr>
    </w:p>
    <w:p>
      <w:pPr>
        <w:jc w:val="both"/>
        <w:ind w:left="3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At December 31, 2015, United did not have any active cash flow hedges. At December 31, 2014, United had one interest rate swap with a notional amount of $175 million that was designated as a cash flow hedge of indexed money market accounts. The swap contract involved the payment of fixed-rate amounts to a counterparty in exchange for United receiving variable-rate payments over the life of the agreement without exchange of the underlying notional amount. In the first quarter of 2015, United terminated its one remaining cash flow hedge with a notional of $175 million. Changes in United’s balance sheet composition and interest rate risk position made the hedges no longer necessary as protection against rising interest rates. The loss remaining in other comprehensive income on de-designated swaps is being amortized into earnings over the original term of the swaps as the forecasted transactions that the swaps were originally designated to hedge are still expected to occur.</w:t>
      </w:r>
    </w:p>
    <w:p>
      <w:pPr>
        <w:spacing w:after="0" w:line="181" w:lineRule="exact"/>
        <w:rPr>
          <w:rFonts w:ascii="Arial" w:cs="Arial" w:eastAsia="Arial" w:hAnsi="Arial"/>
          <w:sz w:val="18"/>
          <w:szCs w:val="18"/>
          <w:b w:val="1"/>
          <w:bCs w:val="1"/>
          <w:color w:val="auto"/>
        </w:rPr>
      </w:pPr>
    </w:p>
    <w:p>
      <w:pPr>
        <w:jc w:val="both"/>
        <w:ind w:left="3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as interest payments are made on United’s LIBOR based, variable-rate wholesale borrowings and indexed deposit accounts. United expects that $1.89 million will be reclassified as an increase to deposit interest expense over the next twelve months related to these cash flow hedges.</w:t>
      </w:r>
    </w:p>
    <w:p>
      <w:pPr>
        <w:spacing w:after="0" w:line="158"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During the year ended December 31, 2013, United accelerated the reclassification of $52,000 in gains from terminated positions as a result of the forecasted transactions becoming probable not to occur. These amounts were recognized in loan interest revenue as hedge ineffectiveness.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table below presents the effect of United’s cash flow hedges on the consolidated statement of income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91"/>
              </w:rPr>
              <w:t>Amount of Gain (Loss) Recognized</w:t>
            </w:r>
          </w:p>
        </w:tc>
        <w:tc>
          <w:tcPr>
            <w:tcW w:w="3740" w:type="dxa"/>
            <w:vAlign w:val="bottom"/>
            <w:gridSpan w:val="11"/>
            <w:vMerge w:val="restart"/>
          </w:tcPr>
          <w:p>
            <w:pPr>
              <w:jc w:val="right"/>
              <w:ind w:right="340"/>
              <w:spacing w:after="0"/>
              <w:rPr>
                <w:sz w:val="20"/>
                <w:szCs w:val="20"/>
                <w:color w:val="auto"/>
              </w:rPr>
            </w:pPr>
            <w:r>
              <w:rPr>
                <w:rFonts w:ascii="Arial" w:cs="Arial" w:eastAsia="Arial" w:hAnsi="Arial"/>
                <w:sz w:val="14"/>
                <w:szCs w:val="14"/>
                <w:b w:val="1"/>
                <w:bCs w:val="1"/>
                <w:color w:val="auto"/>
              </w:rPr>
              <w:t>Gain (Loss) Reclassified from Accumulated Other</w:t>
            </w:r>
          </w:p>
        </w:tc>
        <w:tc>
          <w:tcPr>
            <w:tcW w:w="100" w:type="dxa"/>
            <w:vAlign w:val="bottom"/>
          </w:tcPr>
          <w:p>
            <w:pPr>
              <w:spacing w:after="0"/>
              <w:rPr>
                <w:sz w:val="14"/>
                <w:szCs w:val="14"/>
                <w:color w:val="auto"/>
              </w:rPr>
            </w:pPr>
          </w:p>
        </w:tc>
        <w:tc>
          <w:tcPr>
            <w:tcW w:w="3580" w:type="dxa"/>
            <w:vAlign w:val="bottom"/>
            <w:gridSpan w:val="11"/>
            <w:vMerge w:val="restart"/>
          </w:tcPr>
          <w:p>
            <w:pPr>
              <w:jc w:val="center"/>
              <w:spacing w:after="0"/>
              <w:rPr>
                <w:sz w:val="20"/>
                <w:szCs w:val="20"/>
                <w:color w:val="auto"/>
              </w:rPr>
            </w:pPr>
            <w:r>
              <w:rPr>
                <w:rFonts w:ascii="Arial" w:cs="Arial" w:eastAsia="Arial" w:hAnsi="Arial"/>
                <w:sz w:val="14"/>
                <w:szCs w:val="14"/>
                <w:b w:val="1"/>
                <w:bCs w:val="1"/>
                <w:color w:val="auto"/>
                <w:w w:val="92"/>
              </w:rPr>
              <w:t>Gain (Loss) Recognized in Income on Derivative</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8"/>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 Other Comprehensive Income</w:t>
            </w:r>
          </w:p>
        </w:tc>
        <w:tc>
          <w:tcPr>
            <w:tcW w:w="3740" w:type="dxa"/>
            <w:vAlign w:val="bottom"/>
            <w:gridSpan w:val="11"/>
            <w:vMerge w:val="continue"/>
          </w:tcPr>
          <w:p>
            <w:pPr>
              <w:spacing w:after="0"/>
              <w:rPr>
                <w:sz w:val="12"/>
                <w:szCs w:val="12"/>
                <w:color w:val="auto"/>
              </w:rPr>
            </w:pPr>
          </w:p>
        </w:tc>
        <w:tc>
          <w:tcPr>
            <w:tcW w:w="100" w:type="dxa"/>
            <w:vAlign w:val="bottom"/>
          </w:tcPr>
          <w:p>
            <w:pPr>
              <w:spacing w:after="0"/>
              <w:rPr>
                <w:sz w:val="12"/>
                <w:szCs w:val="12"/>
                <w:color w:val="auto"/>
              </w:rPr>
            </w:pPr>
          </w:p>
        </w:tc>
        <w:tc>
          <w:tcPr>
            <w:tcW w:w="3580" w:type="dxa"/>
            <w:vAlign w:val="bottom"/>
            <w:gridSpan w:val="11"/>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w w:val="94"/>
              </w:rPr>
              <w:t>on Derivative (Effective Portion)</w:t>
            </w:r>
          </w:p>
        </w:tc>
        <w:tc>
          <w:tcPr>
            <w:tcW w:w="3740" w:type="dxa"/>
            <w:vAlign w:val="bottom"/>
            <w:gridSpan w:val="11"/>
          </w:tcPr>
          <w:p>
            <w:pPr>
              <w:jc w:val="right"/>
              <w:ind w:right="180"/>
              <w:spacing w:after="0"/>
              <w:rPr>
                <w:sz w:val="20"/>
                <w:szCs w:val="20"/>
                <w:color w:val="auto"/>
              </w:rPr>
            </w:pPr>
            <w:r>
              <w:rPr>
                <w:rFonts w:ascii="Arial" w:cs="Arial" w:eastAsia="Arial" w:hAnsi="Arial"/>
                <w:sz w:val="14"/>
                <w:szCs w:val="14"/>
                <w:b w:val="1"/>
                <w:bCs w:val="1"/>
                <w:color w:val="auto"/>
                <w:w w:val="97"/>
              </w:rPr>
              <w:t>Comprehensive Income into Income (Effective Portion)</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5"/>
              </w:rPr>
              <w:t>(Ineffective Portion)</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150"/>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c>
          <w:tcPr>
            <w:tcW w:w="1040" w:type="dxa"/>
            <w:vAlign w:val="bottom"/>
            <w:tcBorders>
              <w:top w:val="single" w:sz="8" w:color="auto"/>
            </w:tcBorders>
          </w:tcPr>
          <w:p>
            <w:pPr>
              <w:ind w:left="26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Location</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104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Interest revenue</w:t>
            </w:r>
          </w:p>
        </w:tc>
        <w:tc>
          <w:tcPr>
            <w:tcW w:w="26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F0FFFF"/>
          </w:tcPr>
          <w:p>
            <w:pPr>
              <w:jc w:val="right"/>
              <w:ind w:right="160"/>
              <w:spacing w:after="0" w:line="149" w:lineRule="exact"/>
              <w:rPr>
                <w:sz w:val="20"/>
                <w:szCs w:val="20"/>
                <w:color w:val="auto"/>
              </w:rPr>
            </w:pPr>
            <w:r>
              <w:rPr>
                <w:rFonts w:ascii="Arial" w:cs="Arial" w:eastAsia="Arial" w:hAnsi="Arial"/>
                <w:sz w:val="14"/>
                <w:szCs w:val="14"/>
                <w:color w:val="auto"/>
              </w:rPr>
              <w:t>(79)</w:t>
            </w:r>
          </w:p>
        </w:tc>
        <w:tc>
          <w:tcPr>
            <w:tcW w:w="1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904</w:t>
            </w:r>
          </w:p>
        </w:tc>
        <w:tc>
          <w:tcPr>
            <w:tcW w:w="100" w:type="dxa"/>
            <w:vAlign w:val="bottom"/>
            <w:shd w:val="clear" w:color="auto" w:fill="F0FFFF"/>
          </w:tcPr>
          <w:p>
            <w:pPr>
              <w:spacing w:after="0"/>
              <w:rPr>
                <w:sz w:val="12"/>
                <w:szCs w:val="12"/>
                <w:color w:val="auto"/>
              </w:rPr>
            </w:pPr>
          </w:p>
        </w:tc>
        <w:tc>
          <w:tcPr>
            <w:tcW w:w="90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w w:val="98"/>
              </w:rPr>
              <w:t>Interest expense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(1,936)</w:t>
            </w:r>
          </w:p>
        </w:tc>
        <w:tc>
          <w:tcPr>
            <w:tcW w:w="14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(1,931)</w:t>
            </w:r>
          </w:p>
        </w:tc>
        <w:tc>
          <w:tcPr>
            <w:tcW w:w="14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940" w:type="dxa"/>
            <w:vAlign w:val="bottom"/>
            <w:tcBorders>
              <w:top w:val="single" w:sz="8" w:color="F0FFFF"/>
            </w:tcBorders>
            <w:shd w:val="clear" w:color="auto" w:fill="F0FFFF"/>
          </w:tcPr>
          <w:p>
            <w:pPr>
              <w:spacing w:after="0" w:line="116" w:lineRule="exact"/>
              <w:rPr>
                <w:sz w:val="20"/>
                <w:szCs w:val="20"/>
                <w:color w:val="auto"/>
              </w:rPr>
            </w:pPr>
            <w:r>
              <w:rPr>
                <w:rFonts w:ascii="Arial" w:cs="Arial" w:eastAsia="Arial" w:hAnsi="Arial"/>
                <w:sz w:val="13"/>
                <w:szCs w:val="13"/>
                <w:color w:val="auto"/>
              </w:rPr>
              <w:t>Interest rate</w:t>
            </w:r>
          </w:p>
        </w:tc>
        <w:tc>
          <w:tcPr>
            <w:tcW w:w="22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58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56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560" w:type="dxa"/>
            <w:vAlign w:val="bottom"/>
            <w:tcBorders>
              <w:top w:val="single" w:sz="8" w:color="F0FFFF"/>
            </w:tcBorders>
            <w:shd w:val="clear" w:color="auto" w:fill="F0FFFF"/>
          </w:tcPr>
          <w:p>
            <w:pPr>
              <w:spacing w:after="0"/>
              <w:rPr>
                <w:sz w:val="10"/>
                <w:szCs w:val="10"/>
                <w:color w:val="auto"/>
              </w:rPr>
            </w:pPr>
          </w:p>
        </w:tc>
        <w:tc>
          <w:tcPr>
            <w:tcW w:w="240" w:type="dxa"/>
            <w:vAlign w:val="bottom"/>
            <w:tcBorders>
              <w:top w:val="single" w:sz="8" w:color="F0FFFF"/>
            </w:tcBorders>
            <w:shd w:val="clear" w:color="auto" w:fill="F0FFFF"/>
          </w:tcPr>
          <w:p>
            <w:pPr>
              <w:spacing w:after="0"/>
              <w:rPr>
                <w:sz w:val="10"/>
                <w:szCs w:val="10"/>
                <w:color w:val="auto"/>
              </w:rPr>
            </w:pPr>
          </w:p>
        </w:tc>
        <w:tc>
          <w:tcPr>
            <w:tcW w:w="104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auto"/>
            </w:tcBorders>
            <w:shd w:val="clear" w:color="auto" w:fill="F0FFFF"/>
          </w:tcPr>
          <w:p>
            <w:pPr>
              <w:spacing w:after="0"/>
              <w:rPr>
                <w:sz w:val="10"/>
                <w:szCs w:val="10"/>
                <w:color w:val="auto"/>
              </w:rPr>
            </w:pPr>
          </w:p>
        </w:tc>
        <w:tc>
          <w:tcPr>
            <w:tcW w:w="540" w:type="dxa"/>
            <w:vAlign w:val="bottom"/>
            <w:tcBorders>
              <w:top w:val="single" w:sz="8" w:color="auto"/>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auto"/>
            </w:tcBorders>
            <w:shd w:val="clear" w:color="auto" w:fill="F0FFFF"/>
          </w:tcPr>
          <w:p>
            <w:pPr>
              <w:spacing w:after="0"/>
              <w:rPr>
                <w:sz w:val="10"/>
                <w:szCs w:val="10"/>
                <w:color w:val="auto"/>
              </w:rPr>
            </w:pPr>
          </w:p>
        </w:tc>
        <w:tc>
          <w:tcPr>
            <w:tcW w:w="540" w:type="dxa"/>
            <w:vAlign w:val="bottom"/>
            <w:tcBorders>
              <w:top w:val="single" w:sz="8" w:color="auto"/>
            </w:tcBorders>
            <w:shd w:val="clear" w:color="auto" w:fill="F0FFFF"/>
          </w:tcPr>
          <w:p>
            <w:pPr>
              <w:spacing w:after="0"/>
              <w:rPr>
                <w:sz w:val="10"/>
                <w:szCs w:val="10"/>
                <w:color w:val="auto"/>
              </w:rPr>
            </w:pPr>
          </w:p>
        </w:tc>
        <w:tc>
          <w:tcPr>
            <w:tcW w:w="20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auto"/>
            </w:tcBorders>
            <w:shd w:val="clear" w:color="auto" w:fill="F0FFFF"/>
          </w:tcPr>
          <w:p>
            <w:pPr>
              <w:spacing w:after="0"/>
              <w:rPr>
                <w:sz w:val="10"/>
                <w:szCs w:val="10"/>
                <w:color w:val="auto"/>
              </w:rPr>
            </w:pPr>
          </w:p>
        </w:tc>
        <w:tc>
          <w:tcPr>
            <w:tcW w:w="540" w:type="dxa"/>
            <w:vAlign w:val="bottom"/>
            <w:tcBorders>
              <w:top w:val="single" w:sz="8" w:color="auto"/>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1120" w:type="dxa"/>
            <w:vAlign w:val="bottom"/>
            <w:tcBorders>
              <w:top w:val="single" w:sz="8" w:color="F0FFFF"/>
            </w:tcBorders>
            <w:gridSpan w:val="3"/>
            <w:shd w:val="clear" w:color="auto" w:fill="F0FFFF"/>
          </w:tcPr>
          <w:p>
            <w:pPr>
              <w:ind w:left="100"/>
              <w:spacing w:after="0" w:line="116" w:lineRule="exact"/>
              <w:rPr>
                <w:sz w:val="20"/>
                <w:szCs w:val="20"/>
                <w:color w:val="auto"/>
              </w:rPr>
            </w:pPr>
            <w:r>
              <w:rPr>
                <w:rFonts w:ascii="Arial" w:cs="Arial" w:eastAsia="Arial" w:hAnsi="Arial"/>
                <w:sz w:val="13"/>
                <w:szCs w:val="13"/>
                <w:color w:val="auto"/>
              </w:rPr>
              <w:t>Interest</w:t>
            </w:r>
          </w:p>
        </w:tc>
        <w:tc>
          <w:tcPr>
            <w:tcW w:w="52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40" w:type="dxa"/>
            <w:vAlign w:val="bottom"/>
            <w:tcBorders>
              <w:top w:val="single" w:sz="8" w:color="F0FFFF"/>
            </w:tcBorders>
            <w:shd w:val="clear" w:color="auto" w:fill="F0FFFF"/>
          </w:tcPr>
          <w:p>
            <w:pPr>
              <w:spacing w:after="0"/>
              <w:rPr>
                <w:sz w:val="10"/>
                <w:szCs w:val="10"/>
                <w:color w:val="auto"/>
              </w:rPr>
            </w:pPr>
          </w:p>
        </w:tc>
        <w:tc>
          <w:tcPr>
            <w:tcW w:w="540" w:type="dxa"/>
            <w:vAlign w:val="bottom"/>
            <w:tcBorders>
              <w:top w:val="single" w:sz="8" w:color="F0FFFF"/>
            </w:tcBorders>
            <w:shd w:val="clear" w:color="auto" w:fill="F0FFFF"/>
          </w:tcPr>
          <w:p>
            <w:pPr>
              <w:spacing w:after="0"/>
              <w:rPr>
                <w:sz w:val="10"/>
                <w:szCs w:val="10"/>
                <w:color w:val="auto"/>
              </w:rPr>
            </w:pPr>
          </w:p>
        </w:tc>
        <w:tc>
          <w:tcPr>
            <w:tcW w:w="220" w:type="dxa"/>
            <w:vAlign w:val="bottom"/>
            <w:tcBorders>
              <w:top w:val="single" w:sz="8" w:color="F0FFFF"/>
            </w:tcBorders>
            <w:shd w:val="clear" w:color="auto" w:fill="F0FFFF"/>
          </w:tcPr>
          <w:p>
            <w:pPr>
              <w:spacing w:after="0"/>
              <w:rPr>
                <w:sz w:val="10"/>
                <w:szCs w:val="10"/>
                <w:color w:val="auto"/>
              </w:rPr>
            </w:pPr>
          </w:p>
        </w:tc>
        <w:tc>
          <w:tcPr>
            <w:tcW w:w="120" w:type="dxa"/>
            <w:vAlign w:val="bottom"/>
            <w:tcBorders>
              <w:top w:val="single" w:sz="8" w:color="F0FFFF"/>
            </w:tcBorders>
            <w:shd w:val="clear" w:color="auto" w:fill="F0FFFF"/>
          </w:tcPr>
          <w:p>
            <w:pPr>
              <w:spacing w:after="0"/>
              <w:rPr>
                <w:sz w:val="10"/>
                <w:szCs w:val="10"/>
                <w:color w:val="auto"/>
              </w:rPr>
            </w:pPr>
          </w:p>
        </w:tc>
        <w:tc>
          <w:tcPr>
            <w:tcW w:w="560" w:type="dxa"/>
            <w:vAlign w:val="bottom"/>
            <w:tcBorders>
              <w:top w:val="single" w:sz="8" w:color="F0FFFF"/>
            </w:tcBorders>
            <w:shd w:val="clear" w:color="auto" w:fill="F0FFFF"/>
          </w:tcPr>
          <w:p>
            <w:pPr>
              <w:spacing w:after="0"/>
              <w:rPr>
                <w:sz w:val="10"/>
                <w:szCs w:val="10"/>
                <w:color w:val="auto"/>
              </w:rPr>
            </w:pPr>
          </w:p>
        </w:tc>
        <w:tc>
          <w:tcPr>
            <w:tcW w:w="100" w:type="dxa"/>
            <w:vAlign w:val="bottom"/>
            <w:tcBorders>
              <w:top w:val="single" w:sz="8" w:color="F0FFFF"/>
            </w:tcBorders>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214"/>
        </w:trPr>
        <w:tc>
          <w:tcPr>
            <w:tcW w:w="940" w:type="dxa"/>
            <w:vAlign w:val="bottom"/>
            <w:shd w:val="clear" w:color="auto" w:fill="F0FFFF"/>
          </w:tcPr>
          <w:p>
            <w:pPr>
              <w:spacing w:after="0"/>
              <w:rPr>
                <w:sz w:val="20"/>
                <w:szCs w:val="20"/>
                <w:color w:val="auto"/>
              </w:rPr>
            </w:pPr>
            <w:r>
              <w:rPr>
                <w:rFonts w:ascii="Arial" w:cs="Arial" w:eastAsia="Arial" w:hAnsi="Arial"/>
                <w:sz w:val="14"/>
                <w:szCs w:val="14"/>
                <w:color w:val="auto"/>
              </w:rPr>
              <w:t>swaps</w:t>
            </w:r>
          </w:p>
        </w:tc>
        <w:tc>
          <w:tcPr>
            <w:tcW w:w="3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gridSpan w:val="3"/>
            <w:shd w:val="clear" w:color="auto" w:fill="F0FFFF"/>
          </w:tcPr>
          <w:p>
            <w:pPr>
              <w:jc w:val="right"/>
              <w:ind w:right="80"/>
              <w:spacing w:after="0" w:line="194" w:lineRule="exact"/>
              <w:rPr>
                <w:sz w:val="20"/>
                <w:szCs w:val="20"/>
                <w:color w:val="auto"/>
              </w:rPr>
            </w:pPr>
            <w:r>
              <w:rPr>
                <w:rFonts w:ascii="Arial" w:cs="Arial" w:eastAsia="Arial" w:hAnsi="Arial"/>
                <w:sz w:val="12"/>
                <w:szCs w:val="12"/>
                <w:color w:val="auto"/>
              </w:rPr>
              <w:t>(471</w:t>
            </w: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940" w:type="dxa"/>
            <w:vAlign w:val="bottom"/>
            <w:gridSpan w:val="3"/>
            <w:shd w:val="clear" w:color="auto" w:fill="F0FFFF"/>
          </w:tcPr>
          <w:p>
            <w:pPr>
              <w:jc w:val="right"/>
              <w:ind w:right="60"/>
              <w:spacing w:after="0" w:line="194" w:lineRule="exact"/>
              <w:rPr>
                <w:sz w:val="20"/>
                <w:szCs w:val="20"/>
                <w:color w:val="auto"/>
              </w:rPr>
            </w:pPr>
            <w:r>
              <w:rPr>
                <w:rFonts w:ascii="Arial" w:cs="Arial" w:eastAsia="Arial" w:hAnsi="Arial"/>
                <w:sz w:val="12"/>
                <w:szCs w:val="12"/>
                <w:color w:val="auto"/>
              </w:rPr>
              <w:t>(8,437</w:t>
            </w: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800" w:type="dxa"/>
            <w:vAlign w:val="bottom"/>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10,084</w:t>
            </w:r>
          </w:p>
        </w:tc>
        <w:tc>
          <w:tcPr>
            <w:tcW w:w="104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F0FFFF"/>
          </w:tcPr>
          <w:p>
            <w:pPr>
              <w:jc w:val="right"/>
              <w:ind w:right="160"/>
              <w:spacing w:after="0" w:line="194" w:lineRule="exact"/>
              <w:rPr>
                <w:sz w:val="20"/>
                <w:szCs w:val="20"/>
                <w:color w:val="auto"/>
              </w:rPr>
            </w:pPr>
            <w:r>
              <w:rPr>
                <w:rFonts w:ascii="Arial" w:cs="Arial" w:eastAsia="Arial" w:hAnsi="Arial"/>
                <w:sz w:val="12"/>
                <w:szCs w:val="12"/>
                <w:color w:val="auto"/>
              </w:rPr>
              <w:t>(1,936</w:t>
            </w:r>
            <w:r>
              <w:rPr>
                <w:rFonts w:ascii="Arial" w:cs="Arial" w:eastAsia="Arial" w:hAnsi="Arial"/>
                <w:sz w:val="22"/>
                <w:szCs w:val="22"/>
                <w:color w:val="auto"/>
                <w:vertAlign w:val="superscript"/>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F0FFFF"/>
          </w:tcPr>
          <w:p>
            <w:pPr>
              <w:jc w:val="right"/>
              <w:ind w:right="160"/>
              <w:spacing w:after="0" w:line="194" w:lineRule="exact"/>
              <w:rPr>
                <w:sz w:val="20"/>
                <w:szCs w:val="20"/>
                <w:color w:val="auto"/>
              </w:rPr>
            </w:pPr>
            <w:r>
              <w:rPr>
                <w:rFonts w:ascii="Arial" w:cs="Arial" w:eastAsia="Arial" w:hAnsi="Arial"/>
                <w:sz w:val="12"/>
                <w:szCs w:val="12"/>
                <w:color w:val="auto"/>
              </w:rPr>
              <w:t>(2,010</w:t>
            </w:r>
            <w:r>
              <w:rPr>
                <w:rFonts w:ascii="Arial" w:cs="Arial" w:eastAsia="Arial" w:hAnsi="Arial"/>
                <w:sz w:val="22"/>
                <w:szCs w:val="22"/>
                <w:color w:val="auto"/>
                <w:vertAlign w:val="superscript"/>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904</w:t>
            </w:r>
          </w:p>
        </w:tc>
        <w:tc>
          <w:tcPr>
            <w:tcW w:w="1120" w:type="dxa"/>
            <w:vAlign w:val="bottom"/>
            <w:gridSpan w:val="3"/>
            <w:shd w:val="clear" w:color="auto" w:fill="F0FFFF"/>
          </w:tcPr>
          <w:p>
            <w:pPr>
              <w:ind w:left="100"/>
              <w:spacing w:after="0"/>
              <w:rPr>
                <w:sz w:val="20"/>
                <w:szCs w:val="20"/>
                <w:color w:val="auto"/>
              </w:rPr>
            </w:pPr>
            <w:r>
              <w:rPr>
                <w:rFonts w:ascii="Arial" w:cs="Arial" w:eastAsia="Arial" w:hAnsi="Arial"/>
                <w:sz w:val="14"/>
                <w:szCs w:val="14"/>
                <w:color w:val="auto"/>
              </w:rPr>
              <w:t>expense</w:t>
            </w:r>
          </w:p>
        </w:tc>
        <w:tc>
          <w:tcPr>
            <w:tcW w:w="520" w:type="dxa"/>
            <w:vAlign w:val="bottom"/>
            <w:shd w:val="clear" w:color="auto" w:fill="F0FFFF"/>
          </w:tcPr>
          <w:p>
            <w:pPr>
              <w:jc w:val="right"/>
              <w:ind w:right="395"/>
              <w:spacing w:after="0"/>
              <w:rPr>
                <w:sz w:val="20"/>
                <w:szCs w:val="20"/>
                <w:color w:val="auto"/>
              </w:rPr>
            </w:pPr>
            <w:r>
              <w:rPr>
                <w:rFonts w:ascii="Arial" w:cs="Arial" w:eastAsia="Arial" w:hAnsi="Arial"/>
                <w:sz w:val="10"/>
                <w:szCs w:val="10"/>
                <w:color w:val="auto"/>
                <w:w w:val="71"/>
              </w:rPr>
              <w:t>$</w:t>
            </w:r>
          </w:p>
        </w:tc>
        <w:tc>
          <w:tcPr>
            <w:tcW w:w="500" w:type="dxa"/>
            <w:vAlign w:val="bottom"/>
            <w:gridSpan w:val="3"/>
            <w:shd w:val="clear" w:color="auto" w:fill="F0FFFF"/>
          </w:tcPr>
          <w:p>
            <w:pPr>
              <w:jc w:val="center"/>
              <w:ind w:right="40"/>
              <w:spacing w:after="0" w:line="194" w:lineRule="exact"/>
              <w:rPr>
                <w:sz w:val="20"/>
                <w:szCs w:val="20"/>
                <w:color w:val="auto"/>
              </w:rPr>
            </w:pPr>
            <w:r>
              <w:rPr>
                <w:rFonts w:ascii="Arial" w:cs="Arial" w:eastAsia="Arial" w:hAnsi="Arial"/>
                <w:sz w:val="12"/>
                <w:szCs w:val="12"/>
                <w:color w:val="auto"/>
              </w:rPr>
              <w:t>(7</w:t>
            </w: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880" w:type="dxa"/>
            <w:vAlign w:val="bottom"/>
            <w:gridSpan w:val="3"/>
            <w:shd w:val="clear" w:color="auto" w:fill="F0FFFF"/>
          </w:tcPr>
          <w:p>
            <w:pPr>
              <w:jc w:val="right"/>
              <w:ind w:right="60"/>
              <w:spacing w:after="0" w:line="194" w:lineRule="exact"/>
              <w:rPr>
                <w:sz w:val="20"/>
                <w:szCs w:val="20"/>
                <w:color w:val="auto"/>
              </w:rPr>
            </w:pPr>
            <w:r>
              <w:rPr>
                <w:rFonts w:ascii="Arial" w:cs="Arial" w:eastAsia="Arial" w:hAnsi="Arial"/>
                <w:sz w:val="12"/>
                <w:szCs w:val="12"/>
                <w:color w:val="auto"/>
              </w:rPr>
              <w:t>(107</w:t>
            </w:r>
            <w:r>
              <w:rPr>
                <w:rFonts w:ascii="Arial" w:cs="Arial" w:eastAsia="Arial" w:hAnsi="Arial"/>
                <w:sz w:val="22"/>
                <w:szCs w:val="22"/>
                <w:color w:val="auto"/>
                <w:vertAlign w:val="superscript"/>
              </w:rPr>
              <w:t>)</w:t>
            </w:r>
            <w:r>
              <w:rPr>
                <w:rFonts w:ascii="Arial" w:cs="Arial" w:eastAsia="Arial" w:hAnsi="Arial"/>
                <w:sz w:val="12"/>
                <w:szCs w:val="12"/>
                <w:color w:val="auto"/>
              </w:rPr>
              <w:t xml:space="preserve">   $</w:t>
            </w:r>
          </w:p>
        </w:tc>
        <w:tc>
          <w:tcPr>
            <w:tcW w:w="6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9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F0FFFF"/>
            </w:tcBorders>
          </w:tcPr>
          <w:p>
            <w:pPr>
              <w:spacing w:after="0" w:line="20" w:lineRule="exact"/>
              <w:rPr>
                <w:sz w:val="1"/>
                <w:szCs w:val="1"/>
                <w:color w:val="auto"/>
              </w:rPr>
            </w:pPr>
          </w:p>
        </w:tc>
        <w:tc>
          <w:tcPr>
            <w:tcW w:w="104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90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7580" w:hanging="332"/>
        <w:spacing w:after="0" w:line="566" w:lineRule="auto"/>
        <w:tabs>
          <w:tab w:leader="none" w:pos="34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Derivatives and Hedging Activities, continued </w:t>
      </w:r>
      <w:r>
        <w:rPr>
          <w:rFonts w:ascii="Arial" w:cs="Arial" w:eastAsia="Arial" w:hAnsi="Arial"/>
          <w:sz w:val="16"/>
          <w:szCs w:val="16"/>
          <w:b w:val="1"/>
          <w:bCs w:val="1"/>
          <w:u w:val="single" w:color="auto"/>
          <w:color w:val="auto"/>
        </w:rPr>
        <w:t>Fair Value Hedges of Interest Rate Risk</w:t>
      </w:r>
    </w:p>
    <w:p>
      <w:pPr>
        <w:jc w:val="both"/>
        <w:ind w:left="340"/>
        <w:spacing w:after="0" w:line="269" w:lineRule="auto"/>
        <w:rPr>
          <w:rFonts w:ascii="Arial" w:cs="Arial" w:eastAsia="Arial" w:hAnsi="Arial"/>
          <w:sz w:val="16"/>
          <w:szCs w:val="16"/>
          <w:b w:val="1"/>
          <w:bCs w:val="1"/>
          <w:color w:val="auto"/>
        </w:rPr>
      </w:pPr>
      <w:r>
        <w:rPr>
          <w:rFonts w:ascii="Arial" w:cs="Arial" w:eastAsia="Arial" w:hAnsi="Arial"/>
          <w:sz w:val="17"/>
          <w:szCs w:val="17"/>
          <w:color w:val="auto"/>
        </w:rPr>
        <w:t>United is exposed to changes in the fair value of certain of its fixed 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 rate investments involve the receipt of variable-rate payments from a counterparty in exchange for United making fixed rate payments over the life of the instrument without the exchange of the underlying notional amount. At December 31, 2015, United had 13 interest rate swaps with an aggregate notional amount of $156 million that were designated as fair value hedges of interest rate risk and were pay-variable / receive-fixed swaps hedging the changes in the fair value of fixed rate brokered time deposits resulting from changes in interest rates. Also at December 31, 2015, United had one interest rate swap with a notional of $30 million that was designated as a pay-fixed / receive variable fair value hedge of changes in the fair value of a fixed rate corporate bond. At December 31, 2014, United had 16 interest rate swaps with an aggregate notional amount of $197 million that were designated as fair value hedges of interest rate risk and were pay-variable / receive-fixed swaps hedging the changes in the fair value of fixed rate brokered time deposits resulting from changes in interest rates.</w:t>
      </w:r>
    </w:p>
    <w:p>
      <w:pPr>
        <w:spacing w:after="0" w:line="179" w:lineRule="exact"/>
        <w:rPr>
          <w:rFonts w:ascii="Arial" w:cs="Arial" w:eastAsia="Arial" w:hAnsi="Arial"/>
          <w:sz w:val="16"/>
          <w:szCs w:val="16"/>
          <w:b w:val="1"/>
          <w:bCs w:val="1"/>
          <w:color w:val="auto"/>
        </w:rPr>
      </w:pPr>
    </w:p>
    <w:p>
      <w:pPr>
        <w:jc w:val="both"/>
        <w:ind w:left="34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year ended December 31, 2015, 2014, and 2013, United recognized a net gain of $210,000, a net loss of $1.28 million, and a net gain of $1.07 million, respectively, related to ineffectiveness in the fair value hedging relationships. United also recognized a net reduction of interest expense of $4.46 million, $4.61 million and $4.67 million for the years ended December 31, 2015, 2014 and 2013, respectively, related to fair value hedges of brokered time deposits, which includes net settlements on the derivatives. United recognized a reduction of interest revenue on securities of $498,000, $955,000 and $1.33 million during 2015, 2014, and 2013, respectively, related to fair value hedges of corporate bonds.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table below presents the effect of derivatives in fair value hedging relationships on the consolidated statement of income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Location of Gain</w:t>
            </w:r>
          </w:p>
        </w:tc>
        <w:tc>
          <w:tcPr>
            <w:tcW w:w="220" w:type="dxa"/>
            <w:vAlign w:val="bottom"/>
          </w:tcPr>
          <w:p>
            <w:pPr>
              <w:spacing w:after="0"/>
              <w:rPr>
                <w:sz w:val="14"/>
                <w:szCs w:val="14"/>
                <w:color w:val="auto"/>
              </w:rPr>
            </w:pPr>
          </w:p>
        </w:tc>
        <w:tc>
          <w:tcPr>
            <w:tcW w:w="3380" w:type="dxa"/>
            <w:vAlign w:val="bottom"/>
            <w:gridSpan w:val="10"/>
            <w:vMerge w:val="restart"/>
          </w:tcPr>
          <w:p>
            <w:pPr>
              <w:jc w:val="center"/>
              <w:ind w:right="280"/>
              <w:spacing w:after="0"/>
              <w:rPr>
                <w:sz w:val="20"/>
                <w:szCs w:val="20"/>
                <w:color w:val="auto"/>
              </w:rPr>
            </w:pPr>
            <w:r>
              <w:rPr>
                <w:rFonts w:ascii="Arial" w:cs="Arial" w:eastAsia="Arial" w:hAnsi="Arial"/>
                <w:sz w:val="14"/>
                <w:szCs w:val="14"/>
                <w:b w:val="1"/>
                <w:bCs w:val="1"/>
                <w:color w:val="auto"/>
                <w:w w:val="92"/>
              </w:rPr>
              <w:t>Amount of Gain (Loss) Recognized in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10"/>
            <w:vMerge w:val="restart"/>
          </w:tcPr>
          <w:p>
            <w:pPr>
              <w:jc w:val="center"/>
              <w:ind w:right="340"/>
              <w:spacing w:after="0"/>
              <w:rPr>
                <w:sz w:val="20"/>
                <w:szCs w:val="20"/>
                <w:color w:val="auto"/>
              </w:rPr>
            </w:pPr>
            <w:r>
              <w:rPr>
                <w:rFonts w:ascii="Arial" w:cs="Arial" w:eastAsia="Arial" w:hAnsi="Arial"/>
                <w:sz w:val="14"/>
                <w:szCs w:val="14"/>
                <w:b w:val="1"/>
                <w:bCs w:val="1"/>
                <w:color w:val="auto"/>
                <w:w w:val="92"/>
              </w:rPr>
              <w:t>Amount of Gain (Loss) Recognized in</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(Loss) Recognized</w:t>
            </w:r>
          </w:p>
        </w:tc>
        <w:tc>
          <w:tcPr>
            <w:tcW w:w="220" w:type="dxa"/>
            <w:vAlign w:val="bottom"/>
          </w:tcPr>
          <w:p>
            <w:pPr>
              <w:spacing w:after="0"/>
              <w:rPr>
                <w:sz w:val="12"/>
                <w:szCs w:val="12"/>
                <w:color w:val="auto"/>
              </w:rPr>
            </w:pPr>
          </w:p>
        </w:tc>
        <w:tc>
          <w:tcPr>
            <w:tcW w:w="3380" w:type="dxa"/>
            <w:vAlign w:val="bottom"/>
            <w:gridSpan w:val="10"/>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20" w:type="dxa"/>
            <w:vAlign w:val="bottom"/>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 Income</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Income on Derivative</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8"/>
          </w:tcPr>
          <w:p>
            <w:pPr>
              <w:jc w:val="center"/>
              <w:ind w:left="499"/>
              <w:spacing w:after="0"/>
              <w:rPr>
                <w:sz w:val="20"/>
                <w:szCs w:val="20"/>
                <w:color w:val="auto"/>
              </w:rPr>
            </w:pPr>
            <w:r>
              <w:rPr>
                <w:rFonts w:ascii="Arial" w:cs="Arial" w:eastAsia="Arial" w:hAnsi="Arial"/>
                <w:sz w:val="14"/>
                <w:szCs w:val="14"/>
                <w:b w:val="1"/>
                <w:bCs w:val="1"/>
                <w:color w:val="auto"/>
                <w:w w:val="93"/>
              </w:rPr>
              <w:t>Income on Hedged Item</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on Derivative</w:t>
            </w:r>
          </w:p>
        </w:tc>
        <w:tc>
          <w:tcPr>
            <w:tcW w:w="22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right="134"/>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Interest</w:t>
            </w: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F0FFFF"/>
          </w:tcPr>
          <w:p>
            <w:pPr>
              <w:spacing w:after="0"/>
              <w:rPr>
                <w:sz w:val="20"/>
                <w:szCs w:val="20"/>
                <w:color w:val="auto"/>
              </w:rPr>
            </w:pPr>
            <w:r>
              <w:rPr>
                <w:rFonts w:ascii="Arial" w:cs="Arial" w:eastAsia="Arial" w:hAnsi="Arial"/>
                <w:sz w:val="18"/>
                <w:szCs w:val="18"/>
                <w:color w:val="auto"/>
              </w:rPr>
              <w:t>Fair value hedges of brokered CD’s</w:t>
            </w:r>
          </w:p>
        </w:tc>
        <w:tc>
          <w:tcPr>
            <w:tcW w:w="12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expense</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1,814</w:t>
            </w:r>
          </w:p>
        </w:tc>
        <w:tc>
          <w:tcPr>
            <w:tcW w:w="4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13,400</w:t>
            </w:r>
          </w:p>
        </w:tc>
        <w:tc>
          <w:tcPr>
            <w:tcW w:w="26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(16,433)</w:t>
            </w:r>
          </w:p>
        </w:tc>
        <w:tc>
          <w:tcPr>
            <w:tcW w:w="30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(1,507)</w:t>
            </w:r>
          </w:p>
        </w:tc>
        <w:tc>
          <w:tcPr>
            <w:tcW w:w="30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(14,357)</w:t>
            </w:r>
          </w:p>
        </w:tc>
        <w:tc>
          <w:tcPr>
            <w:tcW w:w="300" w:type="dxa"/>
            <w:vAlign w:val="bottom"/>
            <w:gridSpan w:val="2"/>
            <w:shd w:val="clear" w:color="auto" w:fill="F0FF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16,981</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1240" w:type="dxa"/>
            <w:vAlign w:val="bottom"/>
            <w:gridSpan w:val="2"/>
          </w:tcPr>
          <w:p>
            <w:pPr>
              <w:spacing w:after="0" w:line="201" w:lineRule="exact"/>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920" w:type="dxa"/>
            <w:vAlign w:val="bottom"/>
          </w:tcPr>
          <w:p>
            <w:pPr>
              <w:spacing w:after="0"/>
              <w:rPr>
                <w:sz w:val="20"/>
                <w:szCs w:val="20"/>
                <w:color w:val="auto"/>
              </w:rPr>
            </w:pPr>
            <w:r>
              <w:rPr>
                <w:rFonts w:ascii="Arial" w:cs="Arial" w:eastAsia="Arial" w:hAnsi="Arial"/>
                <w:sz w:val="18"/>
                <w:szCs w:val="18"/>
                <w:color w:val="auto"/>
                <w:w w:val="97"/>
              </w:rPr>
              <w:t>Fair value hedges of corporate bonds</w:t>
            </w:r>
          </w:p>
        </w:tc>
        <w:tc>
          <w:tcPr>
            <w:tcW w:w="12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(2,487)</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6,285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2,163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(5,765)</w:t>
            </w:r>
          </w:p>
        </w:tc>
        <w:tc>
          <w:tcPr>
            <w:tcW w:w="0" w:type="dxa"/>
            <w:vAlign w:val="bottom"/>
          </w:tcPr>
          <w:p>
            <w:pPr>
              <w:spacing w:after="0"/>
              <w:rPr>
                <w:sz w:val="1"/>
                <w:szCs w:val="1"/>
                <w:color w:val="auto"/>
              </w:rPr>
            </w:pPr>
          </w:p>
        </w:tc>
      </w:tr>
      <w:tr>
        <w:trPr>
          <w:trHeight w:val="255"/>
        </w:trPr>
        <w:tc>
          <w:tcPr>
            <w:tcW w:w="2920" w:type="dxa"/>
            <w:vAlign w:val="bottom"/>
            <w:tcBorders>
              <w:top w:val="single" w:sz="8" w:color="F0FFFF"/>
              <w:bottom w:val="single" w:sz="8" w:color="F0FFFF"/>
            </w:tcBorders>
            <w:shd w:val="clear" w:color="auto" w:fill="F0FFFF"/>
          </w:tcPr>
          <w:p>
            <w:pPr>
              <w:spacing w:after="0"/>
              <w:rPr>
                <w:sz w:val="21"/>
                <w:szCs w:val="21"/>
                <w:color w:val="auto"/>
              </w:rPr>
            </w:pPr>
          </w:p>
        </w:tc>
        <w:tc>
          <w:tcPr>
            <w:tcW w:w="1120" w:type="dxa"/>
            <w:vAlign w:val="bottom"/>
            <w:tcBorders>
              <w:top w:val="single" w:sz="8" w:color="F0FFFF"/>
              <w:bottom w:val="single" w:sz="8" w:color="F0FFFF"/>
            </w:tcBorders>
            <w:shd w:val="clear" w:color="auto" w:fill="F0FFFF"/>
          </w:tcPr>
          <w:p>
            <w:pPr>
              <w:spacing w:after="0"/>
              <w:rPr>
                <w:sz w:val="21"/>
                <w:szCs w:val="21"/>
                <w:color w:val="auto"/>
              </w:rPr>
            </w:pPr>
          </w:p>
        </w:tc>
        <w:tc>
          <w:tcPr>
            <w:tcW w:w="12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1,845</w:t>
            </w: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10,913</w:t>
            </w:r>
          </w:p>
        </w:tc>
        <w:tc>
          <w:tcPr>
            <w:tcW w:w="180" w:type="dxa"/>
            <w:vAlign w:val="bottom"/>
            <w:tcBorders>
              <w:top w:val="single" w:sz="8" w:color="F0FFFF"/>
              <w:bottom w:val="single" w:sz="8" w:color="F0FFFF"/>
            </w:tcBorders>
            <w:shd w:val="clear" w:color="auto" w:fill="F0FFFF"/>
          </w:tcPr>
          <w:p>
            <w:pPr>
              <w:spacing w:after="0"/>
              <w:rPr>
                <w:sz w:val="21"/>
                <w:szCs w:val="21"/>
                <w:color w:val="auto"/>
              </w:rPr>
            </w:pPr>
          </w:p>
        </w:tc>
        <w:tc>
          <w:tcPr>
            <w:tcW w:w="4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(10,148</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(1,635</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(12,194</w:t>
            </w:r>
          </w:p>
        </w:tc>
        <w:tc>
          <w:tcPr>
            <w:tcW w:w="140" w:type="dxa"/>
            <w:vAlign w:val="bottom"/>
            <w:tcBorders>
              <w:top w:val="single" w:sz="8" w:color="F0FFFF"/>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F0FFFF"/>
              <w:bottom w:val="single" w:sz="8" w:color="F0FFFF"/>
            </w:tcBorders>
            <w:shd w:val="clear" w:color="auto" w:fill="F0FFFF"/>
          </w:tcPr>
          <w:p>
            <w:pPr>
              <w:spacing w:after="0"/>
              <w:rPr>
                <w:sz w:val="21"/>
                <w:szCs w:val="21"/>
                <w:color w:val="auto"/>
              </w:rPr>
            </w:pPr>
          </w:p>
        </w:tc>
        <w:tc>
          <w:tcPr>
            <w:tcW w:w="220" w:type="dxa"/>
            <w:vAlign w:val="bottom"/>
            <w:tcBorders>
              <w:top w:val="single" w:sz="8" w:color="auto"/>
              <w:bottom w:val="single" w:sz="8" w:color="auto"/>
            </w:tcBorders>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Borders>
              <w:top w:val="single" w:sz="8" w:color="F0FFFF"/>
              <w:bottom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F0FFFF"/>
            </w:tcBorders>
          </w:tcPr>
          <w:p>
            <w:pPr>
              <w:spacing w:after="0" w:line="20" w:lineRule="exact"/>
              <w:rPr>
                <w:sz w:val="1"/>
                <w:szCs w:val="1"/>
                <w:color w:val="auto"/>
              </w:rPr>
            </w:pPr>
          </w:p>
        </w:tc>
        <w:tc>
          <w:tcPr>
            <w:tcW w:w="1120" w:type="dxa"/>
            <w:vAlign w:val="bottom"/>
            <w:tcBorders>
              <w:top w:val="single" w:sz="8" w:color="F0FFFF"/>
            </w:tcBorders>
          </w:tcPr>
          <w:p>
            <w:pPr>
              <w:spacing w:after="0" w:line="20" w:lineRule="exact"/>
              <w:rPr>
                <w:sz w:val="1"/>
                <w:szCs w:val="1"/>
                <w:color w:val="auto"/>
              </w:rPr>
            </w:pPr>
          </w:p>
        </w:tc>
        <w:tc>
          <w:tcPr>
            <w:tcW w:w="1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4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780" w:type="dxa"/>
            <w:vAlign w:val="bottom"/>
            <w:tcBorders>
              <w:top w:val="single" w:sz="8" w:color="F0FFFF"/>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bottom w:val="single" w:sz="8" w:color="auto"/>
            </w:tcBorders>
          </w:tcPr>
          <w:p>
            <w:pPr>
              <w:spacing w:after="0" w:line="20" w:lineRule="exact"/>
              <w:rPr>
                <w:sz w:val="1"/>
                <w:szCs w:val="1"/>
                <w:color w:val="auto"/>
              </w:rPr>
            </w:pPr>
          </w:p>
        </w:tc>
        <w:tc>
          <w:tcPr>
            <w:tcW w:w="800" w:type="dxa"/>
            <w:vAlign w:val="bottom"/>
            <w:tcBorders>
              <w:top w:val="single" w:sz="8" w:color="F0FFFF"/>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In certain cases, the estate of deceased brokered certificate of deposit holders may put the certificate of deposit back to the issuing bank at par upon the death of the holder. When these death puts occur, a gain or loss is recognized for the difference between the carrying value and the par amount of the deposits put back. The change in the fair value of brokered time deposits that are being hedged in fair value hedging relationships reported in the table above include gains and losses from death puts and such gains and losses are included in the amount of reported ineffectiveness gains or losses.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29"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December 31, 2015, collateral totaling $30.9 million was pledged toward derivatives in a liability position.</w:t>
      </w:r>
    </w:p>
    <w:p>
      <w:pPr>
        <w:spacing w:after="0" w:line="187"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9400" w:hanging="332"/>
        <w:spacing w:after="0" w:line="566" w:lineRule="auto"/>
        <w:tabs>
          <w:tab w:leader="none" w:pos="34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Matters </w:t>
      </w:r>
      <w:r>
        <w:rPr>
          <w:rFonts w:ascii="Arial" w:cs="Arial" w:eastAsia="Arial" w:hAnsi="Arial"/>
          <w:sz w:val="16"/>
          <w:szCs w:val="16"/>
          <w:b w:val="1"/>
          <w:bCs w:val="1"/>
          <w:u w:val="single" w:color="auto"/>
          <w:color w:val="auto"/>
        </w:rPr>
        <w:t>Capital Requirements</w:t>
      </w:r>
    </w:p>
    <w:p>
      <w:pPr>
        <w:jc w:val="both"/>
        <w:ind w:left="34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United. Under capital adequacy guidelines and the regulatory framework for prompt corrective action, as revised by the Basel III Capital Rules effective as of January 1, 2015, United and the Bank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 Quantitative measures (as defined) established by regulation to ensure capital adequacy require United and the Bank to maintain minimum amounts and ratios of total capital, Tier 1 capital, and common equity Tier 1 capital (“CET1”) to risk-weighted assets, and of Tier 1 capital to average assets.</w:t>
      </w:r>
    </w:p>
    <w:p>
      <w:pPr>
        <w:spacing w:after="0" w:line="178" w:lineRule="exact"/>
        <w:rPr>
          <w:rFonts w:ascii="Arial" w:cs="Arial" w:eastAsia="Arial" w:hAnsi="Arial"/>
          <w:sz w:val="16"/>
          <w:szCs w:val="16"/>
          <w:b w:val="1"/>
          <w:bCs w:val="1"/>
          <w:color w:val="auto"/>
        </w:rPr>
      </w:pPr>
    </w:p>
    <w:p>
      <w:pPr>
        <w:jc w:val="both"/>
        <w:ind w:left="3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Effective January 1, 2015, the Basel III Capital Rules revised the framework for prompt corrective action by (i) introducing a CET1 ratio requirement at each level (other than critically undercapitalized), with the required CET1 ratio being 6.5% for well-capitalized status; (ii) increasing the minimum Tier 1 capital ratio requirement for each category (other than critically undercapitalized), with the minimum Tier 1 capital ratio for well-capitalized status being 8% (as compared to the prior 6%); and (iii) eliminating the current provision that provides that a bank with a composite supervisory rating of 1 may have a 3% leverage ratio and still be adequately capitalized.</w:t>
      </w:r>
    </w:p>
    <w:p>
      <w:pPr>
        <w:spacing w:after="0" w:line="188" w:lineRule="exact"/>
        <w:rPr>
          <w:rFonts w:ascii="Arial" w:cs="Arial" w:eastAsia="Arial" w:hAnsi="Arial"/>
          <w:sz w:val="16"/>
          <w:szCs w:val="16"/>
          <w:b w:val="1"/>
          <w:bCs w:val="1"/>
          <w:color w:val="auto"/>
        </w:rPr>
      </w:pPr>
    </w:p>
    <w:p>
      <w:pPr>
        <w:jc w:val="both"/>
        <w:ind w:left="34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As of December 31, 2015, United and the Bank were categorized as well-capitalized under the regulatory framework for prompt corrective action in effect at such time. To be categorized as well-capitalized at December 31, 2015, United and the Bank must have exceeded the well-capitalized guideline ratios in effect at such time, as set forth in the table below and have met certain other requirements. Management believes that United and the Bank exceeded all well-capitalized requirements at December 31, 2015, and there have been no conditions or events since year-end that would change the status of well-capitalized.</w:t>
      </w:r>
    </w:p>
    <w:p>
      <w:pPr>
        <w:spacing w:after="0" w:line="188"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color w:val="auto"/>
        </w:rPr>
        <w:t xml:space="preserve">Regulatory capital ratios at December 31, 2015 and 2014, along with the minimum amounts required for capital adequacy purposes and to be well-capitalized under prompt corrective action provisions in effect at such times are presented below for United and the Bank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00" w:type="dxa"/>
            <w:vAlign w:val="bottom"/>
            <w:gridSpan w:val="3"/>
          </w:tcPr>
          <w:p>
            <w:pPr>
              <w:ind w:left="920"/>
              <w:spacing w:after="0"/>
              <w:rPr>
                <w:sz w:val="20"/>
                <w:szCs w:val="20"/>
                <w:color w:val="auto"/>
              </w:rPr>
            </w:pPr>
            <w:r>
              <w:rPr>
                <w:rFonts w:ascii="Arial" w:cs="Arial" w:eastAsia="Arial" w:hAnsi="Arial"/>
                <w:sz w:val="14"/>
                <w:szCs w:val="14"/>
                <w:b w:val="1"/>
                <w:bCs w:val="1"/>
                <w:color w:val="auto"/>
                <w:w w:val="90"/>
              </w:rPr>
              <w:t>Regulatory</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United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1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6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89"/>
              </w:rPr>
              <w:t>Guidelines</w:t>
            </w:r>
          </w:p>
        </w:tc>
        <w:tc>
          <w:tcPr>
            <w:tcW w:w="9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Community</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United</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1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54"/>
              <w:spacing w:after="0" w:line="139" w:lineRule="exact"/>
              <w:rPr>
                <w:sz w:val="20"/>
                <w:szCs w:val="20"/>
                <w:color w:val="auto"/>
              </w:rPr>
            </w:pPr>
            <w:r>
              <w:rPr>
                <w:rFonts w:ascii="Arial" w:cs="Arial" w:eastAsia="Arial" w:hAnsi="Arial"/>
                <w:sz w:val="14"/>
                <w:szCs w:val="14"/>
                <w:b w:val="1"/>
                <w:bCs w:val="1"/>
                <w:color w:val="auto"/>
              </w:rPr>
              <w:t>Well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4"/>
              </w:rPr>
              <w:t>Banks, Inc.</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line="139" w:lineRule="exact"/>
              <w:rPr>
                <w:sz w:val="20"/>
                <w:szCs w:val="20"/>
                <w:color w:val="auto"/>
              </w:rPr>
            </w:pPr>
            <w:r>
              <w:rPr>
                <w:rFonts w:ascii="Arial" w:cs="Arial" w:eastAsia="Arial" w:hAnsi="Arial"/>
                <w:sz w:val="14"/>
                <w:szCs w:val="14"/>
                <w:b w:val="1"/>
                <w:bCs w:val="1"/>
                <w:color w:val="auto"/>
                <w:w w:val="96"/>
              </w:rPr>
              <w:t>Community</w:t>
            </w: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600" w:type="dxa"/>
            <w:vAlign w:val="bottom"/>
            <w:gridSpan w:val="3"/>
          </w:tcPr>
          <w:p>
            <w:pPr>
              <w:ind w:left="260"/>
              <w:spacing w:after="0"/>
              <w:rPr>
                <w:sz w:val="20"/>
                <w:szCs w:val="20"/>
                <w:color w:val="auto"/>
              </w:rPr>
            </w:pPr>
            <w:r>
              <w:rPr>
                <w:rFonts w:ascii="Arial" w:cs="Arial" w:eastAsia="Arial" w:hAnsi="Arial"/>
                <w:sz w:val="14"/>
                <w:szCs w:val="14"/>
                <w:b w:val="1"/>
                <w:bCs w:val="1"/>
                <w:color w:val="auto"/>
              </w:rPr>
              <w:t>Minimum</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Capitalized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(consolidated)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Bank</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December 31, 2015 (Basel III)</w:t>
            </w:r>
          </w:p>
        </w:tc>
        <w:tc>
          <w:tcPr>
            <w:tcW w:w="1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Risk-based ratios: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Common equity tier 1 capital</w:t>
            </w:r>
          </w:p>
        </w:tc>
        <w:tc>
          <w:tcPr>
            <w:tcW w:w="1380" w:type="dxa"/>
            <w:vAlign w:val="bottom"/>
            <w:gridSpan w:val="2"/>
            <w:shd w:val="clear" w:color="auto" w:fill="F0FFFF"/>
          </w:tcPr>
          <w:p>
            <w:pPr>
              <w:ind w:left="92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6.5%</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11.45%</w:t>
            </w: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Tier 1 capital</w:t>
            </w:r>
          </w:p>
        </w:tc>
        <w:tc>
          <w:tcPr>
            <w:tcW w:w="1140" w:type="dxa"/>
            <w:vAlign w:val="bottom"/>
          </w:tcPr>
          <w:p>
            <w:pPr>
              <w:ind w:left="920"/>
              <w:spacing w:after="0"/>
              <w:rPr>
                <w:sz w:val="20"/>
                <w:szCs w:val="20"/>
                <w:color w:val="auto"/>
              </w:rPr>
            </w:pPr>
            <w:r>
              <w:rPr>
                <w:rFonts w:ascii="Arial" w:cs="Arial" w:eastAsia="Arial" w:hAnsi="Arial"/>
                <w:sz w:val="18"/>
                <w:szCs w:val="18"/>
                <w:color w:val="auto"/>
                <w:w w:val="79"/>
              </w:rPr>
              <w:t>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capital</w:t>
            </w:r>
          </w:p>
        </w:tc>
        <w:tc>
          <w:tcPr>
            <w:tcW w:w="1140" w:type="dxa"/>
            <w:vAlign w:val="bottom"/>
            <w:shd w:val="clear" w:color="auto" w:fill="F0FFFF"/>
          </w:tcPr>
          <w:p>
            <w:pPr>
              <w:ind w:left="920"/>
              <w:spacing w:after="0"/>
              <w:rPr>
                <w:sz w:val="20"/>
                <w:szCs w:val="20"/>
                <w:color w:val="auto"/>
              </w:rPr>
            </w:pPr>
            <w:r>
              <w:rPr>
                <w:rFonts w:ascii="Arial" w:cs="Arial" w:eastAsia="Arial" w:hAnsi="Arial"/>
                <w:sz w:val="18"/>
                <w:szCs w:val="18"/>
                <w:color w:val="auto"/>
                <w:w w:val="79"/>
              </w:rPr>
              <w:t>8.0</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12.50</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14.06</w:t>
            </w:r>
          </w:p>
        </w:tc>
        <w:tc>
          <w:tcPr>
            <w:tcW w:w="16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Tier 1 leverage ratio</w:t>
            </w:r>
          </w:p>
        </w:tc>
        <w:tc>
          <w:tcPr>
            <w:tcW w:w="1140" w:type="dxa"/>
            <w:vAlign w:val="bottom"/>
          </w:tcPr>
          <w:p>
            <w:pPr>
              <w:ind w:left="920"/>
              <w:spacing w:after="0"/>
              <w:rPr>
                <w:sz w:val="20"/>
                <w:szCs w:val="20"/>
                <w:color w:val="auto"/>
              </w:rPr>
            </w:pPr>
            <w:r>
              <w:rPr>
                <w:rFonts w:ascii="Arial" w:cs="Arial" w:eastAsia="Arial" w:hAnsi="Arial"/>
                <w:sz w:val="18"/>
                <w:szCs w:val="18"/>
                <w:color w:val="auto"/>
                <w:w w:val="79"/>
              </w:rPr>
              <w:t>4.0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Common equity tier 1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773,677</w:t>
            </w:r>
          </w:p>
        </w:tc>
        <w:tc>
          <w:tcPr>
            <w:tcW w:w="2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877,169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Tier 1 capital</w:t>
            </w:r>
          </w:p>
        </w:tc>
        <w:tc>
          <w:tcPr>
            <w:tcW w:w="1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773,677</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877,169</w:t>
            </w:r>
          </w:p>
        </w:tc>
        <w:tc>
          <w:tcPr>
            <w:tcW w:w="16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844,667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948,159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Risk-weighted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6,755,011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6,743,560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Average total assets</w:t>
            </w:r>
          </w:p>
        </w:tc>
        <w:tc>
          <w:tcPr>
            <w:tcW w:w="1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9,282,243</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9,264,133</w:t>
            </w:r>
          </w:p>
        </w:tc>
        <w:tc>
          <w:tcPr>
            <w:tcW w:w="16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5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December 31, 2014 (Basel I)</w:t>
            </w:r>
          </w:p>
        </w:tc>
        <w:tc>
          <w:tcPr>
            <w:tcW w:w="1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Risk-based ratios: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Tier 1 capital</w:t>
            </w:r>
          </w:p>
        </w:tc>
        <w:tc>
          <w:tcPr>
            <w:tcW w:w="1380" w:type="dxa"/>
            <w:vAlign w:val="bottom"/>
            <w:gridSpan w:val="2"/>
            <w:shd w:val="clear" w:color="auto" w:fill="F0FFFF"/>
          </w:tcPr>
          <w:p>
            <w:pPr>
              <w:ind w:left="9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6.0%</w:t>
            </w: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12.05%</w:t>
            </w: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12.84%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1140" w:type="dxa"/>
            <w:vAlign w:val="bottom"/>
          </w:tcPr>
          <w:p>
            <w:pPr>
              <w:ind w:left="920"/>
              <w:spacing w:after="0"/>
              <w:rPr>
                <w:sz w:val="20"/>
                <w:szCs w:val="20"/>
                <w:color w:val="auto"/>
              </w:rPr>
            </w:pPr>
            <w:r>
              <w:rPr>
                <w:rFonts w:ascii="Arial" w:cs="Arial" w:eastAsia="Arial" w:hAnsi="Arial"/>
                <w:sz w:val="18"/>
                <w:szCs w:val="18"/>
                <w:color w:val="auto"/>
                <w:w w:val="79"/>
              </w:rPr>
              <w:t>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F0FFFF"/>
          </w:tcPr>
          <w:p>
            <w:pPr>
              <w:spacing w:after="0"/>
              <w:rPr>
                <w:sz w:val="20"/>
                <w:szCs w:val="20"/>
                <w:color w:val="auto"/>
              </w:rPr>
            </w:pPr>
            <w:r>
              <w:rPr>
                <w:rFonts w:ascii="Arial" w:cs="Arial" w:eastAsia="Arial" w:hAnsi="Arial"/>
                <w:sz w:val="18"/>
                <w:szCs w:val="18"/>
                <w:color w:val="auto"/>
              </w:rPr>
              <w:t>Tier 1 leverage ratio</w:t>
            </w:r>
          </w:p>
        </w:tc>
        <w:tc>
          <w:tcPr>
            <w:tcW w:w="1140" w:type="dxa"/>
            <w:vAlign w:val="bottom"/>
            <w:shd w:val="clear" w:color="auto" w:fill="F0FFFF"/>
          </w:tcPr>
          <w:p>
            <w:pPr>
              <w:ind w:left="920"/>
              <w:spacing w:after="0"/>
              <w:rPr>
                <w:sz w:val="20"/>
                <w:szCs w:val="20"/>
                <w:color w:val="auto"/>
              </w:rPr>
            </w:pPr>
            <w:r>
              <w:rPr>
                <w:rFonts w:ascii="Arial" w:cs="Arial" w:eastAsia="Arial" w:hAnsi="Arial"/>
                <w:sz w:val="18"/>
                <w:szCs w:val="18"/>
                <w:color w:val="auto"/>
                <w:w w:val="79"/>
              </w:rPr>
              <w:t>3.0</w:t>
            </w: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8.69</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Tier 1 capital</w:t>
            </w:r>
          </w:p>
        </w:tc>
        <w:tc>
          <w:tcPr>
            <w:tcW w:w="1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642,663</w:t>
            </w:r>
          </w:p>
        </w:tc>
        <w:tc>
          <w:tcPr>
            <w:tcW w:w="200" w:type="dxa"/>
            <w:vAlign w:val="bottom"/>
            <w:shd w:val="clear" w:color="auto" w:fill="F0FFFF"/>
          </w:tcPr>
          <w:p>
            <w:pPr>
              <w:spacing w:after="0"/>
              <w:rPr>
                <w:sz w:val="18"/>
                <w:szCs w:val="18"/>
                <w:color w:val="auto"/>
              </w:rPr>
            </w:pPr>
          </w:p>
        </w:tc>
        <w:tc>
          <w:tcPr>
            <w:tcW w:w="20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683,332</w:t>
            </w:r>
          </w:p>
        </w:tc>
        <w:tc>
          <w:tcPr>
            <w:tcW w:w="16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709,408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749,927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Risk-weighted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5,332,822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5,320,615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Average total assets</w:t>
            </w:r>
          </w:p>
        </w:tc>
        <w:tc>
          <w:tcPr>
            <w:tcW w:w="1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7,396,450</w:t>
            </w:r>
          </w:p>
        </w:tc>
        <w:tc>
          <w:tcPr>
            <w:tcW w:w="2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7,385,048</w:t>
            </w:r>
          </w:p>
        </w:tc>
        <w:tc>
          <w:tcPr>
            <w:tcW w:w="16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160" w:type="dxa"/>
            <w:vAlign w:val="bottom"/>
            <w:tcBorders>
              <w:bottom w:val="single" w:sz="8" w:color="DCDCDC"/>
            </w:tcBorders>
          </w:tcPr>
          <w:p>
            <w:pPr>
              <w:spacing w:after="0"/>
              <w:rPr>
                <w:sz w:val="24"/>
                <w:szCs w:val="24"/>
                <w:color w:val="auto"/>
              </w:rPr>
            </w:pPr>
          </w:p>
        </w:tc>
        <w:tc>
          <w:tcPr>
            <w:tcW w:w="358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ind w:left="840"/>
              <w:spacing w:after="0"/>
              <w:rPr>
                <w:sz w:val="20"/>
                <w:szCs w:val="20"/>
                <w:color w:val="auto"/>
              </w:rPr>
            </w:pPr>
            <w:r>
              <w:rPr>
                <w:rFonts w:ascii="Arial" w:cs="Arial" w:eastAsia="Arial" w:hAnsi="Arial"/>
                <w:sz w:val="18"/>
                <w:szCs w:val="18"/>
                <w:color w:val="auto"/>
                <w:w w:val="93"/>
              </w:rPr>
              <w:t>109</w:t>
            </w:r>
          </w:p>
        </w:tc>
        <w:tc>
          <w:tcPr>
            <w:tcW w:w="2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2"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 continued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Dividend, Loan and Other Restrictions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At December 31, 2015 and 2014, the Bank did not have a required reserve balance at the Federal Reserve Bank of Atlanta.</w:t>
      </w:r>
    </w:p>
    <w:p>
      <w:pPr>
        <w:spacing w:after="0" w:line="225" w:lineRule="exact"/>
        <w:rPr>
          <w:rFonts w:ascii="Arial" w:cs="Arial" w:eastAsia="Arial" w:hAnsi="Arial"/>
          <w:sz w:val="18"/>
          <w:szCs w:val="18"/>
          <w:b w:val="1"/>
          <w:bCs w:val="1"/>
          <w:color w:val="auto"/>
        </w:rPr>
      </w:pPr>
    </w:p>
    <w:p>
      <w:pPr>
        <w:jc w:val="both"/>
        <w:ind w:left="3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Federal and state banking regulations place certain restrictions on dividends paid by the Bank to United. In addition, dividends paid to United require pre-approval of the Georgia Department of Banking and Finance and the FDIC while the Bank has an accumulated deficit (negative retained earnings). During 2015 and 2014, the Bank received regulatory approval to pay cash dividends to United of $77.5 million and $129 million, respectively.</w:t>
      </w:r>
    </w:p>
    <w:p>
      <w:pPr>
        <w:spacing w:after="0" w:line="146" w:lineRule="exact"/>
        <w:rPr>
          <w:rFonts w:ascii="Arial" w:cs="Arial" w:eastAsia="Arial" w:hAnsi="Arial"/>
          <w:sz w:val="18"/>
          <w:szCs w:val="18"/>
          <w:b w:val="1"/>
          <w:bCs w:val="1"/>
          <w:color w:val="auto"/>
        </w:rPr>
      </w:pPr>
    </w:p>
    <w:p>
      <w:pPr>
        <w:jc w:val="both"/>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Federal Reserve Act requires that extensions of credit by the Bank to certain affiliates, including United, be secured by specific collateral, that the extension of credit to any one affiliate be limited to 10% of capital and surplus (as defined), and that extensions of credit to all such affiliates be limited to 20% of capital and surplus.</w:t>
      </w:r>
    </w:p>
    <w:p>
      <w:pPr>
        <w:spacing w:after="0" w:line="181"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United and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w:t>
      </w:r>
    </w:p>
    <w:p>
      <w:pPr>
        <w:spacing w:after="0" w:line="186"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2" w:lineRule="exact"/>
        <w:rPr>
          <w:rFonts w:ascii="Arial" w:cs="Arial" w:eastAsia="Arial" w:hAnsi="Arial"/>
          <w:sz w:val="18"/>
          <w:szCs w:val="18"/>
          <w:b w:val="1"/>
          <w:bCs w:val="1"/>
          <w:color w:val="auto"/>
        </w:rPr>
      </w:pPr>
    </w:p>
    <w:p>
      <w:pPr>
        <w:ind w:left="340" w:hanging="332"/>
        <w:spacing w:after="0"/>
        <w:tabs>
          <w:tab w:leader="none" w:pos="3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summarizes, as of December 31, 2015 and 2014, the contract amount of off-balance sheet instruments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60" w:type="dxa"/>
            <w:vAlign w:val="bottom"/>
            <w:tcBorders>
              <w:bottom w:val="single" w:sz="8" w:color="F0FFFF"/>
            </w:tcBorders>
          </w:tcPr>
          <w:p>
            <w:pPr>
              <w:spacing w:after="0"/>
              <w:rPr>
                <w:sz w:val="15"/>
                <w:szCs w:val="15"/>
                <w:color w:val="auto"/>
              </w:rPr>
            </w:pPr>
          </w:p>
        </w:tc>
        <w:tc>
          <w:tcPr>
            <w:tcW w:w="840" w:type="dxa"/>
            <w:vAlign w:val="bottom"/>
            <w:tcBorders>
              <w:bottom w:val="single" w:sz="8" w:color="F0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F0FF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F0FF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Commitments to extend credit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1,351,446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878,160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Letters of credit</w:t>
            </w: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23,373</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19,861</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F0FFFF"/>
          </w:tcPr>
          <w:p>
            <w:pPr>
              <w:spacing w:after="0"/>
              <w:rPr>
                <w:sz w:val="20"/>
                <w:szCs w:val="20"/>
                <w:color w:val="auto"/>
              </w:rPr>
            </w:pPr>
            <w:r>
              <w:rPr>
                <w:rFonts w:ascii="Arial" w:cs="Arial" w:eastAsia="Arial" w:hAnsi="Arial"/>
                <w:sz w:val="18"/>
                <w:szCs w:val="18"/>
                <w:color w:val="auto"/>
              </w:rPr>
              <w:t>Minimum Lease Payments</w:t>
            </w: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23,507</w:t>
            </w:r>
          </w:p>
        </w:tc>
        <w:tc>
          <w:tcPr>
            <w:tcW w:w="1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10,877</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 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193"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Letters of credit are conditional commitments issued by United and could result in the commitment being drawn on when the underlying transaction is consummated between the customer and the third party or upon the non-performance of the customer. Those guarantees are primarily issued to local businesses and government agencies. The credit risk involved in issuing letters of credit is essentially the same as that involved in extending loan facilities to customers. In most cases, the Bank holds real estate, certificates of deposit, and other acceptable collateral as security supporting those commitments for which collateral is deemed necessary. The extent of collateral held for those commitments varies.</w:t>
      </w:r>
    </w:p>
    <w:p>
      <w:pPr>
        <w:spacing w:after="0" w:line="17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United maintains an allowance for unfunded loan commitments which is included in the balance of other liabilities in the consolidated balance sheet. The allowance for unfunded loan commitments is determined as part of the quarterly analysis of the allowance for credit losses and is based on probable incurred losses in United’s unfunded loan commitments that are expected to result in funded loans.</w:t>
      </w:r>
    </w:p>
    <w:p>
      <w:pPr>
        <w:spacing w:after="0" w:line="18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 may issue preferred stock in one or more series, up to a maximum of 10,000,000 shares. Each series shall include the number of shares issued, preferences, special rights and limitations as determined by the Board of Directors.</w:t>
      </w:r>
    </w:p>
    <w:p>
      <w:pPr>
        <w:spacing w:after="0" w:line="170"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discussed in Note 3, on May 1, 2015, the Company completed its acquisition of Moneytree. Upon completion of the acquisition, each share of preferred stock issued by MoneyTree as part of the SBLF program of the U.S. Department of the Treasury (9,992 shares in the aggregate with a liquidation preference amount of $1,000 per share) was converted automatically into one substantially identical share of preferred stock of the Company with a liquidation preference amount of $1,000 per share, designated as the Company’s Non-Cumulative Perpetual Preferred Stock, Series H. The SBLF Preferred Shares have terms and conditions identical to those shares of preferred stock issued by MoneyTree to the Treasury. United will pay noncumulative dividends quarterly. The current dividend rate is 1.00% per annum through March 15, 2016. Following this date, the dividend rate will increase to 9% per annum thereafter.</w:t>
      </w:r>
    </w:p>
    <w:p>
      <w:pPr>
        <w:spacing w:after="0" w:line="189"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SBLF Preferred Shares may be redeemed at any time at the option of United, subject to the approval of the appropriate federal banking agency. All redemptions must be made at a per share redemption price equal to 100% of the liquidation preference, plus accrued and unpaid dividends as of the date of the redemption (“Redemption Date”) for the quarter that includes the Redemption Date, and a pro rata portion of any lending incentive fee. All redemptions must be in amounts equal to at least 25% of the number of originally issued shares, or 100% of the then outstanding shares, if less than 25% of the number of originally issued shares.</w:t>
      </w:r>
    </w:p>
    <w:p>
      <w:pPr>
        <w:spacing w:after="0" w:line="188"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December 31, 2013, United redeemed 21,700 shares of its Series A Non-Cumulative Preferred. On December 27, 2013, United redeemed 75,000 shares of the Fixed Rate Cumulative Perpetual Preferred Stock, Series B and redeemed the remaining 105,000 shares on January 10, 2014. On March 3, 2014, United redeemed 16,613 shares of the Cumulative Perpetual Preferred Stock, Series D. United had no Series A, B or D preferred stock outstanding as of December 31, 2015.</w:t>
      </w:r>
    </w:p>
    <w:p>
      <w:pPr>
        <w:spacing w:after="0" w:line="182" w:lineRule="exact"/>
        <w:rPr>
          <w:rFonts w:ascii="Arial" w:cs="Arial" w:eastAsia="Arial" w:hAnsi="Arial"/>
          <w:sz w:val="18"/>
          <w:szCs w:val="18"/>
          <w:b w:val="1"/>
          <w:bCs w:val="1"/>
          <w:color w:val="auto"/>
        </w:rPr>
      </w:pPr>
    </w:p>
    <w:p>
      <w:pPr>
        <w:ind w:left="340" w:hanging="332"/>
        <w:spacing w:after="0"/>
        <w:tabs>
          <w:tab w:leader="none" w:pos="3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 and Related Plans</w:t>
      </w:r>
    </w:p>
    <w:p>
      <w:pPr>
        <w:spacing w:after="0" w:line="229" w:lineRule="exact"/>
        <w:rPr>
          <w:rFonts w:ascii="Arial" w:cs="Arial" w:eastAsia="Arial" w:hAnsi="Arial"/>
          <w:sz w:val="18"/>
          <w:szCs w:val="18"/>
          <w:b w:val="1"/>
          <w:bCs w:val="1"/>
          <w:color w:val="auto"/>
        </w:rPr>
      </w:pPr>
    </w:p>
    <w:p>
      <w:pPr>
        <w:jc w:val="both"/>
        <w:ind w:left="3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United has an equity compensation plan that allows for grants of incentive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of United or certain other conditions are met (as defined in the plan document). As of December 31, 2015, 248,000 additional awards could be granted under the plan. Through December 31, 2015, incentive stock options, nonqualified stock options, restricted stock and restricted stock unit awards, base salary stock grants and performance share awards had been granted under the plan.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7" w:name="page118"/>
    <w:bookmarkEnd w:id="117"/>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32" w:hanging="332"/>
        <w:spacing w:after="0"/>
        <w:tabs>
          <w:tab w:leader="none" w:pos="33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 and Related Plans, continued</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Restricted stock and options outstanding and activity for the years ended December 31 consisted of the following:</w:t>
      </w:r>
    </w:p>
    <w:p>
      <w:pPr>
        <w:spacing w:after="0" w:line="230" w:lineRule="exact"/>
        <w:rPr>
          <w:sz w:val="20"/>
          <w:szCs w:val="20"/>
          <w:color w:val="auto"/>
        </w:rPr>
      </w:pPr>
    </w:p>
    <w:tbl>
      <w:tblPr>
        <w:tblLayout w:type="fixed"/>
        <w:tblInd w:w="392"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160" w:type="dxa"/>
            <w:vAlign w:val="bottom"/>
            <w:tcBorders>
              <w:bottom w:val="single" w:sz="8" w:color="auto"/>
            </w:tcBorders>
            <w:gridSpan w:val="5"/>
          </w:tcPr>
          <w:p>
            <w:pPr>
              <w:jc w:val="right"/>
              <w:ind w:right="493"/>
              <w:spacing w:after="0"/>
              <w:rPr>
                <w:sz w:val="20"/>
                <w:szCs w:val="20"/>
                <w:color w:val="auto"/>
              </w:rPr>
            </w:pPr>
            <w:r>
              <w:rPr>
                <w:rFonts w:ascii="Arial" w:cs="Arial" w:eastAsia="Arial" w:hAnsi="Arial"/>
                <w:sz w:val="14"/>
                <w:szCs w:val="14"/>
                <w:b w:val="1"/>
                <w:bCs w:val="1"/>
                <w:color w:val="auto"/>
              </w:rPr>
              <w:t>Restricted Stock</w:t>
            </w:r>
          </w:p>
        </w:tc>
        <w:tc>
          <w:tcPr>
            <w:tcW w:w="2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w w:val="86"/>
              </w:rPr>
              <w:t>Options</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center"/>
              <w:ind w:right="33"/>
              <w:spacing w:after="0" w:line="126"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tcPr>
          <w:p>
            <w:pPr>
              <w:jc w:val="center"/>
              <w:ind w:right="460"/>
              <w:spacing w:after="0" w:line="126" w:lineRule="exact"/>
              <w:rPr>
                <w:sz w:val="20"/>
                <w:szCs w:val="20"/>
                <w:color w:val="auto"/>
              </w:rPr>
            </w:pPr>
            <w:r>
              <w:rPr>
                <w:rFonts w:ascii="Arial" w:cs="Arial" w:eastAsia="Arial" w:hAnsi="Arial"/>
                <w:sz w:val="14"/>
                <w:szCs w:val="14"/>
                <w:b w:val="1"/>
                <w:bCs w:val="1"/>
                <w:color w:val="auto"/>
                <w:w w:val="91"/>
              </w:rPr>
              <w:t>Weighted</w:t>
            </w:r>
          </w:p>
        </w:tc>
        <w:tc>
          <w:tcPr>
            <w:tcW w:w="860" w:type="dxa"/>
            <w:vAlign w:val="bottom"/>
          </w:tcPr>
          <w:p>
            <w:pPr>
              <w:jc w:val="center"/>
              <w:ind w:right="42"/>
              <w:spacing w:after="0" w:line="126"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Grant Date</w:t>
            </w: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860" w:type="dxa"/>
            <w:vAlign w:val="bottom"/>
          </w:tcPr>
          <w:p>
            <w:pPr>
              <w:jc w:val="center"/>
              <w:ind w:right="22"/>
              <w:spacing w:after="0"/>
              <w:rPr>
                <w:sz w:val="20"/>
                <w:szCs w:val="20"/>
                <w:color w:val="auto"/>
              </w:rPr>
            </w:pPr>
            <w:r>
              <w:rPr>
                <w:rFonts w:ascii="Arial" w:cs="Arial" w:eastAsia="Arial" w:hAnsi="Arial"/>
                <w:sz w:val="14"/>
                <w:szCs w:val="14"/>
                <w:b w:val="1"/>
                <w:bCs w:val="1"/>
                <w:color w:val="auto"/>
                <w:w w:val="97"/>
              </w:rPr>
              <w:t>Term (Yrs.)</w:t>
            </w:r>
          </w:p>
        </w:tc>
        <w:tc>
          <w:tcPr>
            <w:tcW w:w="200" w:type="dxa"/>
            <w:vAlign w:val="bottom"/>
          </w:tcPr>
          <w:p>
            <w:pPr>
              <w:spacing w:after="0"/>
              <w:rPr>
                <w:sz w:val="15"/>
                <w:szCs w:val="15"/>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Value (000’s)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December 31, 2012</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485,584</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10.72</w:t>
            </w:r>
          </w:p>
        </w:tc>
        <w:tc>
          <w:tcPr>
            <w:tcW w:w="22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482,528</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97.73</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876,583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14.74</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(195,366)</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13.16</w:t>
            </w: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Expired</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(67,559)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Cancelled</w:t>
            </w: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(93,125)</w:t>
            </w:r>
          </w:p>
        </w:tc>
        <w:tc>
          <w:tcPr>
            <w:tcW w:w="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8.78</w:t>
            </w:r>
          </w:p>
        </w:tc>
        <w:tc>
          <w:tcPr>
            <w:tcW w:w="2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(69,197)</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109.43</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color w:val="auto"/>
              </w:rPr>
              <w:t>December 31, 2013</w:t>
            </w: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1,073,676</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860" w:type="dxa"/>
            <w:vAlign w:val="bottom"/>
            <w:tcBorders>
              <w:top w:val="single" w:sz="8" w:color="F0FFFF"/>
            </w:tcBorders>
          </w:tcPr>
          <w:p>
            <w:pPr>
              <w:jc w:val="right"/>
              <w:spacing w:after="0" w:line="203" w:lineRule="exact"/>
              <w:rPr>
                <w:sz w:val="20"/>
                <w:szCs w:val="20"/>
                <w:color w:val="auto"/>
              </w:rPr>
            </w:pPr>
            <w:r>
              <w:rPr>
                <w:rFonts w:ascii="Arial" w:cs="Arial" w:eastAsia="Arial" w:hAnsi="Arial"/>
                <w:sz w:val="18"/>
                <w:szCs w:val="18"/>
                <w:color w:val="auto"/>
              </w:rPr>
              <w:t>13.73</w:t>
            </w:r>
          </w:p>
        </w:tc>
        <w:tc>
          <w:tcPr>
            <w:tcW w:w="220" w:type="dxa"/>
            <w:vAlign w:val="bottom"/>
            <w:tcBorders>
              <w:top w:val="single" w:sz="8" w:color="F0FFFF"/>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350,772</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40" w:type="dxa"/>
            <w:vAlign w:val="bottom"/>
            <w:tcBorders>
              <w:top w:val="single" w:sz="8" w:color="F0FFFF"/>
            </w:tcBorders>
          </w:tcPr>
          <w:p>
            <w:pPr>
              <w:jc w:val="right"/>
              <w:spacing w:after="0" w:line="203" w:lineRule="exact"/>
              <w:rPr>
                <w:sz w:val="20"/>
                <w:szCs w:val="20"/>
                <w:color w:val="auto"/>
              </w:rPr>
            </w:pPr>
            <w:r>
              <w:rPr>
                <w:rFonts w:ascii="Arial" w:cs="Arial" w:eastAsia="Arial" w:hAnsi="Arial"/>
                <w:sz w:val="18"/>
                <w:szCs w:val="18"/>
                <w:color w:val="auto"/>
              </w:rPr>
              <w:t>97.87</w:t>
            </w:r>
          </w:p>
        </w:tc>
        <w:tc>
          <w:tcPr>
            <w:tcW w:w="2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860" w:type="dxa"/>
            <w:vAlign w:val="bottom"/>
            <w:tcBorders>
              <w:top w:val="single" w:sz="8" w:color="F0FFFF"/>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8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Granted</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97,016</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17.33</w:t>
            </w: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16.71</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Vested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(336,691)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Expired</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(32,810)</w:t>
            </w: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115.83</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Cancelled</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13.78</w:t>
            </w: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(14,407)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97.80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color w:val="auto"/>
              </w:rPr>
              <w:t>December 31, 2014</w:t>
            </w: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829,201</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14.76</w:t>
            </w:r>
          </w:p>
        </w:tc>
        <w:tc>
          <w:tcPr>
            <w:tcW w:w="22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313,555</w:t>
            </w: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40" w:type="dxa"/>
            <w:vAlign w:val="bottom"/>
            <w:tcBorders>
              <w:top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93.40</w:t>
            </w: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6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8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265,306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18.66</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Vested</w:t>
            </w: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(305,902)</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14.00</w:t>
            </w: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Expired</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(45,866)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740" w:type="dxa"/>
            <w:vAlign w:val="bottom"/>
            <w:shd w:val="clear" w:color="auto" w:fill="F0FFFF"/>
          </w:tcPr>
          <w:p>
            <w:pPr>
              <w:ind w:left="140"/>
              <w:spacing w:after="0"/>
              <w:rPr>
                <w:sz w:val="20"/>
                <w:szCs w:val="20"/>
                <w:color w:val="auto"/>
              </w:rPr>
            </w:pPr>
            <w:r>
              <w:rPr>
                <w:rFonts w:ascii="Arial" w:cs="Arial" w:eastAsia="Arial" w:hAnsi="Arial"/>
                <w:sz w:val="18"/>
                <w:szCs w:val="18"/>
                <w:color w:val="auto"/>
              </w:rPr>
              <w:t>Cancelled</w:t>
            </w: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(75,938)</w:t>
            </w:r>
          </w:p>
        </w:tc>
        <w:tc>
          <w:tcPr>
            <w:tcW w:w="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15.63</w:t>
            </w:r>
          </w:p>
        </w:tc>
        <w:tc>
          <w:tcPr>
            <w:tcW w:w="220" w:type="dxa"/>
            <w:vAlign w:val="bottom"/>
            <w:shd w:val="clear" w:color="auto" w:fill="F0FFFF"/>
          </w:tcPr>
          <w:p>
            <w:pPr>
              <w:spacing w:after="0"/>
              <w:rPr>
                <w:sz w:val="21"/>
                <w:szCs w:val="21"/>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(26,196)</w:t>
            </w:r>
          </w:p>
        </w:tc>
        <w:tc>
          <w:tcPr>
            <w:tcW w:w="8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98.36</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6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8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December 31, 2015</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712,667</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16.44</w:t>
            </w:r>
          </w:p>
        </w:tc>
        <w:tc>
          <w:tcPr>
            <w:tcW w:w="220" w:type="dxa"/>
            <w:vAlign w:val="bottom"/>
            <w:tcBorders>
              <w:top w:val="single" w:sz="8" w:color="F0FF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241,493</w:t>
            </w: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4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89.92</w:t>
            </w: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6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2.36</w:t>
            </w:r>
          </w:p>
        </w:tc>
        <w:tc>
          <w:tcPr>
            <w:tcW w:w="320" w:type="dxa"/>
            <w:vAlign w:val="bottom"/>
            <w:tcBorders>
              <w:top w:val="single" w:sz="8" w:color="F0FF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F0FFFF"/>
            </w:tcBorders>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40" w:type="dxa"/>
            <w:vAlign w:val="bottom"/>
            <w:tcBorders>
              <w:bottom w:val="single" w:sz="8" w:color="F0FFFF"/>
            </w:tcBorders>
          </w:tcPr>
          <w:p>
            <w:pPr>
              <w:spacing w:after="0" w:line="20" w:lineRule="exact"/>
              <w:rPr>
                <w:sz w:val="1"/>
                <w:szCs w:val="1"/>
                <w:color w:val="auto"/>
              </w:rPr>
            </w:pPr>
          </w:p>
        </w:tc>
        <w:tc>
          <w:tcPr>
            <w:tcW w:w="84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60" w:type="dxa"/>
            <w:vAlign w:val="bottom"/>
            <w:tcBorders>
              <w:bottom w:val="single" w:sz="8" w:color="F0FFFF"/>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820" w:type="dxa"/>
            <w:vAlign w:val="bottom"/>
            <w:tcBorders>
              <w:bottom w:val="single" w:sz="8" w:color="F0FFFF"/>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Vested / Exercisable at December 31, 2015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10.69</w:t>
            </w:r>
          </w:p>
        </w:tc>
        <w:tc>
          <w:tcPr>
            <w:tcW w:w="22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231,493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93.10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32"/>
        <w:spacing w:after="0" w:line="312" w:lineRule="auto"/>
        <w:rPr>
          <w:sz w:val="20"/>
          <w:szCs w:val="20"/>
          <w:color w:val="auto"/>
        </w:rPr>
      </w:pPr>
      <w:r>
        <w:rPr>
          <w:rFonts w:ascii="Arial" w:cs="Arial" w:eastAsia="Arial" w:hAnsi="Arial"/>
          <w:sz w:val="16"/>
          <w:szCs w:val="16"/>
          <w:color w:val="auto"/>
        </w:rPr>
        <w:t>During 2013, 9,344 shares of common stock having a grant date fair value of $108,000 were granted to certain executive officers over the course of the year as part of their base compensation with no restrictions or vesting requirement. Those shares are included in the table above as granted and exercised within the same year. The grant date fair value was included in compensation expense during 2013. No such grants were made in 2014 or 2015.</w:t>
      </w:r>
    </w:p>
    <w:p>
      <w:pPr>
        <w:spacing w:after="0" w:line="147" w:lineRule="exact"/>
        <w:rPr>
          <w:sz w:val="20"/>
          <w:szCs w:val="20"/>
          <w:color w:val="auto"/>
        </w:rPr>
      </w:pPr>
    </w:p>
    <w:p>
      <w:pPr>
        <w:ind w:left="332"/>
        <w:spacing w:after="0"/>
        <w:rPr>
          <w:sz w:val="20"/>
          <w:szCs w:val="20"/>
          <w:color w:val="auto"/>
        </w:rPr>
      </w:pPr>
      <w:r>
        <w:rPr>
          <w:rFonts w:ascii="Arial" w:cs="Arial" w:eastAsia="Arial" w:hAnsi="Arial"/>
          <w:sz w:val="18"/>
          <w:szCs w:val="18"/>
          <w:color w:val="auto"/>
        </w:rPr>
        <w:t>The following is a summary of stock options outstanding at December 31, 2015:</w:t>
      </w:r>
    </w:p>
    <w:p>
      <w:pPr>
        <w:spacing w:after="0" w:line="230" w:lineRule="exact"/>
        <w:rPr>
          <w:sz w:val="20"/>
          <w:szCs w:val="20"/>
          <w:color w:val="auto"/>
        </w:rPr>
      </w:pPr>
    </w:p>
    <w:tbl>
      <w:tblPr>
        <w:tblLayout w:type="fixed"/>
        <w:tblInd w:w="392" w:type="dxa"/>
        <w:tblCellMar>
          <w:top w:w="0" w:type="dxa"/>
          <w:left w:w="0" w:type="dxa"/>
          <w:bottom w:w="0" w:type="dxa"/>
          <w:right w:w="0" w:type="dxa"/>
        </w:tblCellMar>
      </w:tblPr>
      <w:tr>
        <w:trPr>
          <w:trHeight w:val="178"/>
        </w:trPr>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20" w:type="dxa"/>
            <w:vAlign w:val="bottom"/>
            <w:gridSpan w:val="5"/>
          </w:tcPr>
          <w:p>
            <w:pPr>
              <w:ind w:left="80"/>
              <w:spacing w:after="0"/>
              <w:rPr>
                <w:sz w:val="20"/>
                <w:szCs w:val="20"/>
                <w:color w:val="auto"/>
              </w:rPr>
            </w:pPr>
            <w:r>
              <w:rPr>
                <w:rFonts w:ascii="Arial" w:cs="Arial" w:eastAsia="Arial" w:hAnsi="Arial"/>
                <w:sz w:val="14"/>
                <w:szCs w:val="14"/>
                <w:b w:val="1"/>
                <w:bCs w:val="1"/>
                <w:color w:val="auto"/>
              </w:rPr>
              <w:t>Options Outstanding</w:t>
            </w: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20" w:type="dxa"/>
            <w:vAlign w:val="bottom"/>
            <w:gridSpan w:val="5"/>
          </w:tcPr>
          <w:p>
            <w:pPr>
              <w:ind w:left="1000"/>
              <w:spacing w:after="0"/>
              <w:rPr>
                <w:sz w:val="20"/>
                <w:szCs w:val="20"/>
                <w:color w:val="auto"/>
              </w:rPr>
            </w:pPr>
            <w:r>
              <w:rPr>
                <w:rFonts w:ascii="Arial" w:cs="Arial" w:eastAsia="Arial" w:hAnsi="Arial"/>
                <w:sz w:val="14"/>
                <w:szCs w:val="14"/>
                <w:b w:val="1"/>
                <w:bCs w:val="1"/>
                <w:color w:val="auto"/>
              </w:rPr>
              <w:t>Options Exercisable</w:t>
            </w:r>
          </w:p>
        </w:tc>
      </w:tr>
      <w:tr>
        <w:trPr>
          <w:trHeight w:val="139"/>
        </w:trPr>
        <w:tc>
          <w:tcPr>
            <w:tcW w:w="1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2"/>
          </w:tcPr>
          <w:p>
            <w:pPr>
              <w:jc w:val="center"/>
              <w:ind w:right="440"/>
              <w:spacing w:after="0" w:line="139" w:lineRule="exact"/>
              <w:rPr>
                <w:sz w:val="20"/>
                <w:szCs w:val="20"/>
                <w:color w:val="auto"/>
              </w:rPr>
            </w:pPr>
            <w:r>
              <w:rPr>
                <w:rFonts w:ascii="Arial" w:cs="Arial" w:eastAsia="Arial" w:hAnsi="Arial"/>
                <w:sz w:val="14"/>
                <w:szCs w:val="14"/>
                <w:b w:val="1"/>
                <w:bCs w:val="1"/>
                <w:color w:val="auto"/>
                <w:w w:val="95"/>
              </w:rPr>
              <w:t>Weighted</w:t>
            </w:r>
          </w:p>
        </w:tc>
        <w:tc>
          <w:tcPr>
            <w:tcW w:w="158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114"/>
              <w:spacing w:after="0" w:line="13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2"/>
                <w:szCs w:val="12"/>
                <w:color w:val="auto"/>
              </w:rPr>
            </w:pPr>
          </w:p>
        </w:tc>
      </w:tr>
      <w:tr>
        <w:trPr>
          <w:trHeight w:val="178"/>
        </w:trPr>
        <w:tc>
          <w:tcPr>
            <w:tcW w:w="1580" w:type="dxa"/>
            <w:vAlign w:val="bottom"/>
          </w:tcPr>
          <w:p>
            <w:pPr>
              <w:jc w:val="right"/>
              <w:ind w:right="492"/>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jc w:val="right"/>
              <w:ind w:right="514"/>
              <w:spacing w:after="0"/>
              <w:rPr>
                <w:sz w:val="20"/>
                <w:szCs w:val="20"/>
                <w:color w:val="auto"/>
              </w:rPr>
            </w:pPr>
            <w:r>
              <w:rPr>
                <w:rFonts w:ascii="Arial" w:cs="Arial" w:eastAsia="Arial" w:hAnsi="Arial"/>
                <w:sz w:val="14"/>
                <w:szCs w:val="14"/>
                <w:b w:val="1"/>
                <w:bCs w:val="1"/>
                <w:color w:val="auto"/>
              </w:rPr>
              <w:t>Range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Average Price</w:t>
            </w:r>
          </w:p>
        </w:tc>
        <w:tc>
          <w:tcPr>
            <w:tcW w:w="1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Remaining Life</w:t>
            </w:r>
          </w:p>
        </w:tc>
        <w:tc>
          <w:tcPr>
            <w:tcW w:w="1580" w:type="dxa"/>
            <w:vAlign w:val="bottom"/>
          </w:tcPr>
          <w:p>
            <w:pPr>
              <w:jc w:val="right"/>
              <w:ind w:right="49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r>
      <w:tr>
        <w:trPr>
          <w:trHeight w:val="216"/>
        </w:trPr>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26,823</w:t>
            </w:r>
          </w:p>
        </w:tc>
        <w:tc>
          <w:tcPr>
            <w:tcW w:w="4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10.00 - 30.00</w:t>
            </w:r>
          </w:p>
        </w:tc>
        <w:tc>
          <w:tcPr>
            <w:tcW w:w="4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14.96</w:t>
            </w:r>
          </w:p>
        </w:tc>
        <w:tc>
          <w:tcPr>
            <w:tcW w:w="200" w:type="dxa"/>
            <w:vAlign w:val="bottom"/>
            <w:shd w:val="clear" w:color="auto" w:fill="F0FFFF"/>
          </w:tcPr>
          <w:p>
            <w:pPr>
              <w:spacing w:after="0"/>
              <w:rPr>
                <w:sz w:val="18"/>
                <w:szCs w:val="18"/>
                <w:color w:val="auto"/>
              </w:rPr>
            </w:pPr>
          </w:p>
        </w:tc>
        <w:tc>
          <w:tcPr>
            <w:tcW w:w="1580" w:type="dxa"/>
            <w:vAlign w:val="bottom"/>
            <w:shd w:val="clear" w:color="auto" w:fill="F0FFFF"/>
          </w:tcPr>
          <w:p>
            <w:pPr>
              <w:jc w:val="right"/>
              <w:ind w:right="494"/>
              <w:spacing w:after="0"/>
              <w:rPr>
                <w:sz w:val="20"/>
                <w:szCs w:val="20"/>
                <w:color w:val="auto"/>
              </w:rPr>
            </w:pPr>
            <w:r>
              <w:rPr>
                <w:rFonts w:ascii="Arial" w:cs="Arial" w:eastAsia="Arial" w:hAnsi="Arial"/>
                <w:sz w:val="18"/>
                <w:szCs w:val="18"/>
                <w:color w:val="auto"/>
              </w:rPr>
              <w:t>7.02</w:t>
            </w:r>
          </w:p>
        </w:tc>
        <w:tc>
          <w:tcPr>
            <w:tcW w:w="220" w:type="dxa"/>
            <w:vAlign w:val="bottom"/>
            <w:shd w:val="clear" w:color="auto" w:fill="F0FFFF"/>
          </w:tcPr>
          <w:p>
            <w:pPr>
              <w:spacing w:after="0"/>
              <w:rPr>
                <w:sz w:val="18"/>
                <w:szCs w:val="18"/>
                <w:color w:val="auto"/>
              </w:rPr>
            </w:pPr>
          </w:p>
        </w:tc>
        <w:tc>
          <w:tcPr>
            <w:tcW w:w="1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16,823</w:t>
            </w:r>
          </w:p>
        </w:tc>
        <w:tc>
          <w:tcPr>
            <w:tcW w:w="3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14.16</w:t>
            </w:r>
          </w:p>
        </w:tc>
        <w:tc>
          <w:tcPr>
            <w:tcW w:w="100" w:type="dxa"/>
            <w:vAlign w:val="bottom"/>
            <w:shd w:val="clear" w:color="auto" w:fill="F0FFFF"/>
          </w:tcPr>
          <w:p>
            <w:pPr>
              <w:spacing w:after="0"/>
              <w:rPr>
                <w:sz w:val="18"/>
                <w:szCs w:val="18"/>
                <w:color w:val="auto"/>
              </w:rPr>
            </w:pPr>
          </w:p>
        </w:tc>
      </w:tr>
      <w:tr>
        <w:trPr>
          <w:trHeight w:val="216"/>
        </w:trPr>
        <w:tc>
          <w:tcPr>
            <w:tcW w:w="1580" w:type="dxa"/>
            <w:vAlign w:val="bottom"/>
          </w:tcPr>
          <w:p>
            <w:pPr>
              <w:jc w:val="right"/>
              <w:spacing w:after="0"/>
              <w:rPr>
                <w:sz w:val="20"/>
                <w:szCs w:val="20"/>
                <w:color w:val="auto"/>
              </w:rPr>
            </w:pPr>
            <w:r>
              <w:rPr>
                <w:rFonts w:ascii="Arial" w:cs="Arial" w:eastAsia="Arial" w:hAnsi="Arial"/>
                <w:sz w:val="18"/>
                <w:szCs w:val="18"/>
                <w:color w:val="auto"/>
              </w:rPr>
              <w:t>40,796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30.01 - 50.00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31.69</w:t>
            </w:r>
          </w:p>
        </w:tc>
        <w:tc>
          <w:tcPr>
            <w:tcW w:w="200" w:type="dxa"/>
            <w:vAlign w:val="bottom"/>
          </w:tcPr>
          <w:p>
            <w:pPr>
              <w:spacing w:after="0"/>
              <w:rPr>
                <w:sz w:val="18"/>
                <w:szCs w:val="18"/>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3.39</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40,796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31.69</w:t>
            </w:r>
          </w:p>
        </w:tc>
        <w:tc>
          <w:tcPr>
            <w:tcW w:w="100" w:type="dxa"/>
            <w:vAlign w:val="bottom"/>
          </w:tcPr>
          <w:p>
            <w:pPr>
              <w:spacing w:after="0"/>
              <w:rPr>
                <w:sz w:val="18"/>
                <w:szCs w:val="18"/>
                <w:color w:val="auto"/>
              </w:rPr>
            </w:pPr>
          </w:p>
        </w:tc>
      </w:tr>
      <w:tr>
        <w:trPr>
          <w:trHeight w:val="216"/>
        </w:trPr>
        <w:tc>
          <w:tcPr>
            <w:tcW w:w="1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62,260</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50.01 - 70.00</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66.29</w:t>
            </w:r>
          </w:p>
        </w:tc>
        <w:tc>
          <w:tcPr>
            <w:tcW w:w="200" w:type="dxa"/>
            <w:vAlign w:val="bottom"/>
            <w:shd w:val="clear" w:color="auto" w:fill="F0FFFF"/>
          </w:tcPr>
          <w:p>
            <w:pPr>
              <w:spacing w:after="0"/>
              <w:rPr>
                <w:sz w:val="18"/>
                <w:szCs w:val="18"/>
                <w:color w:val="auto"/>
              </w:rPr>
            </w:pPr>
          </w:p>
        </w:tc>
        <w:tc>
          <w:tcPr>
            <w:tcW w:w="1580" w:type="dxa"/>
            <w:vAlign w:val="bottom"/>
            <w:shd w:val="clear" w:color="auto" w:fill="F0FFFF"/>
          </w:tcPr>
          <w:p>
            <w:pPr>
              <w:jc w:val="right"/>
              <w:ind w:right="494"/>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F0FFFF"/>
          </w:tcPr>
          <w:p>
            <w:pPr>
              <w:spacing w:after="0"/>
              <w:rPr>
                <w:sz w:val="18"/>
                <w:szCs w:val="18"/>
                <w:color w:val="auto"/>
              </w:rPr>
            </w:pPr>
          </w:p>
        </w:tc>
        <w:tc>
          <w:tcPr>
            <w:tcW w:w="1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62,260</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66.29</w:t>
            </w:r>
          </w:p>
        </w:tc>
        <w:tc>
          <w:tcPr>
            <w:tcW w:w="100" w:type="dxa"/>
            <w:vAlign w:val="bottom"/>
            <w:shd w:val="clear" w:color="auto" w:fill="F0FFFF"/>
          </w:tcPr>
          <w:p>
            <w:pPr>
              <w:spacing w:after="0"/>
              <w:rPr>
                <w:sz w:val="18"/>
                <w:szCs w:val="18"/>
                <w:color w:val="auto"/>
              </w:rPr>
            </w:pPr>
          </w:p>
        </w:tc>
      </w:tr>
      <w:tr>
        <w:trPr>
          <w:trHeight w:val="216"/>
        </w:trPr>
        <w:tc>
          <w:tcPr>
            <w:tcW w:w="1580" w:type="dxa"/>
            <w:vAlign w:val="bottom"/>
          </w:tcPr>
          <w:p>
            <w:pPr>
              <w:jc w:val="right"/>
              <w:spacing w:after="0"/>
              <w:rPr>
                <w:sz w:val="20"/>
                <w:szCs w:val="20"/>
                <w:color w:val="auto"/>
              </w:rPr>
            </w:pPr>
            <w:r>
              <w:rPr>
                <w:rFonts w:ascii="Arial" w:cs="Arial" w:eastAsia="Arial" w:hAnsi="Arial"/>
                <w:sz w:val="18"/>
                <w:szCs w:val="18"/>
                <w:color w:val="auto"/>
              </w:rPr>
              <w:t>2,075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70.01 - 90.00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77.53</w:t>
            </w:r>
          </w:p>
        </w:tc>
        <w:tc>
          <w:tcPr>
            <w:tcW w:w="200" w:type="dxa"/>
            <w:vAlign w:val="bottom"/>
          </w:tcPr>
          <w:p>
            <w:pPr>
              <w:spacing w:after="0"/>
              <w:rPr>
                <w:sz w:val="18"/>
                <w:szCs w:val="18"/>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2.25</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Pr>
          <w:p>
            <w:pPr>
              <w:spacing w:after="0"/>
              <w:rPr>
                <w:sz w:val="18"/>
                <w:szCs w:val="18"/>
                <w:color w:val="auto"/>
              </w:rPr>
            </w:pPr>
          </w:p>
        </w:tc>
      </w:tr>
      <w:tr>
        <w:trPr>
          <w:trHeight w:val="216"/>
        </w:trPr>
        <w:tc>
          <w:tcPr>
            <w:tcW w:w="1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936</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110.01</w:t>
            </w:r>
          </w:p>
        </w:tc>
        <w:tc>
          <w:tcPr>
            <w:tcW w:w="6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0"/>
              </w:rPr>
              <w:t>- 130.00</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118.43</w:t>
            </w:r>
          </w:p>
        </w:tc>
        <w:tc>
          <w:tcPr>
            <w:tcW w:w="200" w:type="dxa"/>
            <w:vAlign w:val="bottom"/>
            <w:shd w:val="clear" w:color="auto" w:fill="F0FFFF"/>
          </w:tcPr>
          <w:p>
            <w:pPr>
              <w:spacing w:after="0"/>
              <w:rPr>
                <w:sz w:val="18"/>
                <w:szCs w:val="18"/>
                <w:color w:val="auto"/>
              </w:rPr>
            </w:pPr>
          </w:p>
        </w:tc>
        <w:tc>
          <w:tcPr>
            <w:tcW w:w="1580" w:type="dxa"/>
            <w:vAlign w:val="bottom"/>
            <w:shd w:val="clear" w:color="auto" w:fill="F0FFFF"/>
          </w:tcPr>
          <w:p>
            <w:pPr>
              <w:jc w:val="right"/>
              <w:ind w:right="494"/>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F0FFFF"/>
          </w:tcPr>
          <w:p>
            <w:pPr>
              <w:spacing w:after="0"/>
              <w:rPr>
                <w:sz w:val="18"/>
                <w:szCs w:val="18"/>
                <w:color w:val="auto"/>
              </w:rPr>
            </w:pPr>
          </w:p>
        </w:tc>
        <w:tc>
          <w:tcPr>
            <w:tcW w:w="15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118.43</w:t>
            </w:r>
          </w:p>
        </w:tc>
        <w:tc>
          <w:tcPr>
            <w:tcW w:w="100" w:type="dxa"/>
            <w:vAlign w:val="bottom"/>
            <w:shd w:val="clear" w:color="auto" w:fill="F0FFFF"/>
          </w:tcPr>
          <w:p>
            <w:pPr>
              <w:spacing w:after="0"/>
              <w:rPr>
                <w:sz w:val="18"/>
                <w:szCs w:val="18"/>
                <w:color w:val="auto"/>
              </w:rPr>
            </w:pPr>
          </w:p>
        </w:tc>
      </w:tr>
      <w:tr>
        <w:trPr>
          <w:trHeight w:val="216"/>
        </w:trPr>
        <w:tc>
          <w:tcPr>
            <w:tcW w:w="1580" w:type="dxa"/>
            <w:vAlign w:val="bottom"/>
          </w:tcPr>
          <w:p>
            <w:pPr>
              <w:jc w:val="right"/>
              <w:spacing w:after="0"/>
              <w:rPr>
                <w:sz w:val="20"/>
                <w:szCs w:val="20"/>
                <w:color w:val="auto"/>
              </w:rPr>
            </w:pPr>
            <w:r>
              <w:rPr>
                <w:rFonts w:ascii="Arial" w:cs="Arial" w:eastAsia="Arial" w:hAnsi="Arial"/>
                <w:sz w:val="18"/>
                <w:szCs w:val="18"/>
                <w:color w:val="auto"/>
              </w:rPr>
              <w:t>107,356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130.01</w:t>
            </w:r>
          </w:p>
        </w:tc>
        <w:tc>
          <w:tcPr>
            <w:tcW w:w="620" w:type="dxa"/>
            <w:vAlign w:val="bottom"/>
          </w:tcPr>
          <w:p>
            <w:pPr>
              <w:jc w:val="right"/>
              <w:spacing w:after="0"/>
              <w:rPr>
                <w:sz w:val="20"/>
                <w:szCs w:val="20"/>
                <w:color w:val="auto"/>
              </w:rPr>
            </w:pPr>
            <w:r>
              <w:rPr>
                <w:rFonts w:ascii="Arial" w:cs="Arial" w:eastAsia="Arial" w:hAnsi="Arial"/>
                <w:sz w:val="18"/>
                <w:szCs w:val="18"/>
                <w:color w:val="auto"/>
                <w:w w:val="90"/>
              </w:rPr>
              <w:t>- 150.00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143.71</w:t>
            </w:r>
          </w:p>
        </w:tc>
        <w:tc>
          <w:tcPr>
            <w:tcW w:w="200" w:type="dxa"/>
            <w:vAlign w:val="bottom"/>
          </w:tcPr>
          <w:p>
            <w:pPr>
              <w:spacing w:after="0"/>
              <w:rPr>
                <w:sz w:val="18"/>
                <w:szCs w:val="18"/>
                <w:color w:val="auto"/>
              </w:rPr>
            </w:pPr>
          </w:p>
        </w:tc>
        <w:tc>
          <w:tcPr>
            <w:tcW w:w="1580" w:type="dxa"/>
            <w:vAlign w:val="bottom"/>
          </w:tcPr>
          <w:p>
            <w:pPr>
              <w:jc w:val="right"/>
              <w:ind w:right="494"/>
              <w:spacing w:after="0"/>
              <w:rPr>
                <w:sz w:val="20"/>
                <w:szCs w:val="20"/>
                <w:color w:val="auto"/>
              </w:rPr>
            </w:pPr>
            <w:r>
              <w:rPr>
                <w:rFonts w:ascii="Arial" w:cs="Arial" w:eastAsia="Arial" w:hAnsi="Arial"/>
                <w:sz w:val="18"/>
                <w:szCs w:val="18"/>
                <w:color w:val="auto"/>
              </w:rPr>
              <w:t>0.86</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107,356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143.71</w:t>
            </w:r>
          </w:p>
        </w:tc>
        <w:tc>
          <w:tcPr>
            <w:tcW w:w="100" w:type="dxa"/>
            <w:vAlign w:val="bottom"/>
          </w:tcPr>
          <w:p>
            <w:pPr>
              <w:spacing w:after="0"/>
              <w:rPr>
                <w:sz w:val="18"/>
                <w:szCs w:val="18"/>
                <w:color w:val="auto"/>
              </w:rPr>
            </w:pPr>
          </w:p>
        </w:tc>
      </w:tr>
      <w:tr>
        <w:trPr>
          <w:trHeight w:val="223"/>
        </w:trPr>
        <w:tc>
          <w:tcPr>
            <w:tcW w:w="15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1,247</w:t>
            </w:r>
          </w:p>
        </w:tc>
        <w:tc>
          <w:tcPr>
            <w:tcW w:w="220" w:type="dxa"/>
            <w:vAlign w:val="bottom"/>
            <w:tcBorders>
              <w:bottom w:val="single" w:sz="8" w:color="F0FFFF"/>
            </w:tcBorders>
            <w:shd w:val="clear" w:color="auto" w:fill="F0FFFF"/>
          </w:tcPr>
          <w:p>
            <w:pPr>
              <w:spacing w:after="0"/>
              <w:rPr>
                <w:sz w:val="19"/>
                <w:szCs w:val="19"/>
                <w:color w:val="auto"/>
              </w:rPr>
            </w:pPr>
          </w:p>
        </w:tc>
        <w:tc>
          <w:tcPr>
            <w:tcW w:w="260" w:type="dxa"/>
            <w:vAlign w:val="bottom"/>
            <w:tcBorders>
              <w:bottom w:val="single" w:sz="8" w:color="F0FFFF"/>
            </w:tcBorders>
            <w:shd w:val="clear" w:color="auto" w:fill="F0FFFF"/>
          </w:tcPr>
          <w:p>
            <w:pPr>
              <w:spacing w:after="0"/>
              <w:rPr>
                <w:sz w:val="19"/>
                <w:szCs w:val="19"/>
                <w:color w:val="auto"/>
              </w:rPr>
            </w:pPr>
          </w:p>
        </w:tc>
        <w:tc>
          <w:tcPr>
            <w:tcW w:w="7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150.01</w:t>
            </w:r>
          </w:p>
        </w:tc>
        <w:tc>
          <w:tcPr>
            <w:tcW w:w="6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0"/>
              </w:rPr>
              <w:t>- 155.25</w:t>
            </w:r>
          </w:p>
        </w:tc>
        <w:tc>
          <w:tcPr>
            <w:tcW w:w="2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3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155.25</w:t>
            </w:r>
          </w:p>
        </w:tc>
        <w:tc>
          <w:tcPr>
            <w:tcW w:w="200" w:type="dxa"/>
            <w:vAlign w:val="bottom"/>
            <w:tcBorders>
              <w:bottom w:val="single" w:sz="8" w:color="F0FFFF"/>
            </w:tcBorders>
            <w:shd w:val="clear" w:color="auto" w:fill="F0FFFF"/>
          </w:tcPr>
          <w:p>
            <w:pPr>
              <w:spacing w:after="0"/>
              <w:rPr>
                <w:sz w:val="19"/>
                <w:szCs w:val="19"/>
                <w:color w:val="auto"/>
              </w:rPr>
            </w:pPr>
          </w:p>
        </w:tc>
        <w:tc>
          <w:tcPr>
            <w:tcW w:w="1580" w:type="dxa"/>
            <w:vAlign w:val="bottom"/>
            <w:tcBorders>
              <w:bottom w:val="single" w:sz="8" w:color="F0FFFF"/>
            </w:tcBorders>
            <w:shd w:val="clear" w:color="auto" w:fill="F0FFFF"/>
          </w:tcPr>
          <w:p>
            <w:pPr>
              <w:jc w:val="right"/>
              <w:ind w:right="494"/>
              <w:spacing w:after="0"/>
              <w:rPr>
                <w:sz w:val="20"/>
                <w:szCs w:val="20"/>
                <w:color w:val="auto"/>
              </w:rPr>
            </w:pPr>
            <w:r>
              <w:rPr>
                <w:rFonts w:ascii="Arial" w:cs="Arial" w:eastAsia="Arial" w:hAnsi="Arial"/>
                <w:sz w:val="18"/>
                <w:szCs w:val="18"/>
                <w:color w:val="auto"/>
              </w:rPr>
              <w:t>0.93</w:t>
            </w:r>
          </w:p>
        </w:tc>
        <w:tc>
          <w:tcPr>
            <w:tcW w:w="220" w:type="dxa"/>
            <w:vAlign w:val="bottom"/>
            <w:tcBorders>
              <w:bottom w:val="single" w:sz="8" w:color="F0FFFF"/>
            </w:tcBorders>
            <w:shd w:val="clear" w:color="auto" w:fill="F0FFFF"/>
          </w:tcPr>
          <w:p>
            <w:pPr>
              <w:spacing w:after="0"/>
              <w:rPr>
                <w:sz w:val="19"/>
                <w:szCs w:val="19"/>
                <w:color w:val="auto"/>
              </w:rPr>
            </w:pPr>
          </w:p>
        </w:tc>
        <w:tc>
          <w:tcPr>
            <w:tcW w:w="15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1,247</w:t>
            </w:r>
          </w:p>
        </w:tc>
        <w:tc>
          <w:tcPr>
            <w:tcW w:w="18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155.25</w:t>
            </w:r>
          </w:p>
        </w:tc>
        <w:tc>
          <w:tcPr>
            <w:tcW w:w="100" w:type="dxa"/>
            <w:vAlign w:val="bottom"/>
            <w:tcBorders>
              <w:bottom w:val="single" w:sz="8" w:color="F0FFFF"/>
            </w:tcBorders>
            <w:shd w:val="clear" w:color="auto" w:fill="F0FFFF"/>
          </w:tcPr>
          <w:p>
            <w:pPr>
              <w:spacing w:after="0"/>
              <w:rPr>
                <w:sz w:val="19"/>
                <w:szCs w:val="19"/>
                <w:color w:val="auto"/>
              </w:rPr>
            </w:pPr>
          </w:p>
        </w:tc>
      </w:tr>
      <w:tr>
        <w:trPr>
          <w:trHeight w:val="216"/>
        </w:trPr>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8"/>
        </w:trPr>
        <w:tc>
          <w:tcPr>
            <w:tcW w:w="15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241,493</w:t>
            </w:r>
          </w:p>
        </w:tc>
        <w:tc>
          <w:tcPr>
            <w:tcW w:w="220" w:type="dxa"/>
            <w:vAlign w:val="bottom"/>
            <w:tcBorders>
              <w:bottom w:val="single" w:sz="8" w:color="F0FFFF"/>
            </w:tcBorders>
            <w:shd w:val="clear" w:color="auto" w:fill="F0FFFF"/>
          </w:tcPr>
          <w:p>
            <w:pPr>
              <w:spacing w:after="0"/>
              <w:rPr>
                <w:sz w:val="22"/>
                <w:szCs w:val="22"/>
                <w:color w:val="auto"/>
              </w:rPr>
            </w:pPr>
          </w:p>
        </w:tc>
        <w:tc>
          <w:tcPr>
            <w:tcW w:w="260" w:type="dxa"/>
            <w:vAlign w:val="bottom"/>
            <w:tcBorders>
              <w:bottom w:val="single" w:sz="8" w:color="F0FFFF"/>
            </w:tcBorders>
            <w:shd w:val="clear" w:color="auto" w:fill="F0FFFF"/>
          </w:tcPr>
          <w:p>
            <w:pPr>
              <w:spacing w:after="0"/>
              <w:rPr>
                <w:sz w:val="22"/>
                <w:szCs w:val="22"/>
                <w:color w:val="auto"/>
              </w:rPr>
            </w:pPr>
          </w:p>
        </w:tc>
        <w:tc>
          <w:tcPr>
            <w:tcW w:w="7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w w:val="90"/>
              </w:rPr>
              <w:t>- 155.25</w:t>
            </w:r>
          </w:p>
        </w:tc>
        <w:tc>
          <w:tcPr>
            <w:tcW w:w="220" w:type="dxa"/>
            <w:vAlign w:val="bottom"/>
            <w:tcBorders>
              <w:bottom w:val="single" w:sz="8" w:color="F0FFFF"/>
            </w:tcBorders>
            <w:shd w:val="clear" w:color="auto" w:fill="F0FFFF"/>
          </w:tcPr>
          <w:p>
            <w:pPr>
              <w:spacing w:after="0"/>
              <w:rPr>
                <w:sz w:val="22"/>
                <w:szCs w:val="22"/>
                <w:color w:val="auto"/>
              </w:rPr>
            </w:pPr>
          </w:p>
        </w:tc>
        <w:tc>
          <w:tcPr>
            <w:tcW w:w="220" w:type="dxa"/>
            <w:vAlign w:val="bottom"/>
            <w:tcBorders>
              <w:bottom w:val="single" w:sz="8" w:color="F0FFFF"/>
            </w:tcBorders>
            <w:shd w:val="clear" w:color="auto" w:fill="F0FFFF"/>
          </w:tcPr>
          <w:p>
            <w:pPr>
              <w:spacing w:after="0"/>
              <w:rPr>
                <w:sz w:val="22"/>
                <w:szCs w:val="22"/>
                <w:color w:val="auto"/>
              </w:rPr>
            </w:pPr>
          </w:p>
        </w:tc>
        <w:tc>
          <w:tcPr>
            <w:tcW w:w="13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89.92</w:t>
            </w:r>
          </w:p>
        </w:tc>
        <w:tc>
          <w:tcPr>
            <w:tcW w:w="200" w:type="dxa"/>
            <w:vAlign w:val="bottom"/>
            <w:tcBorders>
              <w:bottom w:val="single" w:sz="8" w:color="F0FFFF"/>
            </w:tcBorders>
            <w:shd w:val="clear" w:color="auto" w:fill="F0FFFF"/>
          </w:tcPr>
          <w:p>
            <w:pPr>
              <w:spacing w:after="0"/>
              <w:rPr>
                <w:sz w:val="22"/>
                <w:szCs w:val="22"/>
                <w:color w:val="auto"/>
              </w:rPr>
            </w:pPr>
          </w:p>
        </w:tc>
        <w:tc>
          <w:tcPr>
            <w:tcW w:w="1580" w:type="dxa"/>
            <w:vAlign w:val="bottom"/>
            <w:tcBorders>
              <w:bottom w:val="single" w:sz="8" w:color="F0FFFF"/>
            </w:tcBorders>
            <w:shd w:val="clear" w:color="auto" w:fill="F0FFFF"/>
          </w:tcPr>
          <w:p>
            <w:pPr>
              <w:jc w:val="right"/>
              <w:ind w:right="494"/>
              <w:spacing w:after="0"/>
              <w:rPr>
                <w:sz w:val="20"/>
                <w:szCs w:val="20"/>
                <w:color w:val="auto"/>
              </w:rPr>
            </w:pPr>
            <w:r>
              <w:rPr>
                <w:rFonts w:ascii="Arial" w:cs="Arial" w:eastAsia="Arial" w:hAnsi="Arial"/>
                <w:sz w:val="18"/>
                <w:szCs w:val="18"/>
                <w:color w:val="auto"/>
              </w:rPr>
              <w:t>2.36</w:t>
            </w:r>
          </w:p>
        </w:tc>
        <w:tc>
          <w:tcPr>
            <w:tcW w:w="220" w:type="dxa"/>
            <w:vAlign w:val="bottom"/>
            <w:tcBorders>
              <w:bottom w:val="single" w:sz="8" w:color="F0FFFF"/>
            </w:tcBorders>
            <w:shd w:val="clear" w:color="auto" w:fill="F0FFFF"/>
          </w:tcPr>
          <w:p>
            <w:pPr>
              <w:spacing w:after="0"/>
              <w:rPr>
                <w:sz w:val="22"/>
                <w:szCs w:val="22"/>
                <w:color w:val="auto"/>
              </w:rPr>
            </w:pPr>
          </w:p>
        </w:tc>
        <w:tc>
          <w:tcPr>
            <w:tcW w:w="15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231,493</w:t>
            </w:r>
          </w:p>
        </w:tc>
        <w:tc>
          <w:tcPr>
            <w:tcW w:w="18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F0FFFF"/>
            </w:tcBorders>
            <w:shd w:val="clear" w:color="auto" w:fill="F0FFFF"/>
          </w:tcPr>
          <w:p>
            <w:pPr>
              <w:spacing w:after="0"/>
              <w:rPr>
                <w:sz w:val="22"/>
                <w:szCs w:val="22"/>
                <w:color w:val="auto"/>
              </w:rPr>
            </w:pPr>
          </w:p>
        </w:tc>
        <w:tc>
          <w:tcPr>
            <w:tcW w:w="126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93.10</w:t>
            </w:r>
          </w:p>
        </w:tc>
        <w:tc>
          <w:tcPr>
            <w:tcW w:w="100" w:type="dxa"/>
            <w:vAlign w:val="bottom"/>
            <w:tcBorders>
              <w:bottom w:val="single" w:sz="8" w:color="F0FFFF"/>
            </w:tcBorders>
            <w:shd w:val="clear" w:color="auto" w:fill="F0FFFF"/>
          </w:tcPr>
          <w:p>
            <w:pPr>
              <w:spacing w:after="0"/>
              <w:rPr>
                <w:sz w:val="22"/>
                <w:szCs w:val="22"/>
                <w:color w:val="auto"/>
              </w:rPr>
            </w:pPr>
          </w:p>
        </w:tc>
      </w:tr>
      <w:tr>
        <w:trPr>
          <w:trHeight w:val="20"/>
        </w:trPr>
        <w:tc>
          <w:tcPr>
            <w:tcW w:w="1580" w:type="dxa"/>
            <w:vAlign w:val="bottom"/>
            <w:tcBorders>
              <w:top w:val="single" w:sz="8" w:color="F0FFFF"/>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700" w:type="dxa"/>
            <w:vAlign w:val="bottom"/>
            <w:tcBorders>
              <w:top w:val="single" w:sz="8" w:color="F0FFFF"/>
            </w:tcBorders>
          </w:tcPr>
          <w:p>
            <w:pPr>
              <w:spacing w:after="0" w:line="20" w:lineRule="exact"/>
              <w:rPr>
                <w:sz w:val="1"/>
                <w:szCs w:val="1"/>
                <w:color w:val="auto"/>
              </w:rPr>
            </w:pPr>
          </w:p>
        </w:tc>
        <w:tc>
          <w:tcPr>
            <w:tcW w:w="6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36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58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1580" w:type="dxa"/>
            <w:vAlign w:val="bottom"/>
            <w:tcBorders>
              <w:top w:val="single" w:sz="8" w:color="F0FFFF"/>
              <w:bottom w:val="single" w:sz="8" w:color="auto"/>
            </w:tcBorders>
          </w:tcPr>
          <w:p>
            <w:pPr>
              <w:spacing w:after="0" w:line="20" w:lineRule="exact"/>
              <w:rPr>
                <w:sz w:val="1"/>
                <w:szCs w:val="1"/>
                <w:color w:val="auto"/>
              </w:rPr>
            </w:pPr>
          </w:p>
        </w:tc>
        <w:tc>
          <w:tcPr>
            <w:tcW w:w="180" w:type="dxa"/>
            <w:vAlign w:val="bottom"/>
            <w:tcBorders>
              <w:top w:val="single" w:sz="8" w:color="F0FFFF"/>
            </w:tcBorders>
          </w:tcPr>
          <w:p>
            <w:pPr>
              <w:spacing w:after="0" w:line="20" w:lineRule="exact"/>
              <w:rPr>
                <w:sz w:val="1"/>
                <w:szCs w:val="1"/>
                <w:color w:val="auto"/>
              </w:rPr>
            </w:pPr>
          </w:p>
        </w:tc>
        <w:tc>
          <w:tcPr>
            <w:tcW w:w="200" w:type="dxa"/>
            <w:vAlign w:val="bottom"/>
            <w:tcBorders>
              <w:top w:val="single" w:sz="8" w:color="F0FFFF"/>
            </w:tcBorders>
          </w:tcPr>
          <w:p>
            <w:pPr>
              <w:spacing w:after="0" w:line="20" w:lineRule="exact"/>
              <w:rPr>
                <w:sz w:val="1"/>
                <w:szCs w:val="1"/>
                <w:color w:val="auto"/>
              </w:rPr>
            </w:pPr>
          </w:p>
        </w:tc>
        <w:tc>
          <w:tcPr>
            <w:tcW w:w="126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r>
    </w:tbl>
    <w:p>
      <w:pPr>
        <w:spacing w:after="0" w:line="202" w:lineRule="exact"/>
        <w:rPr>
          <w:sz w:val="20"/>
          <w:szCs w:val="20"/>
          <w:color w:val="auto"/>
        </w:rPr>
      </w:pPr>
    </w:p>
    <w:p>
      <w:pPr>
        <w:jc w:val="both"/>
        <w:ind w:left="332"/>
        <w:spacing w:after="0" w:line="257" w:lineRule="auto"/>
        <w:rPr>
          <w:sz w:val="20"/>
          <w:szCs w:val="20"/>
          <w:color w:val="auto"/>
        </w:rPr>
      </w:pPr>
      <w:r>
        <w:rPr>
          <w:rFonts w:ascii="Arial" w:cs="Arial" w:eastAsia="Arial" w:hAnsi="Arial"/>
          <w:sz w:val="18"/>
          <w:szCs w:val="18"/>
          <w:color w:val="auto"/>
        </w:rPr>
        <w:t>The weighted average fair value of options granted in 2014 and 2013 was $9.49 and $5.10 respectively. No options were granted in 2015. The fair value of each option granted was estimated on the date of grant using the Black-Scholes model. The decrease in United’s stock price through 2010 has rendered most of its outstanding options severely out of the money and potentially worthless to the grantee. Therefore historical exercise patterns do not provide a reasonable basis for determining the expected life of new option grants. United therefore uses the formula provided by the SEC in ASC Topic 718-10-S99 to determine the expected life of the options.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 and Related Plans, continued</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to determine the fair value of options are presented in the table below:</w:t>
      </w:r>
    </w:p>
    <w:p>
      <w:pPr>
        <w:spacing w:after="0" w:line="230" w:lineRule="exact"/>
        <w:rPr>
          <w:sz w:val="20"/>
          <w:szCs w:val="20"/>
          <w:color w:val="auto"/>
        </w:rPr>
      </w:pPr>
    </w:p>
    <w:tbl>
      <w:tblPr>
        <w:tblLayout w:type="fixed"/>
        <w:tblInd w:w="2300" w:type="dxa"/>
        <w:tblCellMar>
          <w:top w:w="0" w:type="dxa"/>
          <w:left w:w="0" w:type="dxa"/>
          <w:bottom w:w="0" w:type="dxa"/>
          <w:right w:w="0" w:type="dxa"/>
        </w:tblCellMar>
      </w:tblPr>
      <w:tr>
        <w:trPr>
          <w:trHeight w:val="178"/>
        </w:trPr>
        <w:tc>
          <w:tcPr>
            <w:tcW w:w="51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Expected volatility</w:t>
            </w:r>
          </w:p>
        </w:tc>
        <w:tc>
          <w:tcPr>
            <w:tcW w:w="5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66%</w:t>
            </w:r>
          </w:p>
        </w:tc>
        <w:tc>
          <w:tcPr>
            <w:tcW w:w="11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Expected life (in years)</w:t>
            </w:r>
          </w:p>
        </w:tc>
        <w:tc>
          <w:tcPr>
            <w:tcW w:w="56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w w:val="85"/>
              </w:rPr>
              <w:t>6.25</w:t>
            </w:r>
          </w:p>
        </w:tc>
        <w:tc>
          <w:tcPr>
            <w:tcW w:w="11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stock options were granted in 2015.</w:t>
      </w:r>
    </w:p>
    <w:p>
      <w:pPr>
        <w:spacing w:after="0" w:line="225"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Compensation expense relating to options of $35,000 and $15,000, respectively, was included in earnings for 2015 and 2014. For 2013, United recognized a credit to compensation expense of $51,000 due to forfeitures of unvested options which exceeded option expense for that year. A deferred income tax benefit related to stock option expense of $14,000 and $6,000 was included in the determination of income tax expense in 2015 and 2014, respectively. For 2013, United reversed previously recognized deferred taxes of $20,000 related to the forfeited options. The amount of compensation expense for all periods was determined based on the fair value of options at the time of grant, multiplied by the number of options granted that were expected to vest, which was then amortized over the vesting period. There were no options exercised during 2015, 2014 and 2013.</w:t>
      </w:r>
    </w:p>
    <w:p>
      <w:pPr>
        <w:spacing w:after="0" w:line="165"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Compensation expense recognized in the consolidated statement of income for restricted stock in 2015, 2014 and 2013 was $4.37 million, $4.29 million and $2.85 million, respectively. The total intrinsic value of restricted stock at December 31, 2015 was approximately $13.9 million.</w:t>
      </w:r>
    </w:p>
    <w:p>
      <w:pPr>
        <w:spacing w:after="0" w:line="15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December 31, 2015, there was $8.94 million of unrecognized compensation cost related to nonvested stock options and restricted stock granted under the plan. The cost is expected to be recognized over a weighted-average period of 2.44 years. The aggregate grant date fair value of options and restricted stock that vested during 2015 was $4.26 million.</w:t>
      </w:r>
    </w:p>
    <w:p>
      <w:pPr>
        <w:spacing w:after="0" w:line="181"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United sponsors a Dividend Reinvestment and Stock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The DRIP had previously been suspended but was re-activated in 2014 when United restored its quarterly dividend. In 2015 and 2014, 2,916 and 191 shares, respectively, were issued under the DRIP. No shares were issued under the DRIP in 2013.</w:t>
      </w:r>
    </w:p>
    <w:p>
      <w:pPr>
        <w:spacing w:after="0" w:line="15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Effective January 1, 2015, United’s 401(k) Plan discontinued offering shares of United’s common stock as an investment option. During 2014 and 2013, United’s 401(k) Plan purchased 17,373 shares and 48,996 shares, respectively, directly from United at the average of the high and low stock prices on the transaction dates. In addition, United has an Employee Stock Purchase Program (“ESPP”) that allows eligible employees to purchase shares of common stock at a discount (10% in 2015 and 5% in both 2014 and 2013), with no commission charges. During 2015, 2014 and 2013 United issued 14,213 shares, 10,506 shares and 13,982 shares, respectively, through the ESPP.</w:t>
      </w:r>
    </w:p>
    <w:p>
      <w:pPr>
        <w:spacing w:after="0" w:line="18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United offers its common stock as an investment option in its deferred compensation plan. The common stock component is accounted for as an equity instrument and is reflected in the consolidated balance sheet as common stock issuable. The deferred compensation plan does not allow for diversification once an election is made to invest in United stock and settlement must be accomplished in shares at the time the deferral period is completed. United also allows restricted stock grantees to defer all or a portion of their restricted stock in the deferred compensation plan upon vesting. At December 31, 2015 and 2014, United had 458,953 and 357,983 shares, respectively, of its common stock that was issuable under the deferred compensation plan.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Fair value measurements are determined based on the assumptions that market participants would use in pricing the asset or liability. As a basis for considering market participant assumptions in fair value measurements, the Financial Accounting Standards Board’s Accounting Standards Codification Topic 820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8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Hierarchy</w:t>
      </w:r>
    </w:p>
    <w:p>
      <w:pPr>
        <w:spacing w:after="0" w:line="229" w:lineRule="exact"/>
        <w:rPr>
          <w:sz w:val="20"/>
          <w:szCs w:val="20"/>
          <w:color w:val="auto"/>
        </w:rPr>
      </w:pPr>
    </w:p>
    <w:p>
      <w:pPr>
        <w:jc w:val="both"/>
        <w:ind w:left="114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Valuation is based upon quoted prices (unadjusted) in active markets for identical assets or liabilities that United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w:t>
      </w:r>
    </w:p>
    <w:p>
      <w:pPr>
        <w:spacing w:after="0" w:line="170"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upon quoted prices for similar assets and liabilities in active markets, as well as inputs that are observable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(other than quoted prices), such as interest rates, foreign exchange rates, and yield curves that are observable at commonly quoted intervals.</w:t>
      </w:r>
    </w:p>
    <w:p>
      <w:pPr>
        <w:spacing w:after="0" w:line="181" w:lineRule="exact"/>
        <w:rPr>
          <w:sz w:val="20"/>
          <w:szCs w:val="20"/>
          <w:color w:val="auto"/>
        </w:rPr>
      </w:pPr>
    </w:p>
    <w:p>
      <w:pPr>
        <w:jc w:val="both"/>
        <w:ind w:left="1140" w:right="20"/>
        <w:spacing w:after="0" w:line="308" w:lineRule="auto"/>
        <w:rPr>
          <w:sz w:val="20"/>
          <w:szCs w:val="20"/>
          <w:color w:val="auto"/>
        </w:rPr>
      </w:pPr>
      <w:r>
        <w:rPr>
          <w:rFonts w:ascii="Arial" w:cs="Arial" w:eastAsia="Arial" w:hAnsi="Arial"/>
          <w:sz w:val="17"/>
          <w:szCs w:val="17"/>
          <w:i w:val="1"/>
          <w:iCs w:val="1"/>
          <w:color w:val="auto"/>
        </w:rPr>
        <w:t xml:space="preserve">Level 3 </w:t>
      </w:r>
      <w:r>
        <w:rPr>
          <w:rFonts w:ascii="Arial" w:cs="Arial" w:eastAsia="Arial" w:hAnsi="Arial"/>
          <w:sz w:val="17"/>
          <w:szCs w:val="17"/>
          <w:color w:val="auto"/>
        </w:rPr>
        <w:t>Valuation is generated from model-based techniques that use at least one significant assumption based on unobservable inputs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asset or liability, which are typically based on an entity’s own assumptions, as there is little, if any, related market activity.</w:t>
      </w:r>
    </w:p>
    <w:p>
      <w:pPr>
        <w:spacing w:after="0" w:line="14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Securities Available-for-Sale</w:t>
      </w:r>
    </w:p>
    <w:p>
      <w:pPr>
        <w:spacing w:after="0" w:line="229"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Department of the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Deferred Compensation Plan Assets and Liabilities</w:t>
      </w:r>
    </w:p>
    <w:p>
      <w:pPr>
        <w:spacing w:after="0" w:line="229"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Mortgage Loans Held for Sale</w:t>
      </w:r>
    </w:p>
    <w:p>
      <w:pPr>
        <w:spacing w:after="0" w:line="22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Mortgage loans held for sale are carried at the lower of cost or fair value. The fair value of mortgage loans held for sale is based on what secondary markets are currently offering for mortgage loans with similar characteristics.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6740" w:hanging="332"/>
        <w:spacing w:after="0" w:line="503" w:lineRule="auto"/>
        <w:tabs>
          <w:tab w:leader="none" w:pos="3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Assets and Liabilities Measured at Fair Value, continued </w:t>
      </w:r>
      <w:r>
        <w:rPr>
          <w:rFonts w:ascii="Arial" w:cs="Arial" w:eastAsia="Arial" w:hAnsi="Arial"/>
          <w:sz w:val="18"/>
          <w:szCs w:val="18"/>
          <w:b w:val="1"/>
          <w:bCs w:val="1"/>
          <w:u w:val="single" w:color="auto"/>
          <w:color w:val="auto"/>
        </w:rPr>
        <w:t>Loans</w:t>
      </w: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193" w:lineRule="exact"/>
        <w:rPr>
          <w:rFonts w:ascii="Arial" w:cs="Arial" w:eastAsia="Arial" w:hAnsi="Arial"/>
          <w:sz w:val="18"/>
          <w:szCs w:val="18"/>
          <w:b w:val="1"/>
          <w:bCs w:val="1"/>
          <w:color w:val="auto"/>
        </w:rPr>
      </w:pPr>
    </w:p>
    <w:p>
      <w:pPr>
        <w:jc w:val="both"/>
        <w:ind w:left="3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Those impaired loans not requiring an allowance represent loans for which the fair value of the expected repayments or collateral exceed the recorded investments in such loans.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5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Foreclosed Assets</w:t>
      </w:r>
    </w:p>
    <w:p>
      <w:pPr>
        <w:spacing w:after="0" w:line="229" w:lineRule="exact"/>
        <w:rPr>
          <w:rFonts w:ascii="Arial" w:cs="Arial" w:eastAsia="Arial" w:hAnsi="Arial"/>
          <w:sz w:val="18"/>
          <w:szCs w:val="18"/>
          <w:b w:val="1"/>
          <w:bCs w:val="1"/>
          <w:color w:val="auto"/>
        </w:rPr>
      </w:pPr>
    </w:p>
    <w:p>
      <w:pPr>
        <w:jc w:val="both"/>
        <w:ind w:left="3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5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229"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6" w:lineRule="exact"/>
        <w:rPr>
          <w:rFonts w:ascii="Arial" w:cs="Arial" w:eastAsia="Arial" w:hAnsi="Arial"/>
          <w:sz w:val="18"/>
          <w:szCs w:val="18"/>
          <w:b w:val="1"/>
          <w:bCs w:val="1"/>
          <w:color w:val="auto"/>
        </w:rPr>
      </w:pPr>
    </w:p>
    <w:p>
      <w:pPr>
        <w:jc w:val="both"/>
        <w:ind w:left="3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2015,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This resulted in the Bank transferring them to a Level 3 disclosure in 2014. The fair value of interest rate lock commitments, which are related to mortgage loan commitments and are categorized as Level 3, are based on quoted market prices adjusted for commitments that United does not expect to fund.</w:t>
      </w:r>
    </w:p>
    <w:p>
      <w:pPr>
        <w:spacing w:after="0" w:line="17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Servicing Rights for Government Guaranteed Loans</w:t>
      </w:r>
    </w:p>
    <w:p>
      <w:pPr>
        <w:spacing w:after="0" w:line="229" w:lineRule="exact"/>
        <w:rPr>
          <w:rFonts w:ascii="Arial" w:cs="Arial" w:eastAsia="Arial" w:hAnsi="Arial"/>
          <w:sz w:val="18"/>
          <w:szCs w:val="18"/>
          <w:b w:val="1"/>
          <w:bCs w:val="1"/>
          <w:color w:val="auto"/>
        </w:rPr>
      </w:pPr>
    </w:p>
    <w:p>
      <w:pPr>
        <w:jc w:val="both"/>
        <w:ind w:left="34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United recognizes servicing rights upon the sale of government guaranteed loans sold with servicing retained. This asset is recorded at fair value on recognition, and management has elected to carry this asset at fair value for subsequent reporting. Given the nature of the asset, the key valuation inputs are unobservable and management considers this asset as Level 3.</w:t>
      </w:r>
    </w:p>
    <w:p>
      <w:pPr>
        <w:spacing w:after="0" w:line="17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Plan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For disclosure regarding the fair value of pension plan assets, see Note 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 continued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2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 w:type="dxa"/>
            <w:vAlign w:val="bottom"/>
          </w:tcPr>
          <w:p>
            <w:pPr>
              <w:spacing w:after="0"/>
              <w:rPr>
                <w:sz w:val="15"/>
                <w:szCs w:val="15"/>
                <w:color w:val="auto"/>
              </w:rPr>
            </w:pPr>
          </w:p>
        </w:tc>
        <w:tc>
          <w:tcPr>
            <w:tcW w:w="4320" w:type="dxa"/>
            <w:vAlign w:val="bottom"/>
          </w:tcPr>
          <w:p>
            <w:pPr>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5"/>
                <w:szCs w:val="15"/>
                <w:color w:val="auto"/>
              </w:rPr>
            </w:pPr>
          </w:p>
        </w:tc>
      </w:tr>
      <w:tr>
        <w:trPr>
          <w:trHeight w:val="216"/>
        </w:trPr>
        <w:tc>
          <w:tcPr>
            <w:tcW w:w="340" w:type="dxa"/>
            <w:vAlign w:val="bottom"/>
          </w:tcPr>
          <w:p>
            <w:pPr>
              <w:spacing w:after="0"/>
              <w:rPr>
                <w:sz w:val="18"/>
                <w:szCs w:val="18"/>
                <w:color w:val="auto"/>
              </w:rPr>
            </w:pPr>
          </w:p>
        </w:tc>
        <w:tc>
          <w:tcPr>
            <w:tcW w:w="43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340"/>
              <w:spacing w:after="0"/>
              <w:rPr>
                <w:sz w:val="20"/>
                <w:szCs w:val="20"/>
                <w:color w:val="auto"/>
              </w:rPr>
            </w:pPr>
            <w:r>
              <w:rPr>
                <w:rFonts w:ascii="Arial" w:cs="Arial" w:eastAsia="Arial" w:hAnsi="Arial"/>
                <w:sz w:val="18"/>
                <w:szCs w:val="18"/>
                <w:color w:val="auto"/>
              </w:rPr>
              <w:t>U.S. Treasuries</w:t>
            </w:r>
          </w:p>
        </w:tc>
        <w:tc>
          <w:tcPr>
            <w:tcW w:w="4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168,706</w:t>
            </w:r>
          </w:p>
        </w:tc>
        <w:tc>
          <w:tcPr>
            <w:tcW w:w="30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168,706</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U.S. Agencies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112,340</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112,340</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34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56,268</w:t>
            </w: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56,268</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1,113,118</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1,113,118</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305,276</w:t>
            </w: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750</w:t>
            </w: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306,026</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533,242</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533,242</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1,811</w:t>
            </w: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1,811</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3,450</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3,450</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Servicing rights for government guaranteed loans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3,712</w:t>
            </w: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3,712</w:t>
            </w:r>
          </w:p>
        </w:tc>
        <w:tc>
          <w:tcPr>
            <w:tcW w:w="26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10,664</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9,418</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20,082</w:t>
            </w:r>
          </w:p>
        </w:tc>
        <w:tc>
          <w:tcPr>
            <w:tcW w:w="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3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Pr>
          <w:p>
            <w:pPr>
              <w:spacing w:after="0"/>
              <w:rPr>
                <w:sz w:val="18"/>
                <w:szCs w:val="18"/>
                <w:color w:val="auto"/>
              </w:rPr>
            </w:pPr>
          </w:p>
        </w:tc>
      </w:tr>
      <w:tr>
        <w:trPr>
          <w:trHeight w:val="243"/>
        </w:trPr>
        <w:tc>
          <w:tcPr>
            <w:tcW w:w="340" w:type="dxa"/>
            <w:vAlign w:val="bottom"/>
          </w:tcPr>
          <w:p>
            <w:pPr>
              <w:spacing w:after="0"/>
              <w:rPr>
                <w:sz w:val="21"/>
                <w:szCs w:val="21"/>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172,156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2,132,719</w:t>
            </w:r>
          </w:p>
        </w:tc>
        <w:tc>
          <w:tcPr>
            <w:tcW w:w="220" w:type="dxa"/>
            <w:vAlign w:val="bottom"/>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13,880</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2,318,755</w:t>
            </w:r>
          </w:p>
        </w:tc>
        <w:tc>
          <w:tcPr>
            <w:tcW w:w="26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3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180"/>
              <w:spacing w:after="0"/>
              <w:rPr>
                <w:sz w:val="20"/>
                <w:szCs w:val="20"/>
                <w:color w:val="auto"/>
              </w:rPr>
            </w:pPr>
            <w:r>
              <w:rPr>
                <w:rFonts w:ascii="Arial" w:cs="Arial" w:eastAsia="Arial" w:hAnsi="Arial"/>
                <w:sz w:val="18"/>
                <w:szCs w:val="18"/>
                <w:color w:val="auto"/>
              </w:rPr>
              <w:t>Deferred compensation plan liability</w:t>
            </w:r>
          </w:p>
        </w:tc>
        <w:tc>
          <w:tcPr>
            <w:tcW w:w="4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3,450</w:t>
            </w:r>
          </w:p>
        </w:tc>
        <w:tc>
          <w:tcPr>
            <w:tcW w:w="30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3,450</w:t>
            </w:r>
          </w:p>
        </w:tc>
        <w:tc>
          <w:tcPr>
            <w:tcW w:w="26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13,031</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15,794</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28,825</w:t>
            </w:r>
          </w:p>
        </w:tc>
        <w:tc>
          <w:tcPr>
            <w:tcW w:w="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3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Pr>
          <w:p>
            <w:pPr>
              <w:spacing w:after="0"/>
              <w:rPr>
                <w:sz w:val="18"/>
                <w:szCs w:val="18"/>
                <w:color w:val="auto"/>
              </w:rPr>
            </w:pPr>
          </w:p>
        </w:tc>
      </w:tr>
      <w:tr>
        <w:trPr>
          <w:trHeight w:val="243"/>
        </w:trPr>
        <w:tc>
          <w:tcPr>
            <w:tcW w:w="340" w:type="dxa"/>
            <w:vAlign w:val="bottom"/>
          </w:tcPr>
          <w:p>
            <w:pPr>
              <w:spacing w:after="0"/>
              <w:rPr>
                <w:sz w:val="21"/>
                <w:szCs w:val="21"/>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2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w:t>
            </w:r>
          </w:p>
        </w:tc>
        <w:tc>
          <w:tcPr>
            <w:tcW w:w="220" w:type="dxa"/>
            <w:vAlign w:val="bottom"/>
          </w:tcPr>
          <w:p>
            <w:pPr>
              <w:spacing w:after="0"/>
              <w:rPr>
                <w:sz w:val="21"/>
                <w:szCs w:val="21"/>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15,794</w:t>
            </w:r>
          </w:p>
        </w:tc>
        <w:tc>
          <w:tcPr>
            <w:tcW w:w="220" w:type="dxa"/>
            <w:vAlign w:val="bottom"/>
          </w:tcPr>
          <w:p>
            <w:pPr>
              <w:spacing w:after="0"/>
              <w:rPr>
                <w:sz w:val="21"/>
                <w:szCs w:val="21"/>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1"/>
        </w:trPr>
        <w:tc>
          <w:tcPr>
            <w:tcW w:w="3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79"/>
        </w:trPr>
        <w:tc>
          <w:tcPr>
            <w:tcW w:w="340" w:type="dxa"/>
            <w:vAlign w:val="bottom"/>
          </w:tcPr>
          <w:p>
            <w:pPr>
              <w:spacing w:after="0"/>
              <w:rPr>
                <w:sz w:val="24"/>
                <w:szCs w:val="24"/>
                <w:color w:val="auto"/>
              </w:rPr>
            </w:pPr>
          </w:p>
        </w:tc>
        <w:tc>
          <w:tcPr>
            <w:tcW w:w="4320" w:type="dxa"/>
            <w:vAlign w:val="bottom"/>
          </w:tcPr>
          <w:p>
            <w:pPr>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24"/>
                <w:szCs w:val="2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43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U.S. Treasuries</w:t>
            </w:r>
          </w:p>
        </w:tc>
        <w:tc>
          <w:tcPr>
            <w:tcW w:w="4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105,709</w:t>
            </w:r>
          </w:p>
        </w:tc>
        <w:tc>
          <w:tcPr>
            <w:tcW w:w="30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105,709</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U.S. Agencies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36,299</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36,299</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20,233</w:t>
            </w: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20,233</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996,820</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996,820</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164,878</w:t>
            </w: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750</w:t>
            </w: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165,628</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455,928</w:t>
            </w: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455,928</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2,117</w:t>
            </w: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2,117</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3,864</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3,864</w:t>
            </w: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Servicing rights for government guaranteed loans</w:t>
            </w: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2,551</w:t>
            </w:r>
          </w:p>
        </w:tc>
        <w:tc>
          <w:tcPr>
            <w:tcW w:w="3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2,551</w:t>
            </w:r>
          </w:p>
        </w:tc>
        <w:tc>
          <w:tcPr>
            <w:tcW w:w="26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8,337</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12,262</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20,599</w:t>
            </w:r>
          </w:p>
        </w:tc>
        <w:tc>
          <w:tcPr>
            <w:tcW w:w="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3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Pr>
          <w:p>
            <w:pPr>
              <w:spacing w:after="0"/>
              <w:rPr>
                <w:sz w:val="18"/>
                <w:szCs w:val="18"/>
                <w:color w:val="auto"/>
              </w:rPr>
            </w:pPr>
          </w:p>
        </w:tc>
      </w:tr>
      <w:tr>
        <w:trPr>
          <w:trHeight w:val="243"/>
        </w:trPr>
        <w:tc>
          <w:tcPr>
            <w:tcW w:w="340" w:type="dxa"/>
            <w:vAlign w:val="bottom"/>
          </w:tcPr>
          <w:p>
            <w:pPr>
              <w:spacing w:after="0"/>
              <w:rPr>
                <w:sz w:val="21"/>
                <w:szCs w:val="21"/>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109,573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1,684,612</w:t>
            </w:r>
          </w:p>
        </w:tc>
        <w:tc>
          <w:tcPr>
            <w:tcW w:w="220" w:type="dxa"/>
            <w:vAlign w:val="bottom"/>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15,563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1,809,748</w:t>
            </w:r>
          </w:p>
        </w:tc>
        <w:tc>
          <w:tcPr>
            <w:tcW w:w="26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320" w:type="dxa"/>
            <w:vAlign w:val="bottom"/>
            <w:tcBorders>
              <w:bottom w:val="single" w:sz="8" w:color="F0FFFF"/>
            </w:tcBorders>
          </w:tcPr>
          <w:p>
            <w:pPr>
              <w:spacing w:after="0" w:line="20" w:lineRule="exact"/>
              <w:rPr>
                <w:sz w:val="1"/>
                <w:szCs w:val="1"/>
                <w:color w:val="auto"/>
              </w:rPr>
            </w:pPr>
          </w:p>
        </w:tc>
        <w:tc>
          <w:tcPr>
            <w:tcW w:w="12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F0FF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F0FF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43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20" w:type="dxa"/>
            <w:vAlign w:val="bottom"/>
            <w:shd w:val="clear" w:color="auto" w:fill="F0FFFF"/>
          </w:tcPr>
          <w:p>
            <w:pPr>
              <w:ind w:left="180"/>
              <w:spacing w:after="0"/>
              <w:rPr>
                <w:sz w:val="20"/>
                <w:szCs w:val="20"/>
                <w:color w:val="auto"/>
              </w:rPr>
            </w:pPr>
            <w:r>
              <w:rPr>
                <w:rFonts w:ascii="Arial" w:cs="Arial" w:eastAsia="Arial" w:hAnsi="Arial"/>
                <w:sz w:val="18"/>
                <w:szCs w:val="18"/>
                <w:color w:val="auto"/>
              </w:rPr>
              <w:t>Deferred compensation plan liability</w:t>
            </w:r>
          </w:p>
        </w:tc>
        <w:tc>
          <w:tcPr>
            <w:tcW w:w="42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3,864</w:t>
            </w:r>
          </w:p>
        </w:tc>
        <w:tc>
          <w:tcPr>
            <w:tcW w:w="300" w:type="dxa"/>
            <w:vAlign w:val="bottom"/>
            <w:shd w:val="clear" w:color="auto" w:fill="F0FF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80" w:type="dxa"/>
            <w:vAlign w:val="bottom"/>
            <w:shd w:val="clear" w:color="auto" w:fill="F0FF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3,864</w:t>
            </w:r>
          </w:p>
        </w:tc>
        <w:tc>
          <w:tcPr>
            <w:tcW w:w="26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4320" w:type="dxa"/>
            <w:vAlign w:val="bottom"/>
          </w:tcPr>
          <w:p>
            <w:pPr>
              <w:ind w:left="18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13,018</w:t>
            </w:r>
          </w:p>
        </w:tc>
        <w:tc>
          <w:tcPr>
            <w:tcW w:w="28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18,979</w:t>
            </w:r>
          </w:p>
        </w:tc>
        <w:tc>
          <w:tcPr>
            <w:tcW w:w="3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31,997</w:t>
            </w:r>
          </w:p>
        </w:tc>
        <w:tc>
          <w:tcPr>
            <w:tcW w:w="2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3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260" w:type="dxa"/>
            <w:vAlign w:val="bottom"/>
          </w:tcPr>
          <w:p>
            <w:pPr>
              <w:spacing w:after="0"/>
              <w:rPr>
                <w:sz w:val="18"/>
                <w:szCs w:val="18"/>
                <w:color w:val="auto"/>
              </w:rPr>
            </w:pPr>
          </w:p>
        </w:tc>
      </w:tr>
      <w:tr>
        <w:trPr>
          <w:trHeight w:val="243"/>
        </w:trPr>
        <w:tc>
          <w:tcPr>
            <w:tcW w:w="340" w:type="dxa"/>
            <w:vAlign w:val="bottom"/>
          </w:tcPr>
          <w:p>
            <w:pPr>
              <w:spacing w:after="0"/>
              <w:rPr>
                <w:sz w:val="21"/>
                <w:szCs w:val="21"/>
                <w:color w:val="auto"/>
              </w:rPr>
            </w:pPr>
          </w:p>
        </w:tc>
        <w:tc>
          <w:tcPr>
            <w:tcW w:w="432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3,864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13,018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18,979</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35,861</w:t>
            </w:r>
          </w:p>
        </w:tc>
        <w:tc>
          <w:tcPr>
            <w:tcW w:w="260" w:type="dxa"/>
            <w:vAlign w:val="bottom"/>
          </w:tcPr>
          <w:p>
            <w:pPr>
              <w:spacing w:after="0"/>
              <w:rPr>
                <w:sz w:val="21"/>
                <w:szCs w:val="21"/>
                <w:color w:val="auto"/>
              </w:rPr>
            </w:pPr>
          </w:p>
        </w:tc>
      </w:tr>
      <w:tr>
        <w:trPr>
          <w:trHeight w:val="21"/>
        </w:trPr>
        <w:tc>
          <w:tcPr>
            <w:tcW w:w="3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642"/>
        </w:trPr>
        <w:tc>
          <w:tcPr>
            <w:tcW w:w="340" w:type="dxa"/>
            <w:vAlign w:val="bottom"/>
            <w:tcBorders>
              <w:bottom w:val="single" w:sz="8" w:color="DCDCDC"/>
            </w:tcBorders>
          </w:tcPr>
          <w:p>
            <w:pPr>
              <w:spacing w:after="0"/>
              <w:rPr>
                <w:sz w:val="24"/>
                <w:szCs w:val="24"/>
                <w:color w:val="auto"/>
              </w:rPr>
            </w:pPr>
          </w:p>
        </w:tc>
        <w:tc>
          <w:tcPr>
            <w:tcW w:w="43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jc w:val="right"/>
              <w:ind w:right="251"/>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 continued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and Liabilities Measured at Fair Value on a Recurring Basis, continued</w:t>
      </w:r>
    </w:p>
    <w:p>
      <w:pPr>
        <w:spacing w:after="0" w:line="2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Servicing</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rights for</w:t>
            </w:r>
          </w:p>
        </w:tc>
        <w:tc>
          <w:tcPr>
            <w:tcW w:w="240" w:type="dxa"/>
            <w:vAlign w:val="bottom"/>
          </w:tcPr>
          <w:p>
            <w:pPr>
              <w:spacing w:after="0"/>
              <w:rPr>
                <w:sz w:val="12"/>
                <w:szCs w:val="12"/>
                <w:color w:val="auto"/>
              </w:rPr>
            </w:pPr>
          </w:p>
        </w:tc>
        <w:tc>
          <w:tcPr>
            <w:tcW w:w="126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2"/>
                <w:szCs w:val="12"/>
                <w:color w:val="auto"/>
              </w:rPr>
            </w:pPr>
          </w:p>
        </w:tc>
        <w:tc>
          <w:tcPr>
            <w:tcW w:w="14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Derivative</w:t>
            </w:r>
          </w:p>
        </w:tc>
        <w:tc>
          <w:tcPr>
            <w:tcW w:w="20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government</w:t>
            </w:r>
          </w:p>
        </w:tc>
        <w:tc>
          <w:tcPr>
            <w:tcW w:w="24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guaranteed</w:t>
            </w:r>
          </w:p>
        </w:tc>
        <w:tc>
          <w:tcPr>
            <w:tcW w:w="24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Available-</w:t>
            </w:r>
          </w:p>
        </w:tc>
        <w:tc>
          <w:tcPr>
            <w:tcW w:w="0" w:type="dxa"/>
            <w:vAlign w:val="bottom"/>
          </w:tcPr>
          <w:p>
            <w:pPr>
              <w:spacing w:after="0"/>
              <w:rPr>
                <w:sz w:val="1"/>
                <w:szCs w:val="1"/>
                <w:color w:val="auto"/>
              </w:rPr>
            </w:pPr>
          </w:p>
        </w:tc>
      </w:tr>
      <w:tr>
        <w:trPr>
          <w:trHeight w:val="178"/>
        </w:trPr>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5"/>
                <w:szCs w:val="15"/>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Liability</w:t>
            </w:r>
          </w:p>
        </w:tc>
        <w:tc>
          <w:tcPr>
            <w:tcW w:w="20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loans</w:t>
            </w:r>
          </w:p>
        </w:tc>
        <w:tc>
          <w:tcPr>
            <w:tcW w:w="240" w:type="dxa"/>
            <w:vAlign w:val="bottom"/>
          </w:tcPr>
          <w:p>
            <w:pPr>
              <w:spacing w:after="0"/>
              <w:rPr>
                <w:sz w:val="15"/>
                <w:szCs w:val="15"/>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for-Sale</w:t>
            </w:r>
          </w:p>
        </w:tc>
        <w:tc>
          <w:tcPr>
            <w:tcW w:w="0" w:type="dxa"/>
            <w:vAlign w:val="bottom"/>
          </w:tcPr>
          <w:p>
            <w:pPr>
              <w:spacing w:after="0"/>
              <w:rPr>
                <w:sz w:val="1"/>
                <w:szCs w:val="1"/>
                <w:color w:val="auto"/>
              </w:rPr>
            </w:pPr>
          </w:p>
        </w:tc>
      </w:tr>
      <w:tr>
        <w:trPr>
          <w:trHeight w:val="216"/>
        </w:trPr>
        <w:tc>
          <w:tcPr>
            <w:tcW w:w="42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2012</w:t>
            </w:r>
          </w:p>
        </w:tc>
        <w:tc>
          <w:tcPr>
            <w:tcW w:w="1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180"/>
              <w:spacing w:after="0"/>
              <w:rPr>
                <w:sz w:val="20"/>
                <w:szCs w:val="20"/>
                <w:color w:val="auto"/>
              </w:rPr>
            </w:pPr>
            <w:r>
              <w:rPr>
                <w:rFonts w:ascii="Arial" w:cs="Arial" w:eastAsia="Arial" w:hAnsi="Arial"/>
                <w:sz w:val="18"/>
                <w:szCs w:val="18"/>
                <w:color w:val="auto"/>
              </w:rPr>
              <w:t>Transfers between valuation levels, net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tcBorders>
              <w:top w:val="single" w:sz="8" w:color="F0FFFF"/>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2013</w:t>
            </w:r>
          </w:p>
        </w:tc>
        <w:tc>
          <w:tcPr>
            <w:tcW w:w="18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2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2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Business combinations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2,133</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Additions</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832</w:t>
            </w: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Sales and settlements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Other comprehensive income</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60"/>
              <w:spacing w:after="0"/>
              <w:rPr>
                <w:sz w:val="20"/>
                <w:szCs w:val="20"/>
                <w:color w:val="auto"/>
              </w:rPr>
            </w:pPr>
            <w:r>
              <w:rPr>
                <w:rFonts w:ascii="Arial" w:cs="Arial" w:eastAsia="Arial" w:hAnsi="Arial"/>
                <w:sz w:val="18"/>
                <w:szCs w:val="18"/>
                <w:color w:val="auto"/>
                <w:w w:val="95"/>
              </w:rPr>
              <w:t>Amounts included in earnings - fair value adjustments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Transfers between valuation levels, net</w:t>
            </w:r>
          </w:p>
        </w:tc>
        <w:tc>
          <w:tcPr>
            <w:tcW w:w="18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12,262</w:t>
            </w:r>
          </w:p>
        </w:tc>
        <w:tc>
          <w:tcPr>
            <w:tcW w:w="240" w:type="dxa"/>
            <w:vAlign w:val="bottom"/>
            <w:shd w:val="clear" w:color="auto" w:fill="F0FFFF"/>
          </w:tcPr>
          <w:p>
            <w:pPr>
              <w:spacing w:after="0"/>
              <w:rPr>
                <w:sz w:val="21"/>
                <w:szCs w:val="21"/>
                <w:color w:val="auto"/>
              </w:rPr>
            </w:pPr>
          </w:p>
        </w:tc>
        <w:tc>
          <w:tcPr>
            <w:tcW w:w="14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18,979</w:t>
            </w:r>
          </w:p>
        </w:tc>
        <w:tc>
          <w:tcPr>
            <w:tcW w:w="20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260" w:type="dxa"/>
            <w:vAlign w:val="bottom"/>
            <w:tcBorders>
              <w:top w:val="single" w:sz="8" w:color="F0FFFF"/>
            </w:tcBorders>
          </w:tcPr>
          <w:p>
            <w:pPr>
              <w:spacing w:after="0" w:line="203" w:lineRule="exact"/>
              <w:rPr>
                <w:sz w:val="20"/>
                <w:szCs w:val="20"/>
                <w:color w:val="auto"/>
              </w:rPr>
            </w:pPr>
            <w:r>
              <w:rPr>
                <w:rFonts w:ascii="Arial" w:cs="Arial" w:eastAsia="Arial" w:hAnsi="Arial"/>
                <w:sz w:val="18"/>
                <w:szCs w:val="18"/>
                <w:b w:val="1"/>
                <w:bCs w:val="1"/>
                <w:color w:val="auto"/>
              </w:rPr>
              <w:t>December 31, 2014</w:t>
            </w:r>
          </w:p>
        </w:tc>
        <w:tc>
          <w:tcPr>
            <w:tcW w:w="18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12,262</w:t>
            </w:r>
          </w:p>
        </w:tc>
        <w:tc>
          <w:tcPr>
            <w:tcW w:w="20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18,979</w:t>
            </w:r>
          </w:p>
        </w:tc>
        <w:tc>
          <w:tcPr>
            <w:tcW w:w="220" w:type="dxa"/>
            <w:vAlign w:val="bottom"/>
            <w:tcBorders>
              <w:top w:val="single" w:sz="8" w:color="F0FF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2,551</w:t>
            </w:r>
          </w:p>
        </w:tc>
        <w:tc>
          <w:tcPr>
            <w:tcW w:w="2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750</w:t>
            </w:r>
          </w:p>
        </w:tc>
        <w:tc>
          <w:tcPr>
            <w:tcW w:w="2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Business combinations</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286</w:t>
            </w:r>
          </w:p>
        </w:tc>
        <w:tc>
          <w:tcPr>
            <w:tcW w:w="24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1,699</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Sales and settlements</w:t>
            </w:r>
          </w:p>
        </w:tc>
        <w:tc>
          <w:tcPr>
            <w:tcW w:w="1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(409)</w:t>
            </w:r>
          </w:p>
        </w:tc>
        <w:tc>
          <w:tcPr>
            <w:tcW w:w="24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(353)</w:t>
            </w:r>
          </w:p>
        </w:tc>
        <w:tc>
          <w:tcPr>
            <w:tcW w:w="24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60"/>
              <w:spacing w:after="0"/>
              <w:rPr>
                <w:sz w:val="20"/>
                <w:szCs w:val="20"/>
                <w:color w:val="auto"/>
              </w:rPr>
            </w:pPr>
            <w:r>
              <w:rPr>
                <w:rFonts w:ascii="Arial" w:cs="Arial" w:eastAsia="Arial" w:hAnsi="Arial"/>
                <w:sz w:val="18"/>
                <w:szCs w:val="18"/>
                <w:color w:val="auto"/>
                <w:w w:val="95"/>
              </w:rPr>
              <w:t>Amounts included in earnings - fair value adjustments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(3,032)</w:t>
            </w:r>
          </w:p>
        </w:tc>
        <w:tc>
          <w:tcPr>
            <w:tcW w:w="2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(3,185)</w:t>
            </w:r>
          </w:p>
        </w:tc>
        <w:tc>
          <w:tcPr>
            <w:tcW w:w="2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60" w:type="dxa"/>
            <w:vAlign w:val="bottom"/>
            <w:shd w:val="clear" w:color="auto" w:fill="F0FFFF"/>
          </w:tcPr>
          <w:p>
            <w:pPr>
              <w:ind w:left="180"/>
              <w:spacing w:after="0"/>
              <w:rPr>
                <w:sz w:val="20"/>
                <w:szCs w:val="20"/>
                <w:color w:val="auto"/>
              </w:rPr>
            </w:pPr>
            <w:r>
              <w:rPr>
                <w:rFonts w:ascii="Arial" w:cs="Arial" w:eastAsia="Arial" w:hAnsi="Arial"/>
                <w:sz w:val="18"/>
                <w:szCs w:val="18"/>
                <w:color w:val="auto"/>
              </w:rPr>
              <w:t>Transfers between valuation levels, net</w:t>
            </w:r>
          </w:p>
        </w:tc>
        <w:tc>
          <w:tcPr>
            <w:tcW w:w="18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4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21"/>
                <w:szCs w:val="21"/>
                <w:color w:val="auto"/>
              </w:rPr>
            </w:pPr>
          </w:p>
        </w:tc>
        <w:tc>
          <w:tcPr>
            <w:tcW w:w="11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260" w:type="dxa"/>
            <w:vAlign w:val="bottom"/>
            <w:tcBorders>
              <w:top w:val="single" w:sz="8" w:color="F0FFFF"/>
            </w:tcBorders>
          </w:tcPr>
          <w:p>
            <w:pPr>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9,418</w:t>
            </w:r>
          </w:p>
        </w:tc>
        <w:tc>
          <w:tcPr>
            <w:tcW w:w="20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15,794</w:t>
            </w:r>
          </w:p>
        </w:tc>
        <w:tc>
          <w:tcPr>
            <w:tcW w:w="220" w:type="dxa"/>
            <w:vAlign w:val="bottom"/>
            <w:tcBorders>
              <w:top w:val="single" w:sz="8" w:color="F0FF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20" w:type="dxa"/>
            <w:vAlign w:val="bottom"/>
            <w:tcBorders>
              <w:top w:val="single" w:sz="8" w:color="F0FFFF"/>
              <w:bottom w:val="single" w:sz="8" w:color="auto"/>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The following table presents quantitative information about Level 3 fair value measurements for fair value on a recurring basis at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4"/>
          </w:tcPr>
          <w:p>
            <w:pPr>
              <w:jc w:val="center"/>
              <w:ind w:left="337"/>
              <w:spacing w:after="0"/>
              <w:rPr>
                <w:sz w:val="20"/>
                <w:szCs w:val="20"/>
                <w:color w:val="auto"/>
              </w:rPr>
            </w:pPr>
            <w:r>
              <w:rPr>
                <w:rFonts w:ascii="Arial" w:cs="Arial" w:eastAsia="Arial" w:hAnsi="Arial"/>
                <w:sz w:val="14"/>
                <w:szCs w:val="14"/>
                <w:b w:val="1"/>
                <w:bCs w:val="1"/>
                <w:color w:val="auto"/>
                <w:w w:val="98"/>
              </w:rPr>
              <w:t>Fair Value</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gridSpan w:val="4"/>
          </w:tcPr>
          <w:p>
            <w:pPr>
              <w:jc w:val="center"/>
              <w:ind w:left="357"/>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4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bottom w:val="single" w:sz="8" w:color="auto"/>
            </w:tcBorders>
            <w:gridSpan w:val="3"/>
          </w:tcPr>
          <w:p>
            <w:pPr>
              <w:jc w:val="center"/>
              <w:ind w:left="576"/>
              <w:spacing w:after="0" w:line="149" w:lineRule="exact"/>
              <w:rPr>
                <w:sz w:val="20"/>
                <w:szCs w:val="20"/>
                <w:color w:val="auto"/>
              </w:rPr>
            </w:pPr>
            <w:r>
              <w:rPr>
                <w:rFonts w:ascii="Arial" w:cs="Arial" w:eastAsia="Arial" w:hAnsi="Arial"/>
                <w:sz w:val="14"/>
                <w:szCs w:val="14"/>
                <w:b w:val="1"/>
                <w:bCs w:val="1"/>
                <w:color w:val="auto"/>
                <w:w w:val="90"/>
              </w:rPr>
              <w:t>December 31,</w:t>
            </w:r>
          </w:p>
        </w:tc>
        <w:tc>
          <w:tcPr>
            <w:tcW w:w="66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960" w:type="dxa"/>
            <w:vAlign w:val="bottom"/>
          </w:tcPr>
          <w:p>
            <w:pPr>
              <w:ind w:left="540"/>
              <w:spacing w:after="0"/>
              <w:rPr>
                <w:sz w:val="20"/>
                <w:szCs w:val="20"/>
                <w:color w:val="auto"/>
              </w:rPr>
            </w:pPr>
            <w:r>
              <w:rPr>
                <w:rFonts w:ascii="Arial" w:cs="Arial" w:eastAsia="Arial" w:hAnsi="Arial"/>
                <w:sz w:val="14"/>
                <w:szCs w:val="14"/>
                <w:b w:val="1"/>
                <w:bCs w:val="1"/>
                <w:color w:val="auto"/>
              </w:rPr>
              <w:t>Level 3 Assets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ind w:right="27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jc w:val="right"/>
              <w:ind w:right="253"/>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4"/>
                <w:szCs w:val="14"/>
                <w:color w:val="auto"/>
              </w:rPr>
            </w:pPr>
          </w:p>
        </w:tc>
        <w:tc>
          <w:tcPr>
            <w:tcW w:w="1520" w:type="dxa"/>
            <w:vAlign w:val="bottom"/>
          </w:tcPr>
          <w:p>
            <w:pPr>
              <w:ind w:left="44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4"/>
                <w:szCs w:val="14"/>
                <w:color w:val="auto"/>
              </w:rPr>
            </w:pPr>
          </w:p>
        </w:tc>
        <w:tc>
          <w:tcPr>
            <w:tcW w:w="2500" w:type="dxa"/>
            <w:vAlign w:val="bottom"/>
            <w:gridSpan w:val="2"/>
          </w:tcPr>
          <w:p>
            <w:pPr>
              <w:ind w:left="540"/>
              <w:spacing w:after="0"/>
              <w:rPr>
                <w:sz w:val="20"/>
                <w:szCs w:val="20"/>
                <w:color w:val="auto"/>
              </w:rPr>
            </w:pPr>
            <w:r>
              <w:rPr>
                <w:rFonts w:ascii="Arial" w:cs="Arial" w:eastAsia="Arial" w:hAnsi="Arial"/>
                <w:sz w:val="14"/>
                <w:szCs w:val="14"/>
                <w:b w:val="1"/>
                <w:bCs w:val="1"/>
                <w:color w:val="auto"/>
              </w:rPr>
              <w:t>Unobservable Inputs</w:t>
            </w:r>
          </w:p>
        </w:tc>
        <w:tc>
          <w:tcPr>
            <w:tcW w:w="980" w:type="dxa"/>
            <w:vAlign w:val="bottom"/>
          </w:tcPr>
          <w:p>
            <w:pPr>
              <w:jc w:val="right"/>
              <w:ind w:right="256"/>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jc w:val="right"/>
              <w:ind w:right="25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Servicing rights for</w:t>
            </w:r>
          </w:p>
        </w:tc>
        <w:tc>
          <w:tcPr>
            <w:tcW w:w="340" w:type="dxa"/>
            <w:vAlign w:val="bottom"/>
            <w:gridSpan w:val="2"/>
            <w:shd w:val="clear" w:color="auto" w:fill="F0FFFF"/>
          </w:tcPr>
          <w:p>
            <w:pPr>
              <w:jc w:val="right"/>
              <w:ind w:right="1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F0FFFF"/>
          </w:tcPr>
          <w:p>
            <w:pPr>
              <w:jc w:val="right"/>
              <w:ind w:right="100"/>
              <w:spacing w:after="0" w:line="201" w:lineRule="exact"/>
              <w:rPr>
                <w:sz w:val="20"/>
                <w:szCs w:val="20"/>
                <w:color w:val="auto"/>
              </w:rPr>
            </w:pPr>
            <w:r>
              <w:rPr>
                <w:rFonts w:ascii="Arial" w:cs="Arial" w:eastAsia="Arial" w:hAnsi="Arial"/>
                <w:sz w:val="18"/>
                <w:szCs w:val="18"/>
                <w:color w:val="auto"/>
              </w:rPr>
              <w:t>3,712</w:t>
            </w:r>
          </w:p>
        </w:tc>
        <w:tc>
          <w:tcPr>
            <w:tcW w:w="440" w:type="dxa"/>
            <w:vAlign w:val="bottom"/>
            <w:gridSpan w:val="2"/>
            <w:shd w:val="clear" w:color="auto" w:fill="F0FFFF"/>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640" w:type="dxa"/>
            <w:vAlign w:val="bottom"/>
            <w:shd w:val="clear" w:color="auto" w:fill="F0FFFF"/>
          </w:tcPr>
          <w:p>
            <w:pPr>
              <w:jc w:val="right"/>
              <w:spacing w:after="0" w:line="201" w:lineRule="exact"/>
              <w:rPr>
                <w:sz w:val="20"/>
                <w:szCs w:val="20"/>
                <w:color w:val="auto"/>
              </w:rPr>
            </w:pPr>
            <w:r>
              <w:rPr>
                <w:rFonts w:ascii="Arial" w:cs="Arial" w:eastAsia="Arial" w:hAnsi="Arial"/>
                <w:sz w:val="18"/>
                <w:szCs w:val="18"/>
                <w:color w:val="auto"/>
              </w:rPr>
              <w:t>2,551</w:t>
            </w:r>
          </w:p>
        </w:tc>
        <w:tc>
          <w:tcPr>
            <w:tcW w:w="220" w:type="dxa"/>
            <w:vAlign w:val="bottom"/>
            <w:shd w:val="clear" w:color="auto" w:fill="F0FFFF"/>
          </w:tcPr>
          <w:p>
            <w:pPr>
              <w:spacing w:after="0"/>
              <w:rPr>
                <w:sz w:val="17"/>
                <w:szCs w:val="17"/>
                <w:color w:val="auto"/>
              </w:rPr>
            </w:pPr>
          </w:p>
        </w:tc>
        <w:tc>
          <w:tcPr>
            <w:tcW w:w="15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Discounted cash</w:t>
            </w:r>
          </w:p>
        </w:tc>
        <w:tc>
          <w:tcPr>
            <w:tcW w:w="2620" w:type="dxa"/>
            <w:vAlign w:val="bottom"/>
            <w:gridSpan w:val="3"/>
            <w:shd w:val="clear" w:color="auto" w:fill="F0FFFF"/>
          </w:tcPr>
          <w:p>
            <w:pPr>
              <w:ind w:left="120"/>
              <w:spacing w:after="0" w:line="201" w:lineRule="exact"/>
              <w:rPr>
                <w:sz w:val="20"/>
                <w:szCs w:val="20"/>
                <w:color w:val="auto"/>
              </w:rPr>
            </w:pPr>
            <w:r>
              <w:rPr>
                <w:rFonts w:ascii="Arial" w:cs="Arial" w:eastAsia="Arial" w:hAnsi="Arial"/>
                <w:sz w:val="18"/>
                <w:szCs w:val="18"/>
                <w:color w:val="auto"/>
              </w:rPr>
              <w:t>Discount rate</w:t>
            </w:r>
          </w:p>
        </w:tc>
        <w:tc>
          <w:tcPr>
            <w:tcW w:w="1240" w:type="dxa"/>
            <w:vAlign w:val="bottom"/>
            <w:gridSpan w:val="2"/>
            <w:shd w:val="clear" w:color="auto" w:fill="F0FFFF"/>
          </w:tcPr>
          <w:p>
            <w:pPr>
              <w:jc w:val="right"/>
              <w:ind w:right="260"/>
              <w:spacing w:after="0" w:line="201" w:lineRule="exact"/>
              <w:rPr>
                <w:sz w:val="20"/>
                <w:szCs w:val="20"/>
                <w:color w:val="auto"/>
              </w:rPr>
            </w:pPr>
            <w:r>
              <w:rPr>
                <w:rFonts w:ascii="Arial" w:cs="Arial" w:eastAsia="Arial" w:hAnsi="Arial"/>
                <w:sz w:val="18"/>
                <w:szCs w:val="18"/>
                <w:color w:val="auto"/>
              </w:rPr>
              <w:t>11.8%</w:t>
            </w:r>
          </w:p>
        </w:tc>
        <w:tc>
          <w:tcPr>
            <w:tcW w:w="320" w:type="dxa"/>
            <w:vAlign w:val="bottom"/>
            <w:shd w:val="clear" w:color="auto" w:fill="F0FFFF"/>
          </w:tcPr>
          <w:p>
            <w:pPr>
              <w:spacing w:after="0"/>
              <w:rPr>
                <w:sz w:val="17"/>
                <w:szCs w:val="17"/>
                <w:color w:val="auto"/>
              </w:rPr>
            </w:pPr>
          </w:p>
        </w:tc>
        <w:tc>
          <w:tcPr>
            <w:tcW w:w="760" w:type="dxa"/>
            <w:vAlign w:val="bottom"/>
            <w:gridSpan w:val="2"/>
            <w:shd w:val="clear" w:color="auto" w:fill="F0FFFF"/>
          </w:tcPr>
          <w:p>
            <w:pPr>
              <w:jc w:val="right"/>
              <w:ind w:right="100"/>
              <w:spacing w:after="0" w:line="201" w:lineRule="exact"/>
              <w:rPr>
                <w:sz w:val="20"/>
                <w:szCs w:val="20"/>
                <w:color w:val="auto"/>
              </w:rPr>
            </w:pPr>
            <w:r>
              <w:rPr>
                <w:rFonts w:ascii="Arial" w:cs="Arial" w:eastAsia="Arial" w:hAnsi="Arial"/>
                <w:sz w:val="18"/>
                <w:szCs w:val="18"/>
                <w:color w:val="auto"/>
              </w:rPr>
              <w:t>12.0%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government guaranteed</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520" w:type="dxa"/>
            <w:vAlign w:val="bottom"/>
            <w:shd w:val="clear" w:color="auto" w:fill="F0FFFF"/>
          </w:tcPr>
          <w:p>
            <w:pPr>
              <w:spacing w:after="0"/>
              <w:rPr>
                <w:sz w:val="20"/>
                <w:szCs w:val="20"/>
                <w:color w:val="auto"/>
              </w:rPr>
            </w:pPr>
            <w:r>
              <w:rPr>
                <w:rFonts w:ascii="Arial" w:cs="Arial" w:eastAsia="Arial" w:hAnsi="Arial"/>
                <w:sz w:val="18"/>
                <w:szCs w:val="18"/>
                <w:color w:val="auto"/>
              </w:rPr>
              <w:t>flow</w:t>
            </w:r>
          </w:p>
        </w:tc>
        <w:tc>
          <w:tcPr>
            <w:tcW w:w="262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Prepayment rate</w:t>
            </w:r>
          </w:p>
        </w:tc>
        <w:tc>
          <w:tcPr>
            <w:tcW w:w="12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6.95%</w:t>
            </w:r>
          </w:p>
        </w:tc>
        <w:tc>
          <w:tcPr>
            <w:tcW w:w="32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loans</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6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5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Corporate bonds</w:t>
            </w: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00"/>
              <w:spacing w:after="0" w:line="201" w:lineRule="exact"/>
              <w:rPr>
                <w:sz w:val="20"/>
                <w:szCs w:val="20"/>
                <w:color w:val="auto"/>
              </w:rPr>
            </w:pPr>
            <w:r>
              <w:rPr>
                <w:rFonts w:ascii="Arial" w:cs="Arial" w:eastAsia="Arial" w:hAnsi="Arial"/>
                <w:sz w:val="18"/>
                <w:szCs w:val="18"/>
                <w:color w:val="auto"/>
              </w:rPr>
              <w:t>750</w:t>
            </w:r>
          </w:p>
        </w:tc>
        <w:tc>
          <w:tcPr>
            <w:tcW w:w="10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220"/>
              <w:spacing w:after="0" w:line="201" w:lineRule="exact"/>
              <w:rPr>
                <w:sz w:val="20"/>
                <w:szCs w:val="20"/>
                <w:color w:val="auto"/>
              </w:rPr>
            </w:pPr>
            <w:r>
              <w:rPr>
                <w:rFonts w:ascii="Arial" w:cs="Arial" w:eastAsia="Arial" w:hAnsi="Arial"/>
                <w:sz w:val="18"/>
                <w:szCs w:val="18"/>
                <w:color w:val="auto"/>
              </w:rPr>
              <w:t>750</w:t>
            </w:r>
          </w:p>
        </w:tc>
        <w:tc>
          <w:tcPr>
            <w:tcW w:w="15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Indicative bid</w:t>
            </w:r>
          </w:p>
        </w:tc>
        <w:tc>
          <w:tcPr>
            <w:tcW w:w="2620" w:type="dxa"/>
            <w:vAlign w:val="bottom"/>
            <w:gridSpan w:val="3"/>
            <w:shd w:val="clear" w:color="auto" w:fill="F0FFFF"/>
          </w:tcPr>
          <w:p>
            <w:pPr>
              <w:ind w:left="120"/>
              <w:spacing w:after="0" w:line="201" w:lineRule="exact"/>
              <w:rPr>
                <w:sz w:val="20"/>
                <w:szCs w:val="20"/>
                <w:color w:val="auto"/>
              </w:rPr>
            </w:pPr>
            <w:r>
              <w:rPr>
                <w:rFonts w:ascii="Arial" w:cs="Arial" w:eastAsia="Arial" w:hAnsi="Arial"/>
                <w:sz w:val="18"/>
                <w:szCs w:val="18"/>
                <w:color w:val="auto"/>
              </w:rPr>
              <w:t>Multiple factors, including but</w:t>
            </w:r>
          </w:p>
        </w:tc>
        <w:tc>
          <w:tcPr>
            <w:tcW w:w="1560" w:type="dxa"/>
            <w:vAlign w:val="bottom"/>
            <w:gridSpan w:val="3"/>
            <w:shd w:val="clear" w:color="auto" w:fill="F0FFFF"/>
          </w:tcPr>
          <w:p>
            <w:pPr>
              <w:jc w:val="right"/>
              <w:ind w:right="580"/>
              <w:spacing w:after="0" w:line="201" w:lineRule="exact"/>
              <w:rPr>
                <w:sz w:val="20"/>
                <w:szCs w:val="20"/>
                <w:color w:val="auto"/>
              </w:rPr>
            </w:pPr>
            <w:r>
              <w:rPr>
                <w:rFonts w:ascii="Arial" w:cs="Arial" w:eastAsia="Arial" w:hAnsi="Arial"/>
                <w:sz w:val="18"/>
                <w:szCs w:val="18"/>
                <w:color w:val="auto"/>
              </w:rPr>
              <w:t>N/A</w:t>
            </w:r>
          </w:p>
        </w:tc>
        <w:tc>
          <w:tcPr>
            <w:tcW w:w="760" w:type="dxa"/>
            <w:vAlign w:val="bottom"/>
            <w:gridSpan w:val="2"/>
            <w:shd w:val="clear" w:color="auto" w:fill="F0FFFF"/>
          </w:tcPr>
          <w:p>
            <w:pPr>
              <w:jc w:val="right"/>
              <w:ind w:right="100"/>
              <w:spacing w:after="0" w:line="201" w:lineRule="exact"/>
              <w:rPr>
                <w:sz w:val="20"/>
                <w:szCs w:val="20"/>
                <w:color w:val="auto"/>
              </w:rPr>
            </w:pPr>
            <w:r>
              <w:rPr>
                <w:rFonts w:ascii="Arial" w:cs="Arial" w:eastAsia="Arial" w:hAnsi="Arial"/>
                <w:sz w:val="18"/>
                <w:szCs w:val="18"/>
                <w:color w:val="auto"/>
              </w:rPr>
              <w:t>N/A</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520" w:type="dxa"/>
            <w:vAlign w:val="bottom"/>
            <w:shd w:val="clear" w:color="auto" w:fill="F0FFFF"/>
          </w:tcPr>
          <w:p>
            <w:pPr>
              <w:spacing w:after="0"/>
              <w:rPr>
                <w:sz w:val="20"/>
                <w:szCs w:val="20"/>
                <w:color w:val="auto"/>
              </w:rPr>
            </w:pPr>
            <w:r>
              <w:rPr>
                <w:rFonts w:ascii="Arial" w:cs="Arial" w:eastAsia="Arial" w:hAnsi="Arial"/>
                <w:sz w:val="18"/>
                <w:szCs w:val="18"/>
                <w:color w:val="auto"/>
                <w:w w:val="91"/>
              </w:rPr>
              <w:t>provided by a broker</w:t>
            </w:r>
          </w:p>
        </w:tc>
        <w:tc>
          <w:tcPr>
            <w:tcW w:w="262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not limited to, current</w:t>
            </w: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520" w:type="dxa"/>
            <w:vAlign w:val="bottom"/>
            <w:shd w:val="clear" w:color="auto" w:fill="F0FFFF"/>
          </w:tcPr>
          <w:p>
            <w:pPr>
              <w:spacing w:after="0"/>
              <w:rPr>
                <w:sz w:val="18"/>
                <w:szCs w:val="18"/>
                <w:color w:val="auto"/>
              </w:rPr>
            </w:pPr>
          </w:p>
        </w:tc>
        <w:tc>
          <w:tcPr>
            <w:tcW w:w="262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operations, financial condition,</w:t>
            </w: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520" w:type="dxa"/>
            <w:vAlign w:val="bottom"/>
            <w:shd w:val="clear" w:color="auto" w:fill="F0FFFF"/>
          </w:tcPr>
          <w:p>
            <w:pPr>
              <w:spacing w:after="0"/>
              <w:rPr>
                <w:sz w:val="18"/>
                <w:szCs w:val="18"/>
                <w:color w:val="auto"/>
              </w:rPr>
            </w:pPr>
          </w:p>
        </w:tc>
        <w:tc>
          <w:tcPr>
            <w:tcW w:w="262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cash flows, and recently</w:t>
            </w: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520" w:type="dxa"/>
            <w:vAlign w:val="bottom"/>
            <w:shd w:val="clear" w:color="auto" w:fill="F0FFFF"/>
          </w:tcPr>
          <w:p>
            <w:pPr>
              <w:spacing w:after="0"/>
              <w:rPr>
                <w:sz w:val="18"/>
                <w:szCs w:val="18"/>
                <w:color w:val="auto"/>
              </w:rPr>
            </w:pPr>
          </w:p>
        </w:tc>
        <w:tc>
          <w:tcPr>
            <w:tcW w:w="262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w w:val="98"/>
              </w:rPr>
              <w:t>executed financing transactions</w:t>
            </w:r>
          </w:p>
        </w:tc>
        <w:tc>
          <w:tcPr>
            <w:tcW w:w="9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6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9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6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520" w:type="dxa"/>
            <w:vAlign w:val="bottom"/>
            <w:shd w:val="clear" w:color="auto" w:fill="F0FFFF"/>
          </w:tcPr>
          <w:p>
            <w:pPr>
              <w:spacing w:after="0"/>
              <w:rPr>
                <w:sz w:val="20"/>
                <w:szCs w:val="20"/>
                <w:color w:val="auto"/>
              </w:rPr>
            </w:pPr>
          </w:p>
        </w:tc>
        <w:tc>
          <w:tcPr>
            <w:tcW w:w="262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related to the company</w:t>
            </w:r>
          </w:p>
        </w:tc>
        <w:tc>
          <w:tcPr>
            <w:tcW w:w="9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Derivative assets -</w:t>
            </w:r>
          </w:p>
        </w:tc>
        <w:tc>
          <w:tcPr>
            <w:tcW w:w="1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00"/>
              <w:spacing w:after="0" w:line="201" w:lineRule="exact"/>
              <w:rPr>
                <w:sz w:val="20"/>
                <w:szCs w:val="20"/>
                <w:color w:val="auto"/>
              </w:rPr>
            </w:pPr>
            <w:r>
              <w:rPr>
                <w:rFonts w:ascii="Arial" w:cs="Arial" w:eastAsia="Arial" w:hAnsi="Arial"/>
                <w:sz w:val="18"/>
                <w:szCs w:val="18"/>
                <w:color w:val="auto"/>
              </w:rPr>
              <w:t>188</w:t>
            </w:r>
          </w:p>
        </w:tc>
        <w:tc>
          <w:tcPr>
            <w:tcW w:w="10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640" w:type="dxa"/>
            <w:vAlign w:val="bottom"/>
            <w:shd w:val="clear" w:color="auto" w:fill="F0FFFF"/>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7"/>
                <w:szCs w:val="17"/>
                <w:color w:val="auto"/>
              </w:rPr>
            </w:pPr>
          </w:p>
        </w:tc>
        <w:tc>
          <w:tcPr>
            <w:tcW w:w="15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Internal model</w:t>
            </w:r>
          </w:p>
        </w:tc>
        <w:tc>
          <w:tcPr>
            <w:tcW w:w="2620" w:type="dxa"/>
            <w:vAlign w:val="bottom"/>
            <w:gridSpan w:val="3"/>
            <w:shd w:val="clear" w:color="auto" w:fill="F0FFFF"/>
          </w:tcPr>
          <w:p>
            <w:pPr>
              <w:ind w:left="120"/>
              <w:spacing w:after="0" w:line="201" w:lineRule="exact"/>
              <w:rPr>
                <w:sz w:val="20"/>
                <w:szCs w:val="20"/>
                <w:color w:val="auto"/>
              </w:rPr>
            </w:pPr>
            <w:r>
              <w:rPr>
                <w:rFonts w:ascii="Arial" w:cs="Arial" w:eastAsia="Arial" w:hAnsi="Arial"/>
                <w:sz w:val="18"/>
                <w:szCs w:val="18"/>
                <w:color w:val="auto"/>
              </w:rPr>
              <w:t>Pull through rate</w:t>
            </w:r>
          </w:p>
        </w:tc>
        <w:tc>
          <w:tcPr>
            <w:tcW w:w="1240" w:type="dxa"/>
            <w:vAlign w:val="bottom"/>
            <w:gridSpan w:val="2"/>
            <w:shd w:val="clear" w:color="auto" w:fill="F0FFFF"/>
          </w:tcPr>
          <w:p>
            <w:pPr>
              <w:jc w:val="right"/>
              <w:ind w:right="120"/>
              <w:spacing w:after="0" w:line="201" w:lineRule="exact"/>
              <w:rPr>
                <w:sz w:val="20"/>
                <w:szCs w:val="20"/>
                <w:color w:val="auto"/>
              </w:rPr>
            </w:pPr>
            <w:r>
              <w:rPr>
                <w:rFonts w:ascii="Arial" w:cs="Arial" w:eastAsia="Arial" w:hAnsi="Arial"/>
                <w:sz w:val="18"/>
                <w:szCs w:val="18"/>
                <w:color w:val="auto"/>
              </w:rPr>
              <w:t>85%</w:t>
            </w:r>
          </w:p>
        </w:tc>
        <w:tc>
          <w:tcPr>
            <w:tcW w:w="320" w:type="dxa"/>
            <w:vAlign w:val="bottom"/>
            <w:shd w:val="clear" w:color="auto" w:fill="F0FFFF"/>
          </w:tcPr>
          <w:p>
            <w:pPr>
              <w:spacing w:after="0"/>
              <w:rPr>
                <w:sz w:val="17"/>
                <w:szCs w:val="17"/>
                <w:color w:val="auto"/>
              </w:rPr>
            </w:pPr>
          </w:p>
        </w:tc>
        <w:tc>
          <w:tcPr>
            <w:tcW w:w="760" w:type="dxa"/>
            <w:vAlign w:val="bottom"/>
            <w:gridSpan w:val="2"/>
            <w:shd w:val="clear" w:color="auto" w:fill="F0FFFF"/>
          </w:tcPr>
          <w:p>
            <w:pPr>
              <w:jc w:val="right"/>
              <w:ind w:right="100"/>
              <w:spacing w:after="0" w:line="201" w:lineRule="exact"/>
              <w:rPr>
                <w:sz w:val="20"/>
                <w:szCs w:val="20"/>
                <w:color w:val="auto"/>
              </w:rPr>
            </w:pPr>
            <w:r>
              <w:rPr>
                <w:rFonts w:ascii="Arial" w:cs="Arial" w:eastAsia="Arial" w:hAnsi="Arial"/>
                <w:sz w:val="18"/>
                <w:szCs w:val="18"/>
                <w:color w:val="auto"/>
              </w:rPr>
              <w:t>N/A</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mortgage</w:t>
            </w:r>
          </w:p>
        </w:tc>
        <w:tc>
          <w:tcPr>
            <w:tcW w:w="1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6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5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4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9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6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w w:val="99"/>
              </w:rPr>
              <w:t>Derivative assets - other</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9,230</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12,262</w:t>
            </w:r>
          </w:p>
        </w:tc>
        <w:tc>
          <w:tcPr>
            <w:tcW w:w="1520" w:type="dxa"/>
            <w:vAlign w:val="bottom"/>
            <w:shd w:val="clear" w:color="auto" w:fill="F0FFFF"/>
          </w:tcPr>
          <w:p>
            <w:pPr>
              <w:spacing w:after="0"/>
              <w:rPr>
                <w:sz w:val="20"/>
                <w:szCs w:val="20"/>
                <w:color w:val="auto"/>
              </w:rPr>
            </w:pPr>
            <w:r>
              <w:rPr>
                <w:rFonts w:ascii="Arial" w:cs="Arial" w:eastAsia="Arial" w:hAnsi="Arial"/>
                <w:sz w:val="18"/>
                <w:szCs w:val="18"/>
                <w:color w:val="auto"/>
              </w:rPr>
              <w:t>Dealer priced</w:t>
            </w:r>
          </w:p>
        </w:tc>
        <w:tc>
          <w:tcPr>
            <w:tcW w:w="262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Dealer priced</w:t>
            </w:r>
          </w:p>
        </w:tc>
        <w:tc>
          <w:tcPr>
            <w:tcW w:w="1560" w:type="dxa"/>
            <w:vAlign w:val="bottom"/>
            <w:gridSpan w:val="3"/>
            <w:shd w:val="clear" w:color="auto" w:fill="F0FFFF"/>
          </w:tcPr>
          <w:p>
            <w:pPr>
              <w:jc w:val="right"/>
              <w:ind w:right="5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15,794</w:t>
            </w:r>
          </w:p>
        </w:tc>
        <w:tc>
          <w:tcPr>
            <w:tcW w:w="10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18,979</w:t>
            </w:r>
          </w:p>
        </w:tc>
        <w:tc>
          <w:tcPr>
            <w:tcW w:w="1520" w:type="dxa"/>
            <w:vAlign w:val="bottom"/>
            <w:shd w:val="clear" w:color="auto" w:fill="F0FFFF"/>
          </w:tcPr>
          <w:p>
            <w:pPr>
              <w:spacing w:after="0"/>
              <w:rPr>
                <w:sz w:val="20"/>
                <w:szCs w:val="20"/>
                <w:color w:val="auto"/>
              </w:rPr>
            </w:pPr>
            <w:r>
              <w:rPr>
                <w:rFonts w:ascii="Arial" w:cs="Arial" w:eastAsia="Arial" w:hAnsi="Arial"/>
                <w:sz w:val="18"/>
                <w:szCs w:val="18"/>
                <w:color w:val="auto"/>
              </w:rPr>
              <w:t>Dealer priced</w:t>
            </w:r>
          </w:p>
        </w:tc>
        <w:tc>
          <w:tcPr>
            <w:tcW w:w="2620" w:type="dxa"/>
            <w:vAlign w:val="bottom"/>
            <w:gridSpan w:val="3"/>
            <w:shd w:val="clear" w:color="auto" w:fill="F0FFFF"/>
          </w:tcPr>
          <w:p>
            <w:pPr>
              <w:ind w:left="120"/>
              <w:spacing w:after="0"/>
              <w:rPr>
                <w:sz w:val="20"/>
                <w:szCs w:val="20"/>
                <w:color w:val="auto"/>
              </w:rPr>
            </w:pPr>
            <w:r>
              <w:rPr>
                <w:rFonts w:ascii="Arial" w:cs="Arial" w:eastAsia="Arial" w:hAnsi="Arial"/>
                <w:sz w:val="18"/>
                <w:szCs w:val="18"/>
                <w:color w:val="auto"/>
              </w:rPr>
              <w:t>Dealer priced</w:t>
            </w:r>
          </w:p>
        </w:tc>
        <w:tc>
          <w:tcPr>
            <w:tcW w:w="1560" w:type="dxa"/>
            <w:vAlign w:val="bottom"/>
            <w:gridSpan w:val="3"/>
            <w:shd w:val="clear" w:color="auto" w:fill="F0FFFF"/>
          </w:tcPr>
          <w:p>
            <w:pPr>
              <w:jc w:val="right"/>
              <w:ind w:right="5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340" w:type="dxa"/>
            <w:vAlign w:val="bottom"/>
            <w:tcBorders>
              <w:bottom w:val="single" w:sz="8" w:color="DCDCDC"/>
            </w:tcBorders>
          </w:tcPr>
          <w:p>
            <w:pPr>
              <w:spacing w:after="0"/>
              <w:rPr>
                <w:sz w:val="24"/>
                <w:szCs w:val="24"/>
                <w:color w:val="auto"/>
              </w:rPr>
            </w:pPr>
          </w:p>
        </w:tc>
        <w:tc>
          <w:tcPr>
            <w:tcW w:w="19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6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520" w:type="dxa"/>
            <w:vAlign w:val="bottom"/>
            <w:tcBorders>
              <w:bottom w:val="single" w:sz="8" w:color="DCDCDC"/>
            </w:tcBorders>
          </w:tcPr>
          <w:p>
            <w:pPr>
              <w:ind w:left="76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DCDCDC"/>
            </w:tcBorders>
          </w:tcPr>
          <w:p>
            <w:pPr>
              <w:spacing w:after="0"/>
              <w:rPr>
                <w:sz w:val="24"/>
                <w:szCs w:val="24"/>
                <w:color w:val="auto"/>
              </w:rPr>
            </w:pPr>
          </w:p>
        </w:tc>
        <w:tc>
          <w:tcPr>
            <w:tcW w:w="24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Assets and Liabilities Measured at Fair Value, continued</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29"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 may be required, from time to time, to measure certain assets at fair value on a nonrecurring basis. These assets are not measured at fair value on a recurring basis, but are subject to fair value adjustments in certain circumstances. These adjustments to fair value usually result from the application of lower of amortized cost or fair value accounting or write-downs of individual assets due to impairment. The following table presents the fair value hierarchy and carrying value of all assets that were still held as of December 31, 2015 and 2014, for which a nonrecurring fair value adjustment was recorded during the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4380" w:type="dxa"/>
            <w:vAlign w:val="bottom"/>
          </w:tcPr>
          <w:p>
            <w:pPr>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15"/>
                <w:szCs w:val="15"/>
                <w:color w:val="auto"/>
              </w:rPr>
            </w:pPr>
          </w:p>
        </w:tc>
        <w:tc>
          <w:tcPr>
            <w:tcW w:w="1160" w:type="dxa"/>
            <w:vAlign w:val="bottom"/>
          </w:tcPr>
          <w:p>
            <w:pPr>
              <w:jc w:val="right"/>
              <w:ind w:right="139"/>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146"/>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r>
      <w:tr>
        <w:trPr>
          <w:trHeight w:val="216"/>
        </w:trPr>
        <w:tc>
          <w:tcPr>
            <w:tcW w:w="4380" w:type="dxa"/>
            <w:vAlign w:val="bottom"/>
            <w:tcBorders>
              <w:top w:val="single" w:sz="8" w:color="auto"/>
            </w:tcBorders>
            <w:shd w:val="clear" w:color="auto" w:fill="F0FFFF"/>
          </w:tcPr>
          <w:p>
            <w:pPr>
              <w:ind w:left="180"/>
              <w:spacing w:after="0"/>
              <w:rPr>
                <w:sz w:val="20"/>
                <w:szCs w:val="20"/>
                <w:color w:val="auto"/>
              </w:rPr>
            </w:pPr>
            <w:r>
              <w:rPr>
                <w:rFonts w:ascii="Arial" w:cs="Arial" w:eastAsia="Arial" w:hAnsi="Arial"/>
                <w:sz w:val="18"/>
                <w:szCs w:val="18"/>
                <w:color w:val="auto"/>
              </w:rPr>
              <w:t>Loans</w:t>
            </w:r>
          </w:p>
        </w:tc>
        <w:tc>
          <w:tcPr>
            <w:tcW w:w="120" w:type="dxa"/>
            <w:vAlign w:val="bottom"/>
            <w:tcBorders>
              <w:top w:val="single" w:sz="8" w:color="F0FFFF"/>
            </w:tcBorders>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jc w:val="right"/>
              <w:ind w:right="9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F0FFFF"/>
            </w:tcBorders>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jc w:val="right"/>
              <w:ind w:right="986"/>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F0FFFF"/>
          </w:tcPr>
          <w:p>
            <w:pPr>
              <w:ind w:left="2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jc w:val="right"/>
              <w:ind w:right="79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93"/>
              </w:rPr>
              <w:t>7,589</w:t>
            </w:r>
          </w:p>
        </w:tc>
        <w:tc>
          <w:tcPr>
            <w:tcW w:w="120" w:type="dxa"/>
            <w:vAlign w:val="bottom"/>
            <w:tcBorders>
              <w:top w:val="single" w:sz="8" w:color="F0FFFF"/>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7,589</w:t>
            </w:r>
          </w:p>
        </w:tc>
        <w:tc>
          <w:tcPr>
            <w:tcW w:w="100" w:type="dxa"/>
            <w:vAlign w:val="bottom"/>
            <w:tcBorders>
              <w:top w:val="single" w:sz="8" w:color="F0FFFF"/>
            </w:tcBorders>
            <w:shd w:val="clear" w:color="auto" w:fill="F0FFFF"/>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438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F0FFFF"/>
            </w:tcBorders>
            <w:shd w:val="clear" w:color="auto" w:fill="F0FFFF"/>
          </w:tcPr>
          <w:p>
            <w:pPr>
              <w:spacing w:after="0"/>
              <w:rPr>
                <w:sz w:val="21"/>
                <w:szCs w:val="21"/>
                <w:color w:val="auto"/>
              </w:rPr>
            </w:pPr>
          </w:p>
        </w:tc>
        <w:tc>
          <w:tcPr>
            <w:tcW w:w="116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F0FFFF"/>
            </w:tcBorders>
            <w:shd w:val="clear" w:color="auto" w:fill="F0FFFF"/>
          </w:tcPr>
          <w:p>
            <w:pPr>
              <w:spacing w:after="0"/>
              <w:rPr>
                <w:sz w:val="21"/>
                <w:szCs w:val="21"/>
                <w:color w:val="auto"/>
              </w:rPr>
            </w:pPr>
          </w:p>
        </w:tc>
        <w:tc>
          <w:tcPr>
            <w:tcW w:w="1140" w:type="dxa"/>
            <w:vAlign w:val="bottom"/>
            <w:tcBorders>
              <w:bottom w:val="single" w:sz="8" w:color="F0FFFF"/>
            </w:tcBorders>
            <w:shd w:val="clear" w:color="auto" w:fill="F0FFFF"/>
          </w:tcPr>
          <w:p>
            <w:pPr>
              <w:spacing w:after="0"/>
              <w:rPr>
                <w:sz w:val="21"/>
                <w:szCs w:val="21"/>
                <w:color w:val="auto"/>
              </w:rPr>
            </w:pPr>
          </w:p>
        </w:tc>
        <w:tc>
          <w:tcPr>
            <w:tcW w:w="26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980" w:type="dxa"/>
            <w:vAlign w:val="bottom"/>
            <w:tcBorders>
              <w:bottom w:val="single" w:sz="8" w:color="F0FFFF"/>
            </w:tcBorders>
            <w:shd w:val="clear" w:color="auto" w:fill="F0FFFF"/>
          </w:tcPr>
          <w:p>
            <w:pPr>
              <w:spacing w:after="0"/>
              <w:rPr>
                <w:sz w:val="21"/>
                <w:szCs w:val="21"/>
                <w:color w:val="auto"/>
              </w:rPr>
            </w:pPr>
          </w:p>
        </w:tc>
        <w:tc>
          <w:tcPr>
            <w:tcW w:w="440" w:type="dxa"/>
            <w:vAlign w:val="bottom"/>
            <w:tcBorders>
              <w:bottom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c>
          <w:tcPr>
            <w:tcW w:w="320" w:type="dxa"/>
            <w:vAlign w:val="bottom"/>
            <w:tcBorders>
              <w:bottom w:val="single" w:sz="8" w:color="F0FFFF"/>
            </w:tcBorders>
            <w:shd w:val="clear" w:color="auto" w:fill="F0FFFF"/>
          </w:tcPr>
          <w:p>
            <w:pPr>
              <w:spacing w:after="0"/>
              <w:rPr>
                <w:sz w:val="21"/>
                <w:szCs w:val="21"/>
                <w:color w:val="auto"/>
              </w:rPr>
            </w:pPr>
          </w:p>
        </w:tc>
        <w:tc>
          <w:tcPr>
            <w:tcW w:w="110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F0FFFF"/>
            </w:tcBorders>
            <w:shd w:val="clear" w:color="auto" w:fill="F0FFFF"/>
          </w:tcPr>
          <w:p>
            <w:pPr>
              <w:spacing w:after="0"/>
              <w:rPr>
                <w:sz w:val="21"/>
                <w:szCs w:val="21"/>
                <w:color w:val="auto"/>
              </w:rPr>
            </w:pPr>
          </w:p>
        </w:tc>
      </w:tr>
      <w:tr>
        <w:trPr>
          <w:trHeight w:val="217"/>
        </w:trPr>
        <w:tc>
          <w:tcPr>
            <w:tcW w:w="4380" w:type="dxa"/>
            <w:vAlign w:val="bottom"/>
          </w:tcPr>
          <w:p>
            <w:pPr>
              <w:ind w:left="180"/>
              <w:spacing w:after="0"/>
              <w:rPr>
                <w:sz w:val="20"/>
                <w:szCs w:val="20"/>
                <w:color w:val="auto"/>
              </w:rPr>
            </w:pPr>
            <w:r>
              <w:rPr>
                <w:rFonts w:ascii="Arial" w:cs="Arial" w:eastAsia="Arial" w:hAnsi="Arial"/>
                <w:sz w:val="18"/>
                <w:szCs w:val="18"/>
                <w:color w:val="auto"/>
              </w:rPr>
              <w:t>Loans</w:t>
            </w:r>
          </w:p>
        </w:tc>
        <w:tc>
          <w:tcPr>
            <w:tcW w:w="1280" w:type="dxa"/>
            <w:vAlign w:val="bottom"/>
            <w:gridSpan w:val="2"/>
          </w:tcPr>
          <w:p>
            <w:pPr>
              <w:jc w:val="right"/>
              <w:ind w:right="97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986"/>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79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7,317</w:t>
            </w:r>
          </w:p>
        </w:tc>
        <w:tc>
          <w:tcPr>
            <w:tcW w:w="4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7,317</w:t>
            </w:r>
          </w:p>
        </w:tc>
      </w:tr>
    </w:tbl>
    <w:p>
      <w:pPr>
        <w:spacing w:after="0" w:line="187"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 xml:space="preserve">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 As discussed in Note 2, United retrospectively adopted ASU 2015-10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xml:space="preserve"> during second quarter 2015, which clarified the guidance for disclosure of nonrecurring fair value measurements and has been reflected in the disclosures presented in the table above.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3"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United’s cash and cash equivalents and repurchase agreements have short maturities and therefore the carrying value approximates fair value. The fair value of securities available-for-sale equals the balance sheet value. Due to the short-term settlement of accrued interest receivable and payable, the carrying amount closely approximates fair value.</w:t>
      </w:r>
    </w:p>
    <w:p>
      <w:pPr>
        <w:spacing w:after="0" w:line="18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8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ind w:left="340" w:right="20"/>
        <w:spacing w:after="0" w:line="342" w:lineRule="auto"/>
        <w:rPr>
          <w:sz w:val="20"/>
          <w:szCs w:val="20"/>
          <w:color w:val="auto"/>
        </w:rPr>
      </w:pPr>
      <w:r>
        <w:rPr>
          <w:rFonts w:ascii="Arial" w:cs="Arial" w:eastAsia="Arial" w:hAnsi="Arial"/>
          <w:sz w:val="16"/>
          <w:szCs w:val="16"/>
          <w:color w:val="auto"/>
        </w:rPr>
        <w:t>Off-balance sheet instruments (commitments to extend credit and standby letters of credit) for which draws can be reasonably predicted are generally short-term and at variable rates. Therefore, both the carrying amount and the estimated fair value associated with these instruments are immaterial.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40" w:right="6420" w:hanging="332"/>
        <w:spacing w:after="0" w:line="566" w:lineRule="auto"/>
        <w:tabs>
          <w:tab w:leader="none" w:pos="340"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Assets and Liabilities Measured at Fair Value, continued </w:t>
      </w:r>
      <w:r>
        <w:rPr>
          <w:rFonts w:ascii="Arial" w:cs="Arial" w:eastAsia="Arial" w:hAnsi="Arial"/>
          <w:sz w:val="16"/>
          <w:szCs w:val="16"/>
          <w:b w:val="1"/>
          <w:bCs w:val="1"/>
          <w:u w:val="single" w:color="auto"/>
          <w:color w:val="auto"/>
        </w:rPr>
        <w:t>Assets and Liabilities Not Measured at Fair Value, continued</w:t>
      </w:r>
    </w:p>
    <w:p>
      <w:pPr>
        <w:spacing w:after="0" w:line="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balance sheet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212"/>
              <w:spacing w:after="0"/>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right"/>
              <w:ind w:right="1280"/>
              <w:spacing w:after="0"/>
              <w:rPr>
                <w:sz w:val="20"/>
                <w:szCs w:val="20"/>
                <w:color w:val="auto"/>
              </w:rPr>
            </w:pPr>
            <w:r>
              <w:rPr>
                <w:rFonts w:ascii="Arial" w:cs="Arial" w:eastAsia="Arial" w:hAnsi="Arial"/>
                <w:sz w:val="14"/>
                <w:szCs w:val="14"/>
                <w:b w:val="1"/>
                <w:bCs w:val="1"/>
                <w:color w:val="auto"/>
              </w:rPr>
              <w:t>Fair Value Level</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0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 2015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292"/>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rPr>
              <w:t>Level 3</w:t>
            </w:r>
          </w:p>
        </w:tc>
        <w:tc>
          <w:tcPr>
            <w:tcW w:w="920" w:type="dxa"/>
            <w:vAlign w:val="bottom"/>
          </w:tcPr>
          <w:p>
            <w:pPr>
              <w:jc w:val="right"/>
              <w:ind w:right="351"/>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364,696</w:t>
            </w:r>
          </w:p>
        </w:tc>
        <w:tc>
          <w:tcPr>
            <w:tcW w:w="120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660" w:type="dxa"/>
            <w:vAlign w:val="bottom"/>
            <w:gridSpan w:val="3"/>
          </w:tcPr>
          <w:p>
            <w:pPr>
              <w:ind w:left="140"/>
              <w:spacing w:after="0"/>
              <w:rPr>
                <w:sz w:val="20"/>
                <w:szCs w:val="20"/>
                <w:color w:val="auto"/>
              </w:rPr>
            </w:pPr>
            <w:r>
              <w:rPr>
                <w:rFonts w:ascii="Arial" w:cs="Arial" w:eastAsia="Arial" w:hAnsi="Arial"/>
                <w:sz w:val="18"/>
                <w:szCs w:val="18"/>
                <w:color w:val="auto"/>
              </w:rPr>
              <w:t>-   $</w:t>
            </w:r>
          </w:p>
        </w:tc>
        <w:tc>
          <w:tcPr>
            <w:tcW w:w="960" w:type="dxa"/>
            <w:vAlign w:val="bottom"/>
          </w:tcPr>
          <w:p>
            <w:pPr>
              <w:jc w:val="right"/>
              <w:spacing w:after="0"/>
              <w:rPr>
                <w:sz w:val="20"/>
                <w:szCs w:val="20"/>
                <w:color w:val="auto"/>
              </w:rPr>
            </w:pPr>
            <w:r>
              <w:rPr>
                <w:rFonts w:ascii="Arial" w:cs="Arial" w:eastAsia="Arial" w:hAnsi="Arial"/>
                <w:sz w:val="18"/>
                <w:szCs w:val="18"/>
                <w:color w:val="auto"/>
              </w:rPr>
              <w:t>371,658</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80"/>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371,658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5,926,993</w:t>
            </w: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5,840,554</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5,840,554</w:t>
            </w:r>
          </w:p>
        </w:tc>
        <w:tc>
          <w:tcPr>
            <w:tcW w:w="120" w:type="dxa"/>
            <w:vAlign w:val="bottom"/>
            <w:shd w:val="clear" w:color="auto" w:fill="F0FF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24,231</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24,660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24,660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mortgage servicing rights</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3,370</w:t>
            </w: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3,521</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3,521</w:t>
            </w:r>
          </w:p>
        </w:tc>
        <w:tc>
          <w:tcPr>
            <w:tcW w:w="120" w:type="dxa"/>
            <w:vAlign w:val="bottom"/>
            <w:shd w:val="clear" w:color="auto" w:fill="F0FF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800" w:type="dxa"/>
            <w:vAlign w:val="bottom"/>
            <w:shd w:val="clear" w:color="auto" w:fill="F0FF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7,881,089</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7,881,109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7,881,109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430,125</w:t>
            </w: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430,119</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430,119</w:t>
            </w:r>
          </w:p>
        </w:tc>
        <w:tc>
          <w:tcPr>
            <w:tcW w:w="120" w:type="dxa"/>
            <w:vAlign w:val="bottom"/>
            <w:shd w:val="clear" w:color="auto" w:fill="F0FF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165,620</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166,668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166,668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00" w:type="dxa"/>
            <w:vAlign w:val="bottom"/>
            <w:gridSpan w:val="2"/>
          </w:tcPr>
          <w:p>
            <w:pPr>
              <w:ind w:left="40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98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F0FFFF"/>
            </w:tcBorders>
            <w:shd w:val="clear" w:color="auto" w:fill="F0FFFF"/>
          </w:tcPr>
          <w:p>
            <w:pPr>
              <w:spacing w:after="0"/>
              <w:rPr>
                <w:sz w:val="18"/>
                <w:szCs w:val="18"/>
                <w:color w:val="auto"/>
              </w:rPr>
            </w:pPr>
          </w:p>
        </w:tc>
        <w:tc>
          <w:tcPr>
            <w:tcW w:w="200" w:type="dxa"/>
            <w:vAlign w:val="bottom"/>
            <w:tcBorders>
              <w:top w:val="single" w:sz="8" w:color="F0FFFF"/>
            </w:tcBorders>
            <w:shd w:val="clear" w:color="auto" w:fill="F0FFFF"/>
          </w:tcPr>
          <w:p>
            <w:pPr>
              <w:spacing w:after="0"/>
              <w:rPr>
                <w:sz w:val="18"/>
                <w:szCs w:val="18"/>
                <w:color w:val="auto"/>
              </w:rPr>
            </w:pPr>
          </w:p>
        </w:tc>
        <w:tc>
          <w:tcPr>
            <w:tcW w:w="240" w:type="dxa"/>
            <w:vAlign w:val="bottom"/>
            <w:tcBorders>
              <w:top w:val="single" w:sz="8" w:color="F0FFFF"/>
            </w:tcBorders>
            <w:shd w:val="clear" w:color="auto" w:fill="F0FFFF"/>
          </w:tcPr>
          <w:p>
            <w:pPr>
              <w:spacing w:after="0"/>
              <w:rPr>
                <w:sz w:val="18"/>
                <w:szCs w:val="18"/>
                <w:color w:val="auto"/>
              </w:rPr>
            </w:pPr>
          </w:p>
        </w:tc>
        <w:tc>
          <w:tcPr>
            <w:tcW w:w="960" w:type="dxa"/>
            <w:vAlign w:val="bottom"/>
            <w:tcBorders>
              <w:top w:val="single" w:sz="8" w:color="F0FFFF"/>
            </w:tcBorders>
            <w:shd w:val="clear" w:color="auto" w:fill="F0FFFF"/>
          </w:tcPr>
          <w:p>
            <w:pPr>
              <w:spacing w:after="0"/>
              <w:rPr>
                <w:sz w:val="18"/>
                <w:szCs w:val="18"/>
                <w:color w:val="auto"/>
              </w:rPr>
            </w:pPr>
          </w:p>
        </w:tc>
        <w:tc>
          <w:tcPr>
            <w:tcW w:w="2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F0FFFF"/>
            </w:tcBorders>
            <w:shd w:val="clear" w:color="auto" w:fill="F0FFFF"/>
          </w:tcPr>
          <w:p>
            <w:pPr>
              <w:spacing w:after="0"/>
              <w:rPr>
                <w:sz w:val="18"/>
                <w:szCs w:val="18"/>
                <w:color w:val="auto"/>
              </w:rPr>
            </w:pPr>
          </w:p>
        </w:tc>
        <w:tc>
          <w:tcPr>
            <w:tcW w:w="920" w:type="dxa"/>
            <w:vAlign w:val="bottom"/>
            <w:tcBorders>
              <w:top w:val="single" w:sz="8" w:color="F0FFFF"/>
            </w:tcBorders>
            <w:shd w:val="clear" w:color="auto" w:fill="F0FFFF"/>
          </w:tcPr>
          <w:p>
            <w:pPr>
              <w:spacing w:after="0"/>
              <w:rPr>
                <w:sz w:val="18"/>
                <w:szCs w:val="18"/>
                <w:color w:val="auto"/>
              </w:rPr>
            </w:pPr>
          </w:p>
        </w:tc>
        <w:tc>
          <w:tcPr>
            <w:tcW w:w="120" w:type="dxa"/>
            <w:vAlign w:val="bottom"/>
            <w:tcBorders>
              <w:top w:val="single" w:sz="8" w:color="F0FFFF"/>
            </w:tcBorders>
            <w:shd w:val="clear" w:color="auto" w:fill="F0FF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415,267</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425,233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425,233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4,600,500</w:t>
            </w: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4,549,027</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4,549,027</w:t>
            </w:r>
          </w:p>
        </w:tc>
        <w:tc>
          <w:tcPr>
            <w:tcW w:w="120" w:type="dxa"/>
            <w:vAlign w:val="bottom"/>
            <w:shd w:val="clear" w:color="auto" w:fill="F0FF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13,737</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restart"/>
          </w:tcPr>
          <w:p>
            <w:pPr>
              <w:spacing w:after="0"/>
              <w:rPr>
                <w:sz w:val="18"/>
                <w:szCs w:val="18"/>
                <w:color w:val="auto"/>
              </w:rPr>
            </w:pPr>
          </w:p>
        </w:tc>
        <w:tc>
          <w:tcPr>
            <w:tcW w:w="38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6,326,512</w:t>
            </w: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6,328,264</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6,328,264</w:t>
            </w:r>
          </w:p>
        </w:tc>
        <w:tc>
          <w:tcPr>
            <w:tcW w:w="120" w:type="dxa"/>
            <w:vAlign w:val="bottom"/>
            <w:shd w:val="clear" w:color="auto" w:fill="F0FF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270,125</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270,125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270,125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129,865</w:t>
            </w:r>
          </w:p>
        </w:tc>
        <w:tc>
          <w:tcPr>
            <w:tcW w:w="22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ind w:left="14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132,814</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132,814</w:t>
            </w:r>
          </w:p>
        </w:tc>
        <w:tc>
          <w:tcPr>
            <w:tcW w:w="120" w:type="dxa"/>
            <w:vAlign w:val="bottom"/>
            <w:shd w:val="clear" w:color="auto" w:fill="F0FF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400" w:type="dxa"/>
            <w:vAlign w:val="bottom"/>
            <w:tcBorders>
              <w:bottom w:val="single" w:sz="8" w:color="DCDCDC"/>
            </w:tcBorders>
          </w:tcPr>
          <w:p>
            <w:pPr>
              <w:spacing w:after="0"/>
              <w:rPr>
                <w:sz w:val="24"/>
                <w:szCs w:val="24"/>
                <w:color w:val="auto"/>
              </w:rPr>
            </w:pPr>
          </w:p>
        </w:tc>
        <w:tc>
          <w:tcPr>
            <w:tcW w:w="38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200" w:type="dxa"/>
            <w:vAlign w:val="bottom"/>
            <w:tcBorders>
              <w:bottom w:val="single" w:sz="8" w:color="DCDCDC"/>
            </w:tcBorders>
            <w:gridSpan w:val="2"/>
          </w:tcPr>
          <w:p>
            <w:pPr>
              <w:jc w:val="right"/>
              <w:ind w:right="768"/>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40" w:hanging="532"/>
        <w:spacing w:after="0"/>
        <w:tabs>
          <w:tab w:leader="none" w:pos="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Statements of United Community Banks, Inc. (Parent Only)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64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Dividends from bank and other subsidiaries</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81,000</w:t>
            </w:r>
          </w:p>
        </w:tc>
        <w:tc>
          <w:tcPr>
            <w:tcW w:w="4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132,000</w:t>
            </w:r>
          </w:p>
        </w:tc>
        <w:tc>
          <w:tcPr>
            <w:tcW w:w="140" w:type="dxa"/>
            <w:vAlign w:val="bottom"/>
            <w:shd w:val="clear" w:color="auto" w:fill="F0FFFF"/>
          </w:tcPr>
          <w:p>
            <w:pPr>
              <w:spacing w:after="0"/>
              <w:rPr>
                <w:sz w:val="18"/>
                <w:szCs w:val="18"/>
                <w:color w:val="auto"/>
              </w:rPr>
            </w:pP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5"/>
          </w:tcPr>
          <w:p>
            <w:pPr>
              <w:spacing w:after="0"/>
              <w:rPr>
                <w:sz w:val="20"/>
                <w:szCs w:val="20"/>
                <w:color w:val="auto"/>
              </w:rPr>
            </w:pPr>
            <w:r>
              <w:rPr>
                <w:rFonts w:ascii="Arial" w:cs="Arial" w:eastAsia="Arial" w:hAnsi="Arial"/>
                <w:sz w:val="18"/>
                <w:szCs w:val="18"/>
                <w:color w:val="auto"/>
              </w:rPr>
              <w:t>Shared service fees from subsidiaries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640" w:type="dxa"/>
            <w:vAlign w:val="bottom"/>
            <w:tcBorders>
              <w:bottom w:val="single" w:sz="8" w:color="F0FFFF"/>
            </w:tcBorders>
            <w:gridSpan w:val="5"/>
            <w:shd w:val="clear" w:color="auto" w:fill="F0FF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424</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5"/>
            <w:shd w:val="clear" w:color="auto" w:fill="F0FFFF"/>
          </w:tcPr>
          <w:p>
            <w:pPr>
              <w:ind w:left="160"/>
              <w:spacing w:after="0"/>
              <w:rPr>
                <w:sz w:val="20"/>
                <w:szCs w:val="20"/>
                <w:color w:val="auto"/>
              </w:rPr>
            </w:pPr>
            <w:r>
              <w:rPr>
                <w:rFonts w:ascii="Arial" w:cs="Arial" w:eastAsia="Arial" w:hAnsi="Arial"/>
                <w:sz w:val="18"/>
                <w:szCs w:val="18"/>
                <w:color w:val="auto"/>
              </w:rPr>
              <w:t>Total income</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88,751</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140,481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57,981</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64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10,385</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11,550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10,977</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640" w:type="dxa"/>
            <w:vAlign w:val="bottom"/>
            <w:tcBorders>
              <w:bottom w:val="single" w:sz="8" w:color="F0FFFF"/>
            </w:tcBorders>
            <w:gridSpan w:val="5"/>
          </w:tcPr>
          <w:p>
            <w:pPr>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11,185</w:t>
            </w:r>
          </w:p>
        </w:tc>
        <w:tc>
          <w:tcPr>
            <w:tcW w:w="22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8,658</w:t>
            </w:r>
          </w:p>
        </w:tc>
        <w:tc>
          <w:tcPr>
            <w:tcW w:w="100" w:type="dxa"/>
            <w:vAlign w:val="bottom"/>
            <w:tcBorders>
              <w:bottom w:val="single" w:sz="8" w:color="F0FFFF"/>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5"/>
          </w:tcPr>
          <w:p>
            <w:pPr>
              <w:ind w:left="160"/>
              <w:spacing w:after="0"/>
              <w:rPr>
                <w:sz w:val="20"/>
                <w:szCs w:val="20"/>
                <w:color w:val="auto"/>
              </w:rPr>
            </w:pPr>
            <w:r>
              <w:rPr>
                <w:rFonts w:ascii="Arial" w:cs="Arial" w:eastAsia="Arial" w:hAnsi="Arial"/>
                <w:sz w:val="18"/>
                <w:szCs w:val="18"/>
                <w:color w:val="auto"/>
              </w:rPr>
              <w:t>Total expenses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21,570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640" w:type="dxa"/>
            <w:vAlign w:val="bottom"/>
            <w:tcBorders>
              <w:bottom w:val="single" w:sz="8" w:color="F0FFFF"/>
            </w:tcBorders>
            <w:gridSpan w:val="5"/>
            <w:shd w:val="clear" w:color="auto" w:fill="F0FFFF"/>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1,709</w:t>
            </w:r>
          </w:p>
        </w:tc>
        <w:tc>
          <w:tcPr>
            <w:tcW w:w="2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2,357</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24,862</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5"/>
            <w:shd w:val="clear" w:color="auto" w:fill="F0FFFF"/>
          </w:tcPr>
          <w:p>
            <w:pPr>
              <w:ind w:left="160"/>
              <w:spacing w:after="0"/>
              <w:rPr>
                <w:sz w:val="20"/>
                <w:szCs w:val="20"/>
                <w:color w:val="auto"/>
              </w:rPr>
            </w:pPr>
            <w:r>
              <w:rPr>
                <w:rFonts w:ascii="Arial" w:cs="Arial" w:eastAsia="Arial" w:hAnsi="Arial"/>
                <w:sz w:val="18"/>
                <w:szCs w:val="18"/>
                <w:color w:val="auto"/>
              </w:rPr>
              <w:t>Income before equity in undistributed earnings of subsidiaries</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68,890</w:t>
            </w: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121,420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63,208</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vMerge w:val="continue"/>
          </w:tcPr>
          <w:p>
            <w:pPr>
              <w:spacing w:after="0"/>
              <w:rPr>
                <w:sz w:val="20"/>
                <w:szCs w:val="20"/>
                <w:color w:val="auto"/>
              </w:rPr>
            </w:pPr>
          </w:p>
        </w:tc>
        <w:tc>
          <w:tcPr>
            <w:tcW w:w="664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Equity in undistributed earnings of subsidiaries</w:t>
            </w:r>
          </w:p>
        </w:tc>
        <w:tc>
          <w:tcPr>
            <w:tcW w:w="10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2,688</w:t>
            </w:r>
          </w:p>
        </w:tc>
        <w:tc>
          <w:tcPr>
            <w:tcW w:w="2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(53,800)</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209,932</w:t>
            </w:r>
          </w:p>
        </w:tc>
        <w:tc>
          <w:tcPr>
            <w:tcW w:w="100" w:type="dxa"/>
            <w:vAlign w:val="bottom"/>
            <w:shd w:val="clear" w:color="auto" w:fill="F0FF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2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460" w:type="dxa"/>
            <w:vAlign w:val="bottom"/>
            <w:tcBorders>
              <w:top w:val="single" w:sz="8" w:color="F0FFFF"/>
            </w:tcBorders>
          </w:tcPr>
          <w:p>
            <w:pPr>
              <w:spacing w:after="0"/>
              <w:rPr>
                <w:sz w:val="18"/>
                <w:szCs w:val="18"/>
                <w:color w:val="auto"/>
              </w:rPr>
            </w:pPr>
          </w:p>
        </w:tc>
        <w:tc>
          <w:tcPr>
            <w:tcW w:w="1080" w:type="dxa"/>
            <w:vAlign w:val="bottom"/>
            <w:tcBorders>
              <w:top w:val="single" w:sz="8" w:color="F0FFFF"/>
            </w:tcBorders>
          </w:tcPr>
          <w:p>
            <w:pPr>
              <w:spacing w:after="0"/>
              <w:rPr>
                <w:sz w:val="18"/>
                <w:szCs w:val="18"/>
                <w:color w:val="auto"/>
              </w:rPr>
            </w:pPr>
          </w:p>
        </w:tc>
        <w:tc>
          <w:tcPr>
            <w:tcW w:w="13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2"/>
                <w:szCs w:val="22"/>
                <w:color w:val="auto"/>
              </w:rPr>
            </w:pPr>
          </w:p>
        </w:tc>
        <w:tc>
          <w:tcPr>
            <w:tcW w:w="6640" w:type="dxa"/>
            <w:vAlign w:val="bottom"/>
            <w:gridSpan w:val="5"/>
            <w:shd w:val="clear" w:color="auto" w:fill="F0FFFF"/>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71,578</w:t>
            </w:r>
          </w:p>
        </w:tc>
        <w:tc>
          <w:tcPr>
            <w:tcW w:w="4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67,620</w:t>
            </w:r>
          </w:p>
        </w:tc>
        <w:tc>
          <w:tcPr>
            <w:tcW w:w="140" w:type="dxa"/>
            <w:vAlign w:val="bottom"/>
            <w:shd w:val="clear" w:color="auto" w:fill="F0FFFF"/>
          </w:tcPr>
          <w:p>
            <w:pPr>
              <w:spacing w:after="0"/>
              <w:rPr>
                <w:sz w:val="22"/>
                <w:szCs w:val="22"/>
                <w:color w:val="auto"/>
              </w:rPr>
            </w:pP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273,140</w:t>
            </w:r>
          </w:p>
        </w:tc>
        <w:tc>
          <w:tcPr>
            <w:tcW w:w="100" w:type="dxa"/>
            <w:vAlign w:val="bottom"/>
            <w:shd w:val="clear" w:color="auto" w:fill="F0FFFF"/>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72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tcBorders>
          </w:tcPr>
          <w:p>
            <w:pPr>
              <w:spacing w:after="0" w:line="20" w:lineRule="exact"/>
              <w:rPr>
                <w:sz w:val="1"/>
                <w:szCs w:val="1"/>
                <w:color w:val="auto"/>
              </w:rPr>
            </w:pPr>
          </w:p>
        </w:tc>
        <w:tc>
          <w:tcPr>
            <w:tcW w:w="2400" w:type="dxa"/>
            <w:vAlign w:val="bottom"/>
            <w:tcBorders>
              <w:top w:val="single" w:sz="8" w:color="F0FFFF"/>
              <w:bottom w:val="single" w:sz="8" w:color="F0FFFF"/>
            </w:tcBorders>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7"/>
              </w:rPr>
              <w:t>Balance Sheet</w:t>
            </w: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9"/>
              </w:rPr>
              <w:t>As of December 31, 2015 and 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jc w:val="center"/>
              <w:ind w:right="360"/>
              <w:spacing w:after="0"/>
              <w:rPr>
                <w:sz w:val="20"/>
                <w:szCs w:val="20"/>
                <w:color w:val="auto"/>
              </w:rPr>
            </w:pPr>
            <w:r>
              <w:rPr>
                <w:rFonts w:ascii="Arial" w:cs="Arial" w:eastAsia="Arial" w:hAnsi="Arial"/>
                <w:sz w:val="18"/>
                <w:szCs w:val="18"/>
                <w:i w:val="1"/>
                <w:iCs w:val="1"/>
                <w:color w:val="auto"/>
                <w:w w:val="91"/>
              </w:rPr>
              <w:t>(in thousands)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460" w:type="dxa"/>
            <w:vAlign w:val="bottom"/>
          </w:tcPr>
          <w:p>
            <w:pPr>
              <w:spacing w:after="0"/>
              <w:rPr>
                <w:sz w:val="24"/>
                <w:szCs w:val="24"/>
                <w:color w:val="auto"/>
              </w:rPr>
            </w:pPr>
          </w:p>
        </w:tc>
        <w:tc>
          <w:tcPr>
            <w:tcW w:w="2720" w:type="dxa"/>
            <w:vAlign w:val="bottom"/>
            <w:tcBorders>
              <w:bottom w:val="single" w:sz="8" w:color="F0FFFF"/>
            </w:tcBorders>
          </w:tcPr>
          <w:p>
            <w:pPr>
              <w:spacing w:after="0"/>
              <w:rPr>
                <w:sz w:val="24"/>
                <w:szCs w:val="24"/>
                <w:color w:val="auto"/>
              </w:rPr>
            </w:pPr>
          </w:p>
        </w:tc>
        <w:tc>
          <w:tcPr>
            <w:tcW w:w="1060" w:type="dxa"/>
            <w:vAlign w:val="bottom"/>
            <w:tcBorders>
              <w:bottom w:val="single" w:sz="8" w:color="F0FFFF"/>
            </w:tcBorders>
          </w:tcPr>
          <w:p>
            <w:pPr>
              <w:spacing w:after="0"/>
              <w:rPr>
                <w:sz w:val="24"/>
                <w:szCs w:val="24"/>
                <w:color w:val="auto"/>
              </w:rPr>
            </w:pPr>
          </w:p>
        </w:tc>
        <w:tc>
          <w:tcPr>
            <w:tcW w:w="460" w:type="dxa"/>
            <w:vAlign w:val="bottom"/>
            <w:tcBorders>
              <w:bottom w:val="single" w:sz="8" w:color="F0FFFF"/>
            </w:tcBorders>
          </w:tcPr>
          <w:p>
            <w:pPr>
              <w:spacing w:after="0"/>
              <w:rPr>
                <w:sz w:val="24"/>
                <w:szCs w:val="24"/>
                <w:color w:val="auto"/>
              </w:rPr>
            </w:pPr>
          </w:p>
        </w:tc>
        <w:tc>
          <w:tcPr>
            <w:tcW w:w="1080" w:type="dxa"/>
            <w:vAlign w:val="bottom"/>
            <w:tcBorders>
              <w:bottom w:val="single" w:sz="8" w:color="F0FFFF"/>
            </w:tcBorders>
          </w:tcPr>
          <w:p>
            <w:pPr>
              <w:spacing w:after="0"/>
              <w:rPr>
                <w:sz w:val="24"/>
                <w:szCs w:val="24"/>
                <w:color w:val="auto"/>
              </w:rPr>
            </w:pPr>
          </w:p>
        </w:tc>
        <w:tc>
          <w:tcPr>
            <w:tcW w:w="1320" w:type="dxa"/>
            <w:vAlign w:val="bottom"/>
            <w:tcBorders>
              <w:bottom w:val="single" w:sz="8" w:color="F0FFFF"/>
            </w:tcBorders>
          </w:tcPr>
          <w:p>
            <w:pPr>
              <w:spacing w:after="0"/>
              <w:rPr>
                <w:sz w:val="24"/>
                <w:szCs w:val="24"/>
                <w:color w:val="auto"/>
              </w:rPr>
            </w:pPr>
          </w:p>
        </w:tc>
        <w:tc>
          <w:tcPr>
            <w:tcW w:w="100" w:type="dxa"/>
            <w:vAlign w:val="bottom"/>
            <w:tcBorders>
              <w:bottom w:val="single" w:sz="8" w:color="F0FFFF"/>
            </w:tcBorders>
          </w:tcPr>
          <w:p>
            <w:pPr>
              <w:spacing w:after="0"/>
              <w:rPr>
                <w:sz w:val="24"/>
                <w:szCs w:val="24"/>
                <w:color w:val="auto"/>
              </w:rPr>
            </w:pPr>
          </w:p>
        </w:tc>
        <w:tc>
          <w:tcPr>
            <w:tcW w:w="260" w:type="dxa"/>
            <w:vAlign w:val="bottom"/>
            <w:tcBorders>
              <w:bottom w:val="single" w:sz="8" w:color="F0FFFF"/>
            </w:tcBorders>
          </w:tcPr>
          <w:p>
            <w:pPr>
              <w:spacing w:after="0"/>
              <w:rPr>
                <w:sz w:val="24"/>
                <w:szCs w:val="24"/>
                <w:color w:val="auto"/>
              </w:rPr>
            </w:pPr>
          </w:p>
        </w:tc>
        <w:tc>
          <w:tcPr>
            <w:tcW w:w="920" w:type="dxa"/>
            <w:vAlign w:val="bottom"/>
            <w:tcBorders>
              <w:bottom w:val="single" w:sz="8" w:color="F0FFFF"/>
            </w:tcBorders>
          </w:tcPr>
          <w:p>
            <w:pPr>
              <w:spacing w:after="0"/>
              <w:rPr>
                <w:sz w:val="24"/>
                <w:szCs w:val="24"/>
                <w:color w:val="auto"/>
              </w:rPr>
            </w:pPr>
          </w:p>
        </w:tc>
        <w:tc>
          <w:tcPr>
            <w:tcW w:w="220" w:type="dxa"/>
            <w:vAlign w:val="bottom"/>
            <w:tcBorders>
              <w:bottom w:val="single" w:sz="8" w:color="F0FF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F0FFFF"/>
            </w:tcBorders>
          </w:tcPr>
          <w:p>
            <w:pPr>
              <w:spacing w:after="0"/>
              <w:rPr>
                <w:sz w:val="24"/>
                <w:szCs w:val="24"/>
                <w:color w:val="auto"/>
              </w:rPr>
            </w:pPr>
          </w:p>
        </w:tc>
        <w:tc>
          <w:tcPr>
            <w:tcW w:w="80" w:type="dxa"/>
            <w:vAlign w:val="bottom"/>
            <w:tcBorders>
              <w:bottom w:val="single" w:sz="8" w:color="F0FF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F0FFFF"/>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20" w:type="dxa"/>
            <w:vAlign w:val="bottom"/>
            <w:shd w:val="clear" w:color="auto" w:fill="F0FFFF"/>
          </w:tcPr>
          <w:p>
            <w:pPr>
              <w:spacing w:after="0"/>
              <w:rPr>
                <w:sz w:val="17"/>
                <w:szCs w:val="17"/>
                <w:color w:val="auto"/>
              </w:rPr>
            </w:pPr>
          </w:p>
        </w:tc>
        <w:tc>
          <w:tcPr>
            <w:tcW w:w="1060" w:type="dxa"/>
            <w:vAlign w:val="bottom"/>
            <w:shd w:val="clear" w:color="auto" w:fill="F0FFFF"/>
          </w:tcPr>
          <w:p>
            <w:pPr>
              <w:spacing w:after="0"/>
              <w:rPr>
                <w:sz w:val="17"/>
                <w:szCs w:val="17"/>
                <w:color w:val="auto"/>
              </w:rPr>
            </w:pPr>
          </w:p>
        </w:tc>
        <w:tc>
          <w:tcPr>
            <w:tcW w:w="2860" w:type="dxa"/>
            <w:vAlign w:val="bottom"/>
            <w:gridSpan w:val="3"/>
            <w:shd w:val="clear" w:color="auto" w:fill="F0FFFF"/>
          </w:tcPr>
          <w:p>
            <w:pPr>
              <w:jc w:val="center"/>
              <w:ind w:right="2400"/>
              <w:spacing w:after="0" w:line="176" w:lineRule="exact"/>
              <w:rPr>
                <w:sz w:val="20"/>
                <w:szCs w:val="20"/>
                <w:color w:val="auto"/>
              </w:rPr>
            </w:pPr>
            <w:r>
              <w:rPr>
                <w:rFonts w:ascii="Arial" w:cs="Arial" w:eastAsia="Arial" w:hAnsi="Arial"/>
                <w:sz w:val="18"/>
                <w:szCs w:val="18"/>
                <w:color w:val="auto"/>
                <w:w w:val="85"/>
              </w:rPr>
              <w:t>Assets</w:t>
            </w: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2720" w:type="dxa"/>
            <w:vAlign w:val="bottom"/>
            <w:tcBorders>
              <w:top w:val="single" w:sz="8" w:color="F0FFFF"/>
            </w:tcBorders>
          </w:tcPr>
          <w:p>
            <w:pPr>
              <w:spacing w:after="0"/>
              <w:rPr>
                <w:sz w:val="18"/>
                <w:szCs w:val="18"/>
                <w:color w:val="auto"/>
              </w:rPr>
            </w:pPr>
          </w:p>
        </w:tc>
        <w:tc>
          <w:tcPr>
            <w:tcW w:w="1060" w:type="dxa"/>
            <w:vAlign w:val="bottom"/>
            <w:tcBorders>
              <w:top w:val="single" w:sz="8" w:color="F0FFFF"/>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F0FFFF"/>
            </w:tcBorders>
          </w:tcPr>
          <w:p>
            <w:pPr>
              <w:spacing w:after="0"/>
              <w:rPr>
                <w:sz w:val="18"/>
                <w:szCs w:val="18"/>
                <w:color w:val="auto"/>
              </w:rPr>
            </w:pPr>
          </w:p>
        </w:tc>
        <w:tc>
          <w:tcPr>
            <w:tcW w:w="13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480" w:type="dxa"/>
            <w:vAlign w:val="bottom"/>
            <w:tcBorders>
              <w:top w:val="single" w:sz="8" w:color="F0FFFF"/>
            </w:tcBorders>
            <w:gridSpan w:val="2"/>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340" w:type="dxa"/>
            <w:vAlign w:val="bottom"/>
            <w:tcBorders>
              <w:top w:val="single" w:sz="8" w:color="F0FFFF"/>
            </w:tcBorders>
            <w:gridSpan w:val="2"/>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64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4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50,338</w:t>
            </w:r>
          </w:p>
        </w:tc>
        <w:tc>
          <w:tcPr>
            <w:tcW w:w="140" w:type="dxa"/>
            <w:vAlign w:val="bottom"/>
            <w:shd w:val="clear" w:color="auto" w:fill="F0FFFF"/>
          </w:tcPr>
          <w:p>
            <w:pPr>
              <w:spacing w:after="0"/>
              <w:rPr>
                <w:sz w:val="18"/>
                <w:szCs w:val="18"/>
                <w:color w:val="auto"/>
              </w:rPr>
            </w:pP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31,967</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5"/>
          </w:tcPr>
          <w:p>
            <w:pPr>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1,114,856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816,919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640" w:type="dxa"/>
            <w:vAlign w:val="bottom"/>
            <w:tcBorders>
              <w:bottom w:val="single" w:sz="8" w:color="F0FFFF"/>
            </w:tcBorders>
            <w:gridSpan w:val="5"/>
            <w:shd w:val="clear" w:color="auto" w:fill="F0FF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F0FFFF"/>
            </w:tcBorders>
            <w:shd w:val="clear" w:color="auto" w:fill="F0FFFF"/>
          </w:tcPr>
          <w:p>
            <w:pPr>
              <w:spacing w:after="0"/>
              <w:rPr>
                <w:sz w:val="20"/>
                <w:szCs w:val="20"/>
                <w:color w:val="auto"/>
              </w:rPr>
            </w:pPr>
          </w:p>
        </w:tc>
        <w:tc>
          <w:tcPr>
            <w:tcW w:w="920" w:type="dxa"/>
            <w:vAlign w:val="bottom"/>
            <w:tcBorders>
              <w:bottom w:val="single" w:sz="8" w:color="F0FFFF"/>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32,730</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32,295</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2"/>
                <w:szCs w:val="22"/>
                <w:color w:val="auto"/>
              </w:rPr>
            </w:pPr>
          </w:p>
        </w:tc>
        <w:tc>
          <w:tcPr>
            <w:tcW w:w="6640" w:type="dxa"/>
            <w:vAlign w:val="bottom"/>
            <w:gridSpan w:val="5"/>
            <w:shd w:val="clear" w:color="auto" w:fill="F0FFFF"/>
          </w:tcPr>
          <w:p>
            <w:pPr>
              <w:ind w:left="1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F0FFFF"/>
          </w:tcPr>
          <w:p>
            <w:pPr>
              <w:spacing w:after="0"/>
              <w:rPr>
                <w:sz w:val="22"/>
                <w:szCs w:val="22"/>
                <w:color w:val="auto"/>
              </w:rPr>
            </w:pPr>
          </w:p>
        </w:tc>
        <w:tc>
          <w:tcPr>
            <w:tcW w:w="260" w:type="dxa"/>
            <w:vAlign w:val="bottom"/>
            <w:shd w:val="clear" w:color="auto" w:fill="F0FFFF"/>
          </w:tcPr>
          <w:p>
            <w:pPr>
              <w:spacing w:after="0"/>
              <w:rPr>
                <w:sz w:val="22"/>
                <w:szCs w:val="22"/>
                <w:color w:val="auto"/>
              </w:rPr>
            </w:pPr>
          </w:p>
        </w:tc>
        <w:tc>
          <w:tcPr>
            <w:tcW w:w="920" w:type="dxa"/>
            <w:vAlign w:val="bottom"/>
            <w:shd w:val="clear" w:color="auto" w:fill="F0FFFF"/>
          </w:tcPr>
          <w:p>
            <w:pPr>
              <w:spacing w:after="0"/>
              <w:rPr>
                <w:sz w:val="22"/>
                <w:szCs w:val="22"/>
                <w:color w:val="auto"/>
              </w:rPr>
            </w:pPr>
          </w:p>
        </w:tc>
        <w:tc>
          <w:tcPr>
            <w:tcW w:w="4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1,197,924</w:t>
            </w:r>
          </w:p>
        </w:tc>
        <w:tc>
          <w:tcPr>
            <w:tcW w:w="140" w:type="dxa"/>
            <w:vAlign w:val="bottom"/>
            <w:shd w:val="clear" w:color="auto" w:fill="F0FFFF"/>
          </w:tcPr>
          <w:p>
            <w:pPr>
              <w:spacing w:after="0"/>
              <w:rPr>
                <w:sz w:val="22"/>
                <w:szCs w:val="22"/>
                <w:color w:val="auto"/>
              </w:rPr>
            </w:pP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881,181</w:t>
            </w:r>
          </w:p>
        </w:tc>
        <w:tc>
          <w:tcPr>
            <w:tcW w:w="100" w:type="dxa"/>
            <w:vAlign w:val="bottom"/>
            <w:shd w:val="clear" w:color="auto" w:fill="F0FFFF"/>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720" w:type="dxa"/>
            <w:vAlign w:val="bottom"/>
            <w:tcBorders>
              <w:top w:val="single" w:sz="8" w:color="F0FFFF"/>
            </w:tcBorders>
          </w:tcPr>
          <w:p>
            <w:pPr>
              <w:spacing w:after="0" w:line="20" w:lineRule="exact"/>
              <w:rPr>
                <w:sz w:val="1"/>
                <w:szCs w:val="1"/>
                <w:color w:val="auto"/>
              </w:rPr>
            </w:pPr>
          </w:p>
        </w:tc>
        <w:tc>
          <w:tcPr>
            <w:tcW w:w="1060" w:type="dxa"/>
            <w:vAlign w:val="bottom"/>
            <w:tcBorders>
              <w:top w:val="single" w:sz="8" w:color="F0FFFF"/>
            </w:tcBorders>
          </w:tcPr>
          <w:p>
            <w:pPr>
              <w:spacing w:after="0" w:line="20" w:lineRule="exact"/>
              <w:rPr>
                <w:sz w:val="1"/>
                <w:szCs w:val="1"/>
                <w:color w:val="auto"/>
              </w:rPr>
            </w:pPr>
          </w:p>
        </w:tc>
        <w:tc>
          <w:tcPr>
            <w:tcW w:w="460" w:type="dxa"/>
            <w:vAlign w:val="bottom"/>
            <w:tcBorders>
              <w:top w:val="single" w:sz="8" w:color="F0FFFF"/>
            </w:tcBorders>
          </w:tcPr>
          <w:p>
            <w:pPr>
              <w:spacing w:after="0" w:line="20" w:lineRule="exact"/>
              <w:rPr>
                <w:sz w:val="1"/>
                <w:szCs w:val="1"/>
                <w:color w:val="auto"/>
              </w:rPr>
            </w:pPr>
          </w:p>
        </w:tc>
        <w:tc>
          <w:tcPr>
            <w:tcW w:w="1080" w:type="dxa"/>
            <w:vAlign w:val="bottom"/>
            <w:tcBorders>
              <w:top w:val="single" w:sz="8" w:color="F0FFFF"/>
            </w:tcBorders>
          </w:tcPr>
          <w:p>
            <w:pPr>
              <w:spacing w:after="0" w:line="20" w:lineRule="exact"/>
              <w:rPr>
                <w:sz w:val="1"/>
                <w:szCs w:val="1"/>
                <w:color w:val="auto"/>
              </w:rPr>
            </w:pPr>
          </w:p>
        </w:tc>
        <w:tc>
          <w:tcPr>
            <w:tcW w:w="1320" w:type="dxa"/>
            <w:vAlign w:val="bottom"/>
            <w:tcBorders>
              <w:top w:val="single" w:sz="8" w:color="F0FFFF"/>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F0FFFF"/>
            </w:tcBorders>
          </w:tcPr>
          <w:p>
            <w:pPr>
              <w:spacing w:after="0" w:line="20" w:lineRule="exact"/>
              <w:rPr>
                <w:sz w:val="1"/>
                <w:szCs w:val="1"/>
                <w:color w:val="auto"/>
              </w:rPr>
            </w:pPr>
          </w:p>
        </w:tc>
        <w:tc>
          <w:tcPr>
            <w:tcW w:w="920" w:type="dxa"/>
            <w:vAlign w:val="bottom"/>
            <w:tcBorders>
              <w:top w:val="single" w:sz="8" w:color="F0FFFF"/>
            </w:tcBorders>
          </w:tcPr>
          <w:p>
            <w:pPr>
              <w:spacing w:after="0" w:line="20" w:lineRule="exact"/>
              <w:rPr>
                <w:sz w:val="1"/>
                <w:szCs w:val="1"/>
                <w:color w:val="auto"/>
              </w:rPr>
            </w:pPr>
          </w:p>
        </w:tc>
        <w:tc>
          <w:tcPr>
            <w:tcW w:w="2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720" w:type="dxa"/>
            <w:vAlign w:val="bottom"/>
            <w:shd w:val="clear" w:color="auto" w:fill="F0FFFF"/>
          </w:tcPr>
          <w:p>
            <w:pPr>
              <w:spacing w:after="0"/>
              <w:rPr>
                <w:sz w:val="17"/>
                <w:szCs w:val="17"/>
                <w:color w:val="auto"/>
              </w:rPr>
            </w:pPr>
          </w:p>
        </w:tc>
        <w:tc>
          <w:tcPr>
            <w:tcW w:w="3920" w:type="dxa"/>
            <w:vAlign w:val="bottom"/>
            <w:gridSpan w:val="4"/>
            <w:shd w:val="clear" w:color="auto" w:fill="F0FFFF"/>
          </w:tcPr>
          <w:p>
            <w:pPr>
              <w:jc w:val="center"/>
              <w:ind w:right="1320"/>
              <w:spacing w:after="0" w:line="176" w:lineRule="exact"/>
              <w:rPr>
                <w:sz w:val="20"/>
                <w:szCs w:val="20"/>
                <w:color w:val="auto"/>
              </w:rPr>
            </w:pPr>
            <w:r>
              <w:rPr>
                <w:rFonts w:ascii="Arial" w:cs="Arial" w:eastAsia="Arial" w:hAnsi="Arial"/>
                <w:sz w:val="18"/>
                <w:szCs w:val="18"/>
                <w:color w:val="auto"/>
                <w:w w:val="92"/>
              </w:rPr>
              <w:t>Liabilities and Shareholders’ Equity</w:t>
            </w: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2720" w:type="dxa"/>
            <w:vAlign w:val="bottom"/>
            <w:tcBorders>
              <w:top w:val="single" w:sz="8" w:color="F0FF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3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480" w:type="dxa"/>
            <w:vAlign w:val="bottom"/>
            <w:tcBorders>
              <w:top w:val="single" w:sz="8" w:color="F0FFFF"/>
            </w:tcBorders>
            <w:gridSpan w:val="2"/>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340" w:type="dxa"/>
            <w:vAlign w:val="bottom"/>
            <w:tcBorders>
              <w:top w:val="single" w:sz="8" w:color="F0FFFF"/>
            </w:tcBorders>
            <w:gridSpan w:val="2"/>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640" w:type="dxa"/>
            <w:vAlign w:val="bottom"/>
            <w:gridSpan w:val="5"/>
            <w:shd w:val="clear" w:color="auto" w:fill="F0FF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4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165,620</w:t>
            </w:r>
          </w:p>
        </w:tc>
        <w:tc>
          <w:tcPr>
            <w:tcW w:w="140" w:type="dxa"/>
            <w:vAlign w:val="bottom"/>
            <w:shd w:val="clear" w:color="auto" w:fill="F0FFFF"/>
          </w:tcPr>
          <w:p>
            <w:pPr>
              <w:spacing w:after="0"/>
              <w:rPr>
                <w:sz w:val="18"/>
                <w:szCs w:val="18"/>
                <w:color w:val="auto"/>
              </w:rPr>
            </w:pP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129,865</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640" w:type="dxa"/>
            <w:vAlign w:val="bottom"/>
            <w:tcBorders>
              <w:bottom w:val="single" w:sz="8" w:color="F0FFFF"/>
            </w:tcBorders>
            <w:gridSpan w:val="5"/>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F0FFFF"/>
            </w:tcBorders>
          </w:tcPr>
          <w:p>
            <w:pPr>
              <w:spacing w:after="0"/>
              <w:rPr>
                <w:sz w:val="20"/>
                <w:szCs w:val="20"/>
                <w:color w:val="auto"/>
              </w:rPr>
            </w:pPr>
          </w:p>
        </w:tc>
        <w:tc>
          <w:tcPr>
            <w:tcW w:w="260" w:type="dxa"/>
            <w:vAlign w:val="bottom"/>
            <w:tcBorders>
              <w:bottom w:val="single" w:sz="8" w:color="F0FFFF"/>
            </w:tcBorders>
          </w:tcPr>
          <w:p>
            <w:pPr>
              <w:spacing w:after="0"/>
              <w:rPr>
                <w:sz w:val="20"/>
                <w:szCs w:val="20"/>
                <w:color w:val="auto"/>
              </w:rPr>
            </w:pPr>
          </w:p>
        </w:tc>
        <w:tc>
          <w:tcPr>
            <w:tcW w:w="920" w:type="dxa"/>
            <w:vAlign w:val="bottom"/>
            <w:tcBorders>
              <w:bottom w:val="single" w:sz="8" w:color="F0FFFF"/>
            </w:tcBorders>
          </w:tcPr>
          <w:p>
            <w:pPr>
              <w:spacing w:after="0"/>
              <w:rPr>
                <w:sz w:val="20"/>
                <w:szCs w:val="20"/>
                <w:color w:val="auto"/>
              </w:rPr>
            </w:pPr>
          </w:p>
        </w:tc>
        <w:tc>
          <w:tcPr>
            <w:tcW w:w="22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14,019</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11,739</w:t>
            </w:r>
          </w:p>
        </w:tc>
        <w:tc>
          <w:tcPr>
            <w:tcW w:w="100" w:type="dxa"/>
            <w:vAlign w:val="bottom"/>
            <w:tcBorders>
              <w:bottom w:val="single" w:sz="8" w:color="F0FFFF"/>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640" w:type="dxa"/>
            <w:vAlign w:val="bottom"/>
            <w:gridSpan w:val="5"/>
          </w:tcPr>
          <w:p>
            <w:pPr>
              <w:ind w:left="1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179,639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141,604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27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vMerge w:val="continue"/>
          </w:tcPr>
          <w:p>
            <w:pPr>
              <w:spacing w:after="0"/>
              <w:rPr>
                <w:sz w:val="20"/>
                <w:szCs w:val="20"/>
                <w:color w:val="auto"/>
              </w:rPr>
            </w:pPr>
          </w:p>
        </w:tc>
        <w:tc>
          <w:tcPr>
            <w:tcW w:w="6640" w:type="dxa"/>
            <w:vAlign w:val="bottom"/>
            <w:tcBorders>
              <w:bottom w:val="single" w:sz="8" w:color="F0FFFF"/>
            </w:tcBorders>
            <w:gridSpan w:val="5"/>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F0FFFF"/>
            </w:tcBorders>
          </w:tcPr>
          <w:p>
            <w:pPr>
              <w:spacing w:after="0"/>
              <w:rPr>
                <w:sz w:val="20"/>
                <w:szCs w:val="20"/>
                <w:color w:val="auto"/>
              </w:rPr>
            </w:pPr>
          </w:p>
        </w:tc>
        <w:tc>
          <w:tcPr>
            <w:tcW w:w="260" w:type="dxa"/>
            <w:vAlign w:val="bottom"/>
            <w:tcBorders>
              <w:bottom w:val="single" w:sz="8" w:color="F0FFFF"/>
            </w:tcBorders>
          </w:tcPr>
          <w:p>
            <w:pPr>
              <w:spacing w:after="0"/>
              <w:rPr>
                <w:sz w:val="20"/>
                <w:szCs w:val="20"/>
                <w:color w:val="auto"/>
              </w:rPr>
            </w:pPr>
          </w:p>
        </w:tc>
        <w:tc>
          <w:tcPr>
            <w:tcW w:w="920" w:type="dxa"/>
            <w:vAlign w:val="bottom"/>
            <w:tcBorders>
              <w:bottom w:val="single" w:sz="8" w:color="F0FFFF"/>
            </w:tcBorders>
          </w:tcPr>
          <w:p>
            <w:pPr>
              <w:spacing w:after="0"/>
              <w:rPr>
                <w:sz w:val="20"/>
                <w:szCs w:val="20"/>
                <w:color w:val="auto"/>
              </w:rPr>
            </w:pPr>
          </w:p>
        </w:tc>
        <w:tc>
          <w:tcPr>
            <w:tcW w:w="22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1,018,285</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739,577</w:t>
            </w:r>
          </w:p>
        </w:tc>
        <w:tc>
          <w:tcPr>
            <w:tcW w:w="100" w:type="dxa"/>
            <w:vAlign w:val="bottom"/>
            <w:tcBorders>
              <w:bottom w:val="single" w:sz="8" w:color="F0FFFF"/>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72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46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3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0" w:type="dxa"/>
            <w:vAlign w:val="bottom"/>
          </w:tcPr>
          <w:p>
            <w:pPr>
              <w:spacing w:after="0"/>
              <w:rPr>
                <w:sz w:val="21"/>
                <w:szCs w:val="21"/>
                <w:color w:val="auto"/>
              </w:rPr>
            </w:pPr>
          </w:p>
        </w:tc>
        <w:tc>
          <w:tcPr>
            <w:tcW w:w="6640" w:type="dxa"/>
            <w:vAlign w:val="bottom"/>
            <w:gridSpan w:val="5"/>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1,197,924</w:t>
            </w:r>
          </w:p>
        </w:tc>
        <w:tc>
          <w:tcPr>
            <w:tcW w:w="140" w:type="dxa"/>
            <w:vAlign w:val="bottom"/>
          </w:tcPr>
          <w:p>
            <w:pPr>
              <w:spacing w:after="0"/>
              <w:rPr>
                <w:sz w:val="21"/>
                <w:szCs w:val="21"/>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881,181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100" w:type="dxa"/>
            <w:vAlign w:val="bottom"/>
            <w:gridSpan w:val="6"/>
            <w:vMerge w:val="restart"/>
          </w:tcPr>
          <w:p>
            <w:pPr>
              <w:jc w:val="center"/>
              <w:ind w:left="4250"/>
              <w:spacing w:after="0"/>
              <w:rPr>
                <w:sz w:val="20"/>
                <w:szCs w:val="20"/>
                <w:color w:val="auto"/>
              </w:rPr>
            </w:pPr>
            <w:r>
              <w:rPr>
                <w:rFonts w:ascii="Arial" w:cs="Arial" w:eastAsia="Arial" w:hAnsi="Arial"/>
                <w:sz w:val="18"/>
                <w:szCs w:val="18"/>
                <w:color w:val="auto"/>
                <w:w w:val="93"/>
              </w:rPr>
              <w:t>120</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7100" w:type="dxa"/>
            <w:vAlign w:val="bottom"/>
            <w:tcBorders>
              <w:bottom w:val="single" w:sz="8" w:color="DCDCDC"/>
            </w:tcBorders>
            <w:gridSpan w:val="6"/>
            <w:vMerge w:val="continue"/>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Condensed Financial Statements of United Community Banks, Inc. (Parent Only),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2015, 2014 and 2013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60" w:type="dxa"/>
            <w:vAlign w:val="bottom"/>
          </w:tcPr>
          <w:p>
            <w:pPr>
              <w:spacing w:after="0"/>
              <w:rPr>
                <w:sz w:val="15"/>
                <w:szCs w:val="15"/>
                <w:color w:val="auto"/>
              </w:rPr>
            </w:pPr>
          </w:p>
        </w:tc>
        <w:tc>
          <w:tcPr>
            <w:tcW w:w="6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71,578</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67,620</w:t>
            </w:r>
          </w:p>
        </w:tc>
        <w:tc>
          <w:tcPr>
            <w:tcW w:w="14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273,140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7"/>
              </w:rPr>
              <w:t>Adjustments to reconcile net income to net cash provided by operating activities:</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Equity in undistributed earnings of the subsidiaries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(209,932)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Loss on prepayment of debt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4,403</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4,304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Change in assets and liabilities: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shd w:val="clear" w:color="auto" w:fill="F0FFFF"/>
          </w:tcPr>
          <w:p>
            <w:pPr>
              <w:ind w:left="4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2,529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(29,168)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420" w:type="dxa"/>
            <w:vAlign w:val="bottom"/>
          </w:tcPr>
          <w:p>
            <w:pPr>
              <w:ind w:left="48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(9,177)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420" w:type="dxa"/>
            <w:vAlign w:val="bottom"/>
            <w:tcBorders>
              <w:top w:val="single" w:sz="8" w:color="F0FFFF"/>
            </w:tcBorders>
            <w:shd w:val="clear" w:color="auto" w:fill="F0FFFF"/>
          </w:tcPr>
          <w:p>
            <w:pPr>
              <w:spacing w:after="0"/>
              <w:rPr>
                <w:sz w:val="18"/>
                <w:szCs w:val="18"/>
                <w:color w:val="auto"/>
              </w:rPr>
            </w:pPr>
          </w:p>
        </w:tc>
        <w:tc>
          <w:tcPr>
            <w:tcW w:w="32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tcBorders>
              <w:top w:val="single" w:sz="8" w:color="F0FFFF"/>
            </w:tcBorders>
            <w:shd w:val="clear" w:color="auto" w:fill="F0FFFF"/>
          </w:tcPr>
          <w:p>
            <w:pPr>
              <w:spacing w:after="0"/>
              <w:rPr>
                <w:sz w:val="18"/>
                <w:szCs w:val="18"/>
                <w:color w:val="auto"/>
              </w:rPr>
            </w:pPr>
          </w:p>
        </w:tc>
        <w:tc>
          <w:tcPr>
            <w:tcW w:w="80" w:type="dxa"/>
            <w:vAlign w:val="bottom"/>
            <w:tcBorders>
              <w:top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tcBorders>
              <w:top w:val="single" w:sz="8" w:color="F0FFFF"/>
            </w:tcBorders>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vMerge w:val="continue"/>
          </w:tcPr>
          <w:p>
            <w:pPr>
              <w:spacing w:after="0"/>
              <w:rPr>
                <w:sz w:val="20"/>
                <w:szCs w:val="20"/>
                <w:color w:val="auto"/>
              </w:rPr>
            </w:pPr>
          </w:p>
        </w:tc>
        <w:tc>
          <w:tcPr>
            <w:tcW w:w="6420" w:type="dxa"/>
            <w:vAlign w:val="bottom"/>
            <w:tcBorders>
              <w:bottom w:val="single" w:sz="8" w:color="F0FF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74,192</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119,098</w:t>
            </w:r>
          </w:p>
        </w:tc>
        <w:tc>
          <w:tcPr>
            <w:tcW w:w="140" w:type="dxa"/>
            <w:vAlign w:val="bottom"/>
            <w:tcBorders>
              <w:bottom w:val="single" w:sz="8" w:color="F0FFFF"/>
            </w:tcBorders>
          </w:tcPr>
          <w:p>
            <w:pPr>
              <w:spacing w:after="0"/>
              <w:rPr>
                <w:sz w:val="20"/>
                <w:szCs w:val="20"/>
                <w:color w:val="auto"/>
              </w:rPr>
            </w:pPr>
          </w:p>
        </w:tc>
        <w:tc>
          <w:tcPr>
            <w:tcW w:w="80" w:type="dxa"/>
            <w:vAlign w:val="bottom"/>
            <w:tcBorders>
              <w:bottom w:val="single" w:sz="8" w:color="F0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42,849</w:t>
            </w:r>
          </w:p>
        </w:tc>
        <w:tc>
          <w:tcPr>
            <w:tcW w:w="100" w:type="dxa"/>
            <w:vAlign w:val="bottom"/>
            <w:tcBorders>
              <w:bottom w:val="single" w:sz="8" w:color="F0FFFF"/>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4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Payment for acquisition</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(76,893)</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42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Sales and paydowns of securities available for sale</w:t>
            </w:r>
          </w:p>
        </w:tc>
        <w:tc>
          <w:tcPr>
            <w:tcW w:w="3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vMerge w:val="continue"/>
          </w:tcPr>
          <w:p>
            <w:pPr>
              <w:spacing w:after="0"/>
              <w:rPr>
                <w:sz w:val="20"/>
                <w:szCs w:val="20"/>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(76,655)</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shd w:val="clear" w:color="auto" w:fill="F0FF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42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Repayment of long-term debt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(48,521)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83,924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6420" w:type="dxa"/>
            <w:vAlign w:val="bottom"/>
          </w:tcPr>
          <w:p>
            <w:pPr>
              <w:ind w:left="160"/>
              <w:spacing w:after="0" w:line="201" w:lineRule="exact"/>
              <w:rPr>
                <w:sz w:val="20"/>
                <w:szCs w:val="20"/>
                <w:color w:val="auto"/>
              </w:rPr>
            </w:pPr>
            <w:r>
              <w:rPr>
                <w:rFonts w:ascii="Arial" w:cs="Arial" w:eastAsia="Arial" w:hAnsi="Arial"/>
                <w:sz w:val="18"/>
                <w:szCs w:val="18"/>
                <w:color w:val="auto"/>
                <w:w w:val="94"/>
              </w:rPr>
              <w:t>Proceeds from issuance of common stock for dividend reinvestment and employee</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420" w:type="dxa"/>
            <w:vAlign w:val="bottom"/>
          </w:tcPr>
          <w:p>
            <w:pPr>
              <w:ind w:left="320"/>
              <w:spacing w:after="0"/>
              <w:rPr>
                <w:sz w:val="20"/>
                <w:szCs w:val="20"/>
                <w:color w:val="auto"/>
              </w:rPr>
            </w:pPr>
            <w:r>
              <w:rPr>
                <w:rFonts w:ascii="Arial" w:cs="Arial" w:eastAsia="Arial" w:hAnsi="Arial"/>
                <w:sz w:val="18"/>
                <w:szCs w:val="18"/>
                <w:color w:val="auto"/>
              </w:rPr>
              <w:t>benefit plans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issuance of common stock, net of offering costs</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12,206</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Proceeds from exercise of warrant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Repurchase of outstanding warrant</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(12,000)</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Retirement of preferred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(121,613)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(75,217)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on common stock</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(14,822)</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(1,810)</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Cash dividends on Series A preferred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on Series B preferred stock</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(802)</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(9,440)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Cash dividends on Series D preferred stock</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64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on Series H preferred stock</w:t>
            </w:r>
          </w:p>
        </w:tc>
        <w:tc>
          <w:tcPr>
            <w:tcW w:w="3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42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vMerge w:val="continue"/>
          </w:tcPr>
          <w:p>
            <w:pPr>
              <w:spacing w:after="0"/>
              <w:rPr>
                <w:sz w:val="20"/>
                <w:szCs w:val="20"/>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20,834</w:t>
            </w: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(123,962)</w:t>
            </w:r>
          </w:p>
        </w:tc>
        <w:tc>
          <w:tcPr>
            <w:tcW w:w="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(61,144)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420" w:type="dxa"/>
            <w:vAlign w:val="bottom"/>
            <w:tcBorders>
              <w:top w:val="single" w:sz="8" w:color="F0FFFF"/>
            </w:tcBorders>
          </w:tcPr>
          <w:p>
            <w:pPr>
              <w:spacing w:after="0"/>
              <w:rPr>
                <w:sz w:val="18"/>
                <w:szCs w:val="18"/>
                <w:color w:val="auto"/>
              </w:rPr>
            </w:pPr>
          </w:p>
        </w:tc>
        <w:tc>
          <w:tcPr>
            <w:tcW w:w="32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change in cash</w:t>
            </w:r>
          </w:p>
        </w:tc>
        <w:tc>
          <w:tcPr>
            <w:tcW w:w="3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18,371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(4,371)</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(17,709)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60" w:type="dxa"/>
            <w:vAlign w:val="bottom"/>
            <w:vMerge w:val="continue"/>
          </w:tcPr>
          <w:p>
            <w:pPr>
              <w:spacing w:after="0"/>
              <w:rPr>
                <w:sz w:val="20"/>
                <w:szCs w:val="20"/>
                <w:color w:val="auto"/>
              </w:rPr>
            </w:pPr>
          </w:p>
        </w:tc>
        <w:tc>
          <w:tcPr>
            <w:tcW w:w="64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Cash at beginning of year</w:t>
            </w:r>
          </w:p>
        </w:tc>
        <w:tc>
          <w:tcPr>
            <w:tcW w:w="32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31,967</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36,338</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260" w:type="dxa"/>
            <w:vAlign w:val="bottom"/>
            <w:tcBorders>
              <w:bottom w:val="single" w:sz="8" w:color="auto"/>
            </w:tcBorders>
            <w:shd w:val="clear" w:color="auto" w:fill="F0FFFF"/>
          </w:tcPr>
          <w:p>
            <w:pPr>
              <w:spacing w:after="0"/>
              <w:rPr>
                <w:sz w:val="20"/>
                <w:szCs w:val="20"/>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54,047</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60" w:type="dxa"/>
            <w:vAlign w:val="bottom"/>
            <w:vMerge w:val="continue"/>
          </w:tcPr>
          <w:p>
            <w:pPr>
              <w:spacing w:after="0"/>
              <w:rPr>
                <w:sz w:val="22"/>
                <w:szCs w:val="22"/>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Cash at end of year</w:t>
            </w:r>
          </w:p>
        </w:tc>
        <w:tc>
          <w:tcPr>
            <w:tcW w:w="58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50,338</w:t>
            </w:r>
          </w:p>
        </w:tc>
        <w:tc>
          <w:tcPr>
            <w:tcW w:w="140" w:type="dxa"/>
            <w:vAlign w:val="bottom"/>
            <w:shd w:val="clear" w:color="auto" w:fill="F0FFFF"/>
          </w:tcPr>
          <w:p>
            <w:pPr>
              <w:spacing w:after="0"/>
              <w:rPr>
                <w:sz w:val="22"/>
                <w:szCs w:val="22"/>
                <w:color w:val="auto"/>
              </w:rPr>
            </w:pP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31,967</w:t>
            </w:r>
          </w:p>
        </w:tc>
        <w:tc>
          <w:tcPr>
            <w:tcW w:w="140" w:type="dxa"/>
            <w:vAlign w:val="bottom"/>
            <w:shd w:val="clear" w:color="auto" w:fill="F0FFFF"/>
          </w:tcPr>
          <w:p>
            <w:pPr>
              <w:spacing w:after="0"/>
              <w:rPr>
                <w:sz w:val="22"/>
                <w:szCs w:val="22"/>
                <w:color w:val="auto"/>
              </w:rPr>
            </w:pP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36,338</w:t>
            </w:r>
          </w:p>
        </w:tc>
        <w:tc>
          <w:tcPr>
            <w:tcW w:w="100" w:type="dxa"/>
            <w:vAlign w:val="bottom"/>
            <w:shd w:val="clear" w:color="auto" w:fill="F0FFFF"/>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6420" w:type="dxa"/>
            <w:vAlign w:val="bottom"/>
            <w:tcBorders>
              <w:top w:val="single" w:sz="8" w:color="F0FFFF"/>
              <w:bottom w:val="single" w:sz="8" w:color="F0FFFF"/>
            </w:tcBorders>
            <w:vMerge w:val="restart"/>
          </w:tcPr>
          <w:p>
            <w:pPr>
              <w:ind w:left="5120"/>
              <w:spacing w:after="0"/>
              <w:rPr>
                <w:sz w:val="20"/>
                <w:szCs w:val="20"/>
                <w:color w:val="auto"/>
              </w:rPr>
            </w:pPr>
            <w:r>
              <w:rPr>
                <w:rFonts w:ascii="Arial" w:cs="Arial" w:eastAsia="Arial" w:hAnsi="Arial"/>
                <w:sz w:val="18"/>
                <w:szCs w:val="18"/>
                <w:color w:val="auto"/>
              </w:rPr>
              <w:t>121</w:t>
            </w:r>
          </w:p>
        </w:tc>
        <w:tc>
          <w:tcPr>
            <w:tcW w:w="32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F0FFFF"/>
            </w:tcBorders>
          </w:tcPr>
          <w:p>
            <w:pPr>
              <w:spacing w:after="0" w:line="20" w:lineRule="exact"/>
              <w:rPr>
                <w:sz w:val="1"/>
                <w:szCs w:val="1"/>
                <w:color w:val="auto"/>
              </w:rPr>
            </w:pPr>
          </w:p>
        </w:tc>
        <w:tc>
          <w:tcPr>
            <w:tcW w:w="80" w:type="dxa"/>
            <w:vAlign w:val="bottom"/>
            <w:tcBorders>
              <w:top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F0FF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460" w:type="dxa"/>
            <w:vAlign w:val="bottom"/>
            <w:tcBorders>
              <w:bottom w:val="single" w:sz="8" w:color="DCDCDC"/>
            </w:tcBorders>
            <w:vMerge w:val="continue"/>
          </w:tcPr>
          <w:p>
            <w:pPr>
              <w:spacing w:after="0"/>
              <w:rPr>
                <w:sz w:val="24"/>
                <w:szCs w:val="24"/>
                <w:color w:val="auto"/>
              </w:rPr>
            </w:pPr>
          </w:p>
        </w:tc>
        <w:tc>
          <w:tcPr>
            <w:tcW w:w="6420" w:type="dxa"/>
            <w:vAlign w:val="bottom"/>
            <w:tcBorders>
              <w:bottom w:val="single" w:sz="8" w:color="DCDCDC"/>
            </w:tcBorders>
            <w:vMerge w:val="continue"/>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27" w:name="page128"/>
    <w:bookmarkEnd w:id="127"/>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United did not have any change in or disagreements with its accountants on any matters of accounting principles or practices or financial statement disclosure.</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December 31, 2015.</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that evaluation, the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disclosures of that information under the SEC’s rules and forms and that the disclosure controls and procedures are designed to ensure that the information required to be disclosed in reports that are filed or submitted under the Exchange Act is recorded, processed, summarized and reported within the time periods specified in the SEC’s rules and forms.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changes were made to United’s internal control over financial reporting during the fourth quarter of 2015 that materially affected, or are reasonably likely to materially affect, United’s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management is responsible for establishing and maintaining adequate internal control over financial reporting. Management’s assessment of the effectiveness of United’s internal control over financial reporting as of December 31, 2015 is included in Item 8 of this report under the heading “Management’s Report on Internal Control Over Financial Reporting.”</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items required to be reported on Form 8-K during the fourth quarter of 2015 that were not reported on Form 8-K.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under the headings “Information Regarding Nominees and Other Directors”, “Corporate Governance” and “Section 16(a) Beneficial Ownership Reporting Compliance” in the Proxy Statement to be used in connection with the solicitation of proxies for United’s 2016 Annual Meeting of Shareholders, to be filed with the SEC, is incorporated herein by reference. Pursuant to instruction 3 to paragraph (b) of Item 401 of Regulation S-K, information relating to the executive officers of United is included in Item 1 of this report.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contained under the heading “Compensation of Executive Officers and Directors” in the Proxy Statement to be used in connection with the solicitation of proxies for United’s 2016 Annual Meeting of Shareholders, to be filed with the SEC, is incorporated herein by reference.</w:t>
      </w:r>
    </w:p>
    <w:p>
      <w:pPr>
        <w:spacing w:after="0" w:line="143" w:lineRule="exact"/>
        <w:rPr>
          <w:sz w:val="20"/>
          <w:szCs w:val="20"/>
          <w:color w:val="auto"/>
        </w:rPr>
      </w:pPr>
    </w:p>
    <w:p>
      <w:pPr>
        <w:jc w:val="both"/>
        <w:ind w:left="13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contained under the heading “Principal and Management Shareholders” and the “Equity Compensation Plan Information” table in the Proxy Statement to be used in connection with the solicitation of proxies for United’s 2016 Annual Meeting of Shareholders, to be filed with the SEC, is incorporated herein by reference. For purposes of determining the aggregate market value of United’s voting stock held by nonaffiliates, shares held by all directors and executive officers of United have been excluded. The exclusion of such shares is not intended to, and shall not, constitute a determination as to which persons or entities may be “Affiliates” of United as defined by the SEC.</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contained under the heading “Corporate Governance – Certain Relationships and Related Transactions” in the Proxy Statement to be used in connection with the solicitation of proxies for United’s 2016 Annual Meeting of Shareholders, to be filed with the SEC, is incorporated herein by reference.</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contained under the heading “Other Matters – Independent Registered Public Accounting Firm” in the Proxy Statement to be used in connection with the solicitation of proxies for United’s 2016 Annual Meeting of Shareholders, to be filed with the SEC, is incorporated herein by reference.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9" w:name="page130"/>
    <w:bookmarkEnd w:id="129"/>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spacing w:after="0"/>
        <w:tabs>
          <w:tab w:leader="none" w:pos="640" w:val="left"/>
          <w:tab w:leader="none" w:pos="128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consolidated financial statements are located in Item 8 of this report: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 of Income - Years ended December 31, 2015, 2014, and 2013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 - December 31, 2015 and 2014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 of Changes in Shareholders’ Equity - Years ended December 31, 2015, 2014, and 2013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 of Cash Flows - Years ended December 31, 2015, 2014, and 2013</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Schedules to the consolidated financial statements are omitted, as the required information is not applicable.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10420" w:type="dxa"/>
            <w:vAlign w:val="bottom"/>
            <w:gridSpan w:val="3"/>
          </w:tcPr>
          <w:p>
            <w:pPr>
              <w:jc w:val="right"/>
              <w:ind w:right="3231"/>
              <w:spacing w:after="0"/>
              <w:rPr>
                <w:sz w:val="20"/>
                <w:szCs w:val="20"/>
                <w:color w:val="auto"/>
              </w:rPr>
            </w:pPr>
            <w:r>
              <w:rPr>
                <w:rFonts w:ascii="Arial" w:cs="Arial" w:eastAsia="Arial" w:hAnsi="Arial"/>
                <w:sz w:val="18"/>
                <w:szCs w:val="18"/>
                <w:color w:val="auto"/>
                <w:w w:val="97"/>
              </w:rPr>
              <w:t>The following exhibits are required to be filed with this report by Item 601 of Regulation S-K:</w:t>
            </w:r>
          </w:p>
        </w:tc>
      </w:tr>
      <w:tr>
        <w:trPr>
          <w:trHeight w:val="372"/>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Agreement and Plan of Merger, dated April 22, 2015, by and between Palmetto Bancshares, Inc. and United Community Banks, Inc.</w:t>
            </w:r>
          </w:p>
        </w:tc>
      </w:tr>
      <w:tr>
        <w:trPr>
          <w:trHeight w:val="216"/>
        </w:trPr>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(incorporated herein by reference to Exhibit 2.1 to United Community Banks, Inc.’s Current Report on Form 8-K, File No. 001-35095,</w:t>
            </w:r>
          </w:p>
        </w:tc>
      </w:tr>
      <w:tr>
        <w:trPr>
          <w:trHeight w:val="230"/>
        </w:trPr>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filed with the SEC on April 22, 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Agreement and Plan of Merger, dated January 27, 2015, by and between United Community Banks, Inc. and MoneyTree Corporation</w:t>
            </w:r>
          </w:p>
        </w:tc>
      </w:tr>
      <w:tr>
        <w:trPr>
          <w:trHeight w:val="216"/>
        </w:trPr>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(incorporated herein by reference to Exhibit 2.1 to United Community Banks, Inc.’s Current Report on Form 8-K, File No. 001-35095,</w:t>
            </w:r>
          </w:p>
        </w:tc>
      </w:tr>
      <w:tr>
        <w:trPr>
          <w:trHeight w:val="230"/>
        </w:trPr>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filed with the SEC on January 28, 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Restated Articles of Incorporation of United Community Banks, Inc., as amended (incorporated herein by reference to Exhibit 3.1 to</w:t>
            </w:r>
          </w:p>
        </w:tc>
      </w:tr>
      <w:tr>
        <w:trPr>
          <w:trHeight w:val="216"/>
        </w:trPr>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United Community Banks, Inc.’s Quarterly Report on Form 10-Q for the period ended March 31, 2015, filed with the SEC on May 11,</w:t>
            </w:r>
          </w:p>
        </w:tc>
      </w:tr>
      <w:tr>
        <w:trPr>
          <w:trHeight w:val="230"/>
        </w:trPr>
        <w:tc>
          <w:tcPr>
            <w:tcW w:w="1000" w:type="dxa"/>
            <w:vAlign w:val="bottom"/>
          </w:tcPr>
          <w:p>
            <w:pPr>
              <w:spacing w:after="0"/>
              <w:rPr>
                <w:sz w:val="20"/>
                <w:szCs w:val="20"/>
                <w:color w:val="auto"/>
              </w:rPr>
            </w:pPr>
          </w:p>
        </w:tc>
        <w:tc>
          <w:tcPr>
            <w:tcW w:w="10420" w:type="dxa"/>
            <w:vAlign w:val="bottom"/>
            <w:gridSpan w:val="3"/>
          </w:tcPr>
          <w:p>
            <w:pPr>
              <w:ind w:left="620"/>
              <w:spacing w:after="0"/>
              <w:rPr>
                <w:sz w:val="20"/>
                <w:szCs w:val="20"/>
                <w:color w:val="auto"/>
              </w:rPr>
            </w:pPr>
            <w:r>
              <w:rPr>
                <w:rFonts w:ascii="Arial" w:cs="Arial" w:eastAsia="Arial" w:hAnsi="Arial"/>
                <w:sz w:val="18"/>
                <w:szCs w:val="18"/>
                <w:color w:val="auto"/>
              </w:rPr>
              <w:t>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5"/>
              </w:rPr>
              <w:t>Amended and Restated Bylaws of United Community Banks, Inc., as amended (incorporated herein by reference to Exhibit 3.2 to</w:t>
            </w:r>
          </w:p>
        </w:tc>
      </w:tr>
      <w:tr>
        <w:trPr>
          <w:trHeight w:val="216"/>
        </w:trPr>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United Community Banks, Inc.’s Quarterly Report on Form 10-Q for the period ended March 31, 2015, filed with the SEC on May 11,</w:t>
            </w:r>
          </w:p>
        </w:tc>
      </w:tr>
      <w:tr>
        <w:trPr>
          <w:trHeight w:val="230"/>
        </w:trPr>
        <w:tc>
          <w:tcPr>
            <w:tcW w:w="1000" w:type="dxa"/>
            <w:vAlign w:val="bottom"/>
          </w:tcPr>
          <w:p>
            <w:pPr>
              <w:spacing w:after="0"/>
              <w:rPr>
                <w:sz w:val="20"/>
                <w:szCs w:val="20"/>
                <w:color w:val="auto"/>
              </w:rPr>
            </w:pPr>
          </w:p>
        </w:tc>
        <w:tc>
          <w:tcPr>
            <w:tcW w:w="10420" w:type="dxa"/>
            <w:vAlign w:val="bottom"/>
            <w:gridSpan w:val="3"/>
          </w:tcPr>
          <w:p>
            <w:pPr>
              <w:ind w:left="620"/>
              <w:spacing w:after="0"/>
              <w:rPr>
                <w:sz w:val="20"/>
                <w:szCs w:val="20"/>
                <w:color w:val="auto"/>
              </w:rPr>
            </w:pPr>
            <w:r>
              <w:rPr>
                <w:rFonts w:ascii="Arial" w:cs="Arial" w:eastAsia="Arial" w:hAnsi="Arial"/>
                <w:sz w:val="18"/>
                <w:szCs w:val="18"/>
                <w:color w:val="auto"/>
              </w:rPr>
              <w:t>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See Exhibits 3.1 and 3.2 for provisions of the Restated Articles of Incorporation of United Community Banks, Inc., as amended, and the</w:t>
            </w:r>
          </w:p>
        </w:tc>
      </w:tr>
      <w:tr>
        <w:trPr>
          <w:trHeight w:val="230"/>
        </w:trPr>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Amended and Restated Bylaws, as amended, of United Community Banks, Inc., which define the rights of security holders.</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Indenture, dated August 14, 2015, by and between United Community Banks, Inc. and The Bank of New York Mellon Trust Company,</w:t>
            </w:r>
          </w:p>
        </w:tc>
      </w:tr>
      <w:tr>
        <w:trPr>
          <w:trHeight w:val="216"/>
        </w:trPr>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4"/>
              </w:rPr>
              <w:t>N.A., Trustee (incorporated herein by reference to Exhibit 4.1 to United Community Banks, Inc.’s Current Report on Form 8-K, File</w:t>
            </w:r>
          </w:p>
        </w:tc>
      </w:tr>
      <w:tr>
        <w:trPr>
          <w:trHeight w:val="230"/>
        </w:trPr>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No. 001-35095, filed with the SEC on August 14, 2015).</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First Supplemental Indenture to the Indenture, dated August 14, 2015, by and between United Community Banks, Inc. and The Bank of</w:t>
            </w:r>
          </w:p>
        </w:tc>
      </w:tr>
      <w:tr>
        <w:trPr>
          <w:trHeight w:val="216"/>
        </w:trPr>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3"/>
              </w:rPr>
              <w:t>New York Mellon Trust Company, N.A., Trustee (incorporated herein by reference to Exhibit 4.2 to United Community Banks, Inc.’s</w:t>
            </w:r>
          </w:p>
        </w:tc>
      </w:tr>
      <w:tr>
        <w:trPr>
          <w:trHeight w:val="230"/>
        </w:trPr>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Current Report on Form 8-K, File No. 001-35095, filed with the SEC on August 14, 2015).</w:t>
            </w:r>
          </w:p>
        </w:tc>
      </w:tr>
      <w:tr>
        <w:trPr>
          <w:trHeight w:val="648"/>
        </w:trPr>
        <w:tc>
          <w:tcPr>
            <w:tcW w:w="1000" w:type="dxa"/>
            <w:vAlign w:val="bottom"/>
            <w:tcBorders>
              <w:bottom w:val="single" w:sz="8" w:color="DCDCDC"/>
            </w:tcBorders>
          </w:tcPr>
          <w:p>
            <w:pPr>
              <w:spacing w:after="0"/>
              <w:rPr>
                <w:sz w:val="24"/>
                <w:szCs w:val="24"/>
                <w:color w:val="auto"/>
              </w:rPr>
            </w:pPr>
          </w:p>
        </w:tc>
        <w:tc>
          <w:tcPr>
            <w:tcW w:w="10420" w:type="dxa"/>
            <w:vAlign w:val="bottom"/>
            <w:tcBorders>
              <w:bottom w:val="single" w:sz="8" w:color="DCDCDC"/>
            </w:tcBorders>
            <w:gridSpan w:val="3"/>
          </w:tcPr>
          <w:p>
            <w:pPr>
              <w:jc w:val="right"/>
              <w:ind w:right="5471"/>
              <w:spacing w:after="0"/>
              <w:rPr>
                <w:sz w:val="20"/>
                <w:szCs w:val="20"/>
                <w:color w:val="auto"/>
              </w:rPr>
            </w:pPr>
            <w:r>
              <w:rPr>
                <w:rFonts w:ascii="Arial" w:cs="Arial" w:eastAsia="Arial" w:hAnsi="Arial"/>
                <w:sz w:val="18"/>
                <w:szCs w:val="18"/>
                <w:color w:val="auto"/>
              </w:rPr>
              <w:t>124</w:t>
            </w:r>
          </w:p>
        </w:tc>
      </w:tr>
    </w:tbl>
    <w:p>
      <w:pPr>
        <w:sectPr>
          <w:pgSz w:w="11900" w:h="16838" w:orient="portrait"/>
          <w:cols w:equalWidth="0" w:num="1">
            <w:col w:w="11420"/>
          </w:cols>
          <w:pgMar w:left="240" w:top="905" w:right="23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4.4</w:t>
            </w:r>
          </w:p>
        </w:tc>
        <w:tc>
          <w:tcPr>
            <w:tcW w:w="10400" w:type="dxa"/>
            <w:vAlign w:val="bottom"/>
          </w:tcPr>
          <w:p>
            <w:pPr>
              <w:ind w:left="600"/>
              <w:spacing w:after="0"/>
              <w:rPr>
                <w:sz w:val="20"/>
                <w:szCs w:val="20"/>
                <w:color w:val="auto"/>
              </w:rPr>
            </w:pPr>
            <w:r>
              <w:rPr>
                <w:rFonts w:ascii="Arial" w:cs="Arial" w:eastAsia="Arial" w:hAnsi="Arial"/>
                <w:sz w:val="18"/>
                <w:szCs w:val="18"/>
                <w:color w:val="auto"/>
                <w:w w:val="90"/>
              </w:rPr>
              <w:t>Second Supplemental Indenture to the Indenture, dated August 14, 2015, by and between United Community Banks, Inc. and The Bank</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2"/>
              </w:rPr>
              <w:t>of New York Mellon Trust Company, N.A., Trustee (incorporated herein by reference to Exhibit 4.3 to United Community Banks, Inc.’s</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Current Report on Form 8-K, File No. 001-35095, filed with the SEC on August 14, 2015).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4.5</w:t>
            </w:r>
          </w:p>
        </w:tc>
        <w:tc>
          <w:tcPr>
            <w:tcW w:w="10400" w:type="dxa"/>
            <w:vAlign w:val="bottom"/>
          </w:tcPr>
          <w:p>
            <w:pPr>
              <w:ind w:left="600"/>
              <w:spacing w:after="0"/>
              <w:rPr>
                <w:sz w:val="20"/>
                <w:szCs w:val="20"/>
                <w:color w:val="auto"/>
              </w:rPr>
            </w:pPr>
            <w:r>
              <w:rPr>
                <w:rFonts w:ascii="Arial" w:cs="Arial" w:eastAsia="Arial" w:hAnsi="Arial"/>
                <w:sz w:val="18"/>
                <w:szCs w:val="18"/>
                <w:color w:val="auto"/>
                <w:w w:val="91"/>
              </w:rPr>
              <w:t>Form of Indenture for Senior Indebtedness (incorporated herein by reference to Exhibit 4.2 to United Community Banks, Inc.’s Form S-</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3, File No. 333-203548, filed with the SEC on April 21, 2015).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4.6</w:t>
            </w:r>
          </w:p>
        </w:tc>
        <w:tc>
          <w:tcPr>
            <w:tcW w:w="10400" w:type="dxa"/>
            <w:vAlign w:val="bottom"/>
          </w:tcPr>
          <w:p>
            <w:pPr>
              <w:ind w:left="600"/>
              <w:spacing w:after="0"/>
              <w:rPr>
                <w:sz w:val="20"/>
                <w:szCs w:val="20"/>
                <w:color w:val="auto"/>
              </w:rPr>
            </w:pPr>
            <w:r>
              <w:rPr>
                <w:rFonts w:ascii="Arial" w:cs="Arial" w:eastAsia="Arial" w:hAnsi="Arial"/>
                <w:sz w:val="18"/>
                <w:szCs w:val="18"/>
                <w:color w:val="auto"/>
                <w:w w:val="92"/>
              </w:rPr>
              <w:t>Form of Indenture for Subordinated Indebtedness (incorporated herein by reference to Exhibit 4.3 to United Community Banks, Inc.’s</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Form S-3, File No. 333-203548, filed with the SEC on April 21, 2015).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4.7</w:t>
            </w:r>
          </w:p>
        </w:tc>
        <w:tc>
          <w:tcPr>
            <w:tcW w:w="10400" w:type="dxa"/>
            <w:vAlign w:val="bottom"/>
          </w:tcPr>
          <w:p>
            <w:pPr>
              <w:ind w:left="600"/>
              <w:spacing w:after="0"/>
              <w:rPr>
                <w:sz w:val="20"/>
                <w:szCs w:val="20"/>
                <w:color w:val="auto"/>
              </w:rPr>
            </w:pPr>
            <w:r>
              <w:rPr>
                <w:rFonts w:ascii="Arial" w:cs="Arial" w:eastAsia="Arial" w:hAnsi="Arial"/>
                <w:sz w:val="18"/>
                <w:szCs w:val="18"/>
                <w:color w:val="auto"/>
                <w:w w:val="92"/>
              </w:rPr>
              <w:t>Letter Agreement, dated February 6, 2015, between United Community Banks, Inc. and Corsair Georgia, L.P. (incorporated herein by</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5"/>
              </w:rPr>
              <w:t>reference to Exhibit 4 to United Community Banks, Inc.’s Form SC 13D/A, File No. 005-84540, filed with the SEC on February 9,</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2015).</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0400" w:type="dxa"/>
            <w:vAlign w:val="bottom"/>
          </w:tcPr>
          <w:p>
            <w:pPr>
              <w:ind w:left="600"/>
              <w:spacing w:after="0"/>
              <w:rPr>
                <w:sz w:val="20"/>
                <w:szCs w:val="20"/>
                <w:color w:val="auto"/>
              </w:rPr>
            </w:pPr>
            <w:r>
              <w:rPr>
                <w:rFonts w:ascii="Arial" w:cs="Arial" w:eastAsia="Arial" w:hAnsi="Arial"/>
                <w:sz w:val="18"/>
                <w:szCs w:val="18"/>
                <w:color w:val="auto"/>
                <w:w w:val="91"/>
              </w:rPr>
              <w:t>United Community Banks, Inc.’s Profit Sharing Plan, amended and restated as of January 1, 2001 (incorporated herein by reference to</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4"/>
              </w:rPr>
              <w:t>Exhibit 4.3 to United Community Banks, Inc.’s Registration Statement on Form S-8, File No. 333-86876, filed with the SEC on April</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24, 2002).*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10.2</w:t>
            </w:r>
          </w:p>
        </w:tc>
        <w:tc>
          <w:tcPr>
            <w:tcW w:w="10400" w:type="dxa"/>
            <w:vAlign w:val="bottom"/>
          </w:tcPr>
          <w:p>
            <w:pPr>
              <w:ind w:left="600"/>
              <w:spacing w:after="0"/>
              <w:rPr>
                <w:sz w:val="20"/>
                <w:szCs w:val="20"/>
                <w:color w:val="auto"/>
              </w:rPr>
            </w:pPr>
            <w:r>
              <w:rPr>
                <w:rFonts w:ascii="Arial" w:cs="Arial" w:eastAsia="Arial" w:hAnsi="Arial"/>
                <w:sz w:val="18"/>
                <w:szCs w:val="18"/>
                <w:color w:val="auto"/>
                <w:w w:val="97"/>
              </w:rPr>
              <w:t>Amendment No. 1 to United Community Banks, Inc.’s Profit Sharing Plan, dated as of March 15, 2002 (incorporated herein by</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4"/>
              </w:rPr>
              <w:t>reference to Exhibit 4.4 to United Community Banks, Inc.’s Registration Statement on Form S-8, File No. 333-86876, filed with the</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SEC on April 24, 2002).*</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10.3</w:t>
            </w:r>
          </w:p>
        </w:tc>
        <w:tc>
          <w:tcPr>
            <w:tcW w:w="10400" w:type="dxa"/>
            <w:vAlign w:val="bottom"/>
          </w:tcPr>
          <w:p>
            <w:pPr>
              <w:ind w:left="600"/>
              <w:spacing w:after="0"/>
              <w:rPr>
                <w:sz w:val="20"/>
                <w:szCs w:val="20"/>
                <w:color w:val="auto"/>
              </w:rPr>
            </w:pPr>
            <w:r>
              <w:rPr>
                <w:rFonts w:ascii="Arial" w:cs="Arial" w:eastAsia="Arial" w:hAnsi="Arial"/>
                <w:sz w:val="18"/>
                <w:szCs w:val="18"/>
                <w:color w:val="auto"/>
                <w:w w:val="95"/>
              </w:rPr>
              <w:t>Split-Dollar Agreement between United Community Banks, Inc. and Jimmy C. Tallent dated June 1, 1994 (incorporated herein by</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4"/>
              </w:rPr>
              <w:t>reference to Exhibit 10.11 to United Community Banks, Inc.’s Annual Report on Form 10-K for the year ended December 31, 1994,</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File No. 0-21656).*</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0400" w:type="dxa"/>
            <w:vAlign w:val="bottom"/>
          </w:tcPr>
          <w:p>
            <w:pPr>
              <w:ind w:left="600"/>
              <w:spacing w:after="0"/>
              <w:rPr>
                <w:sz w:val="20"/>
                <w:szCs w:val="20"/>
                <w:color w:val="auto"/>
              </w:rPr>
            </w:pPr>
            <w:r>
              <w:rPr>
                <w:rFonts w:ascii="Arial" w:cs="Arial" w:eastAsia="Arial" w:hAnsi="Arial"/>
                <w:sz w:val="18"/>
                <w:szCs w:val="18"/>
                <w:color w:val="auto"/>
                <w:w w:val="92"/>
              </w:rPr>
              <w:t>United Community Banks, Inc.’s Amended and Restated 2000 Key Employee Stock Option Plan (incorporated herein by reference to</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7"/>
              </w:rPr>
              <w:t>Exhibit 10.1 to United Community Banks, Inc.’s Current Report on Form 8-K, File No. 000-21656, filed with the SEC on May 1,</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10.5</w:t>
            </w:r>
          </w:p>
        </w:tc>
        <w:tc>
          <w:tcPr>
            <w:tcW w:w="10400" w:type="dxa"/>
            <w:vAlign w:val="bottom"/>
          </w:tcPr>
          <w:p>
            <w:pPr>
              <w:ind w:left="600"/>
              <w:spacing w:after="0"/>
              <w:rPr>
                <w:sz w:val="20"/>
                <w:szCs w:val="20"/>
                <w:color w:val="auto"/>
              </w:rPr>
            </w:pPr>
            <w:r>
              <w:rPr>
                <w:rFonts w:ascii="Arial" w:cs="Arial" w:eastAsia="Arial" w:hAnsi="Arial"/>
                <w:sz w:val="18"/>
                <w:szCs w:val="18"/>
                <w:color w:val="auto"/>
                <w:w w:val="92"/>
              </w:rPr>
              <w:t>Amendment No. 1 to United Community Banks, Inc.’s Amended and Restated 2000 Key Employee Stock Option Plan dated April 13,</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2"/>
              </w:rPr>
              <w:t>2007 (incorporated herein by reference to Exhibit 10.1 to United Community Banks, Inc.’s Current Report on Form 8-K, File No. 000-</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21656, filed with the SEC on April 13, 2007).*</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10400" w:type="dxa"/>
            <w:vAlign w:val="bottom"/>
          </w:tcPr>
          <w:p>
            <w:pPr>
              <w:ind w:left="600"/>
              <w:spacing w:after="0"/>
              <w:rPr>
                <w:sz w:val="20"/>
                <w:szCs w:val="20"/>
                <w:color w:val="auto"/>
              </w:rPr>
            </w:pPr>
            <w:r>
              <w:rPr>
                <w:rFonts w:ascii="Arial" w:cs="Arial" w:eastAsia="Arial" w:hAnsi="Arial"/>
                <w:sz w:val="18"/>
                <w:szCs w:val="18"/>
                <w:color w:val="auto"/>
                <w:w w:val="92"/>
              </w:rPr>
              <w:t>Form of Amended and Restated Change of Control Severance Agreement by and between United Community Banks, Inc. and Jimmy</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4"/>
              </w:rPr>
              <w:t>C. Tallent, H. Lynn Harton, Rex S. Schuette, and Bill Gilbert (incorporated herein by reference to Exhibit 10.8 to United Community</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1"/>
              </w:rPr>
              <w:t>Banks, Inc.’s Annual Report on Form 10-K for the year ended December 31, 2008, File No. 000-21656, filed with the SEC on February</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27, 2009).*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10.7</w:t>
            </w:r>
          </w:p>
        </w:tc>
        <w:tc>
          <w:tcPr>
            <w:tcW w:w="10400" w:type="dxa"/>
            <w:vAlign w:val="bottom"/>
          </w:tcPr>
          <w:p>
            <w:pPr>
              <w:ind w:left="600"/>
              <w:spacing w:after="0"/>
              <w:rPr>
                <w:sz w:val="20"/>
                <w:szCs w:val="20"/>
                <w:color w:val="auto"/>
              </w:rPr>
            </w:pPr>
            <w:r>
              <w:rPr>
                <w:rFonts w:ascii="Arial" w:cs="Arial" w:eastAsia="Arial" w:hAnsi="Arial"/>
                <w:sz w:val="18"/>
                <w:szCs w:val="18"/>
                <w:color w:val="auto"/>
                <w:w w:val="95"/>
              </w:rPr>
              <w:t>United Community Banks, Inc.’s Amended and Restated Modified Retirement Plan, effective as of January 1, 2005 (incorporated</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1"/>
              </w:rPr>
              <w:t>herein by reference to Exhibit 10.10 to United Community Banks, Inc.’s Annual Report on Form 10-K for the year ended December 31,</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2008, File No. 000-21656, filed with the SEC on February 27, 2009).*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10.8</w:t>
            </w:r>
          </w:p>
        </w:tc>
        <w:tc>
          <w:tcPr>
            <w:tcW w:w="10400" w:type="dxa"/>
            <w:vAlign w:val="bottom"/>
          </w:tcPr>
          <w:p>
            <w:pPr>
              <w:ind w:left="600"/>
              <w:spacing w:after="0"/>
              <w:rPr>
                <w:sz w:val="20"/>
                <w:szCs w:val="20"/>
                <w:color w:val="auto"/>
              </w:rPr>
            </w:pPr>
            <w:r>
              <w:rPr>
                <w:rFonts w:ascii="Arial" w:cs="Arial" w:eastAsia="Arial" w:hAnsi="Arial"/>
                <w:sz w:val="18"/>
                <w:szCs w:val="18"/>
                <w:color w:val="auto"/>
                <w:w w:val="92"/>
              </w:rPr>
              <w:t>United Community Banks, Inc.’s Amended and Restated Deferred Compensation Plan, effective as of January 1, 2005 (incorporated</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1"/>
              </w:rPr>
              <w:t>herein by reference to Exhibit 10.11 to United Community Banks, Inc.’s Annual Report on Form 10-K for the year ended December 31,</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2008, File No. 000-21656, filed with the SEC on February 27, 2009).*</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10.9</w:t>
            </w:r>
          </w:p>
        </w:tc>
        <w:tc>
          <w:tcPr>
            <w:tcW w:w="10400" w:type="dxa"/>
            <w:vAlign w:val="bottom"/>
          </w:tcPr>
          <w:p>
            <w:pPr>
              <w:ind w:left="600"/>
              <w:spacing w:after="0"/>
              <w:rPr>
                <w:sz w:val="20"/>
                <w:szCs w:val="20"/>
                <w:color w:val="auto"/>
              </w:rPr>
            </w:pPr>
            <w:r>
              <w:rPr>
                <w:rFonts w:ascii="Arial" w:cs="Arial" w:eastAsia="Arial" w:hAnsi="Arial"/>
                <w:sz w:val="18"/>
                <w:szCs w:val="18"/>
                <w:color w:val="auto"/>
                <w:w w:val="95"/>
              </w:rPr>
              <w:t>United Community Banks, Inc. Amended and Restated Dividend Reinvestment and Share Purchase Plan (incorporated herein by</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4"/>
              </w:rPr>
              <w:t>reference to Exhibit 4 to United Community Banks, Inc.’s Registration Statement on Form S-3D, File No. 333-197026, filed with the</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SEC on June 25, 2014).*</w:t>
            </w:r>
          </w:p>
        </w:tc>
      </w:tr>
      <w:tr>
        <w:trPr>
          <w:trHeight w:val="418"/>
        </w:trPr>
        <w:tc>
          <w:tcPr>
            <w:tcW w:w="1020" w:type="dxa"/>
            <w:vAlign w:val="bottom"/>
          </w:tcPr>
          <w:p>
            <w:pPr>
              <w:spacing w:after="0"/>
              <w:rPr>
                <w:sz w:val="20"/>
                <w:szCs w:val="20"/>
                <w:color w:val="auto"/>
              </w:rPr>
            </w:pPr>
            <w:r>
              <w:rPr>
                <w:rFonts w:ascii="Arial" w:cs="Arial" w:eastAsia="Arial" w:hAnsi="Arial"/>
                <w:sz w:val="18"/>
                <w:szCs w:val="18"/>
                <w:color w:val="auto"/>
              </w:rPr>
              <w:t>10.10</w:t>
            </w:r>
          </w:p>
        </w:tc>
        <w:tc>
          <w:tcPr>
            <w:tcW w:w="10400" w:type="dxa"/>
            <w:vAlign w:val="bottom"/>
          </w:tcPr>
          <w:p>
            <w:pPr>
              <w:ind w:left="600"/>
              <w:spacing w:after="0"/>
              <w:rPr>
                <w:sz w:val="20"/>
                <w:szCs w:val="20"/>
                <w:color w:val="auto"/>
              </w:rPr>
            </w:pPr>
            <w:r>
              <w:rPr>
                <w:rFonts w:ascii="Arial" w:cs="Arial" w:eastAsia="Arial" w:hAnsi="Arial"/>
                <w:sz w:val="18"/>
                <w:szCs w:val="18"/>
                <w:color w:val="auto"/>
                <w:w w:val="91"/>
              </w:rPr>
              <w:t>United Community Banks, Inc. Employee Stock Purchase Plan, effective as of December 20, 2005 (incorporated herein by reference to</w:t>
            </w:r>
          </w:p>
        </w:tc>
      </w:tr>
      <w:tr>
        <w:trPr>
          <w:trHeight w:val="216"/>
        </w:trPr>
        <w:tc>
          <w:tcPr>
            <w:tcW w:w="1020" w:type="dxa"/>
            <w:vAlign w:val="bottom"/>
          </w:tcPr>
          <w:p>
            <w:pPr>
              <w:spacing w:after="0"/>
              <w:rPr>
                <w:sz w:val="18"/>
                <w:szCs w:val="18"/>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w w:val="98"/>
              </w:rPr>
              <w:t>Exhibit 4 to United Community Banks, Inc.’s Registration Statement on Form S-8, File No. 333-130489, filed with the SEC on</w:t>
            </w:r>
          </w:p>
        </w:tc>
      </w:tr>
      <w:tr>
        <w:trPr>
          <w:trHeight w:val="230"/>
        </w:trPr>
        <w:tc>
          <w:tcPr>
            <w:tcW w:w="1020" w:type="dxa"/>
            <w:vAlign w:val="bottom"/>
          </w:tcPr>
          <w:p>
            <w:pPr>
              <w:spacing w:after="0"/>
              <w:rPr>
                <w:sz w:val="20"/>
                <w:szCs w:val="20"/>
                <w:color w:val="auto"/>
              </w:rPr>
            </w:pPr>
          </w:p>
        </w:tc>
        <w:tc>
          <w:tcPr>
            <w:tcW w:w="10400" w:type="dxa"/>
            <w:vAlign w:val="bottom"/>
          </w:tcPr>
          <w:p>
            <w:pPr>
              <w:ind w:left="600"/>
              <w:spacing w:after="0"/>
              <w:rPr>
                <w:sz w:val="20"/>
                <w:szCs w:val="20"/>
                <w:color w:val="auto"/>
              </w:rPr>
            </w:pPr>
            <w:r>
              <w:rPr>
                <w:rFonts w:ascii="Arial" w:cs="Arial" w:eastAsia="Arial" w:hAnsi="Arial"/>
                <w:sz w:val="18"/>
                <w:szCs w:val="18"/>
                <w:color w:val="auto"/>
              </w:rPr>
              <w:t>December 20, 2005).*</w:t>
            </w:r>
          </w:p>
        </w:tc>
      </w:tr>
      <w:tr>
        <w:trPr>
          <w:trHeight w:val="648"/>
        </w:trPr>
        <w:tc>
          <w:tcPr>
            <w:tcW w:w="1020" w:type="dxa"/>
            <w:vAlign w:val="bottom"/>
            <w:tcBorders>
              <w:bottom w:val="single" w:sz="8" w:color="DCDCDC"/>
            </w:tcBorders>
          </w:tcPr>
          <w:p>
            <w:pPr>
              <w:spacing w:after="0"/>
              <w:rPr>
                <w:sz w:val="24"/>
                <w:szCs w:val="24"/>
                <w:color w:val="auto"/>
              </w:rPr>
            </w:pPr>
          </w:p>
        </w:tc>
        <w:tc>
          <w:tcPr>
            <w:tcW w:w="10400" w:type="dxa"/>
            <w:vAlign w:val="bottom"/>
            <w:tcBorders>
              <w:bottom w:val="single" w:sz="8" w:color="DCDCDC"/>
            </w:tcBorders>
          </w:tcPr>
          <w:p>
            <w:pPr>
              <w:ind w:left="4560"/>
              <w:spacing w:after="0"/>
              <w:rPr>
                <w:sz w:val="20"/>
                <w:szCs w:val="20"/>
                <w:color w:val="auto"/>
              </w:rPr>
            </w:pPr>
            <w:r>
              <w:rPr>
                <w:rFonts w:ascii="Arial" w:cs="Arial" w:eastAsia="Arial" w:hAnsi="Arial"/>
                <w:sz w:val="18"/>
                <w:szCs w:val="18"/>
                <w:color w:val="auto"/>
              </w:rPr>
              <w:t>125</w:t>
            </w:r>
          </w:p>
        </w:tc>
      </w:tr>
    </w:tbl>
    <w:p>
      <w:pPr>
        <w:sectPr>
          <w:pgSz w:w="11900" w:h="16838" w:orient="portrait"/>
          <w:cols w:equalWidth="0" w:num="1">
            <w:col w:w="11420"/>
          </w:cols>
          <w:pgMar w:left="240" w:top="908" w:right="2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10.11</w:t>
            </w:r>
          </w:p>
        </w:tc>
        <w:tc>
          <w:tcPr>
            <w:tcW w:w="10180" w:type="dxa"/>
            <w:vAlign w:val="bottom"/>
          </w:tcPr>
          <w:p>
            <w:pPr>
              <w:ind w:left="380"/>
              <w:spacing w:after="0"/>
              <w:rPr>
                <w:sz w:val="20"/>
                <w:szCs w:val="20"/>
                <w:color w:val="auto"/>
              </w:rPr>
            </w:pPr>
            <w:r>
              <w:rPr>
                <w:rFonts w:ascii="Arial" w:cs="Arial" w:eastAsia="Arial" w:hAnsi="Arial"/>
                <w:sz w:val="18"/>
                <w:szCs w:val="18"/>
                <w:color w:val="auto"/>
                <w:w w:val="94"/>
              </w:rPr>
              <w:t>United Community Banks, Inc.’s Management Incentive Plan, effective as of January 1, 2007 (incorporated herein by reference to</w:t>
            </w:r>
          </w:p>
        </w:tc>
      </w:tr>
      <w:tr>
        <w:trPr>
          <w:trHeight w:val="216"/>
        </w:trPr>
        <w:tc>
          <w:tcPr>
            <w:tcW w:w="1240" w:type="dxa"/>
            <w:vAlign w:val="bottom"/>
          </w:tcPr>
          <w:p>
            <w:pPr>
              <w:spacing w:after="0"/>
              <w:rPr>
                <w:sz w:val="18"/>
                <w:szCs w:val="18"/>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w w:val="97"/>
              </w:rPr>
              <w:t>Exhibit 10.5 to United Community Banks, Inc.’s Current Report on Form 8-K, File No. 000-21656, filed with the SEC on May 1,</w:t>
            </w:r>
          </w:p>
        </w:tc>
      </w:tr>
      <w:tr>
        <w:trPr>
          <w:trHeight w:val="230"/>
        </w:trPr>
        <w:tc>
          <w:tcPr>
            <w:tcW w:w="1240" w:type="dxa"/>
            <w:vAlign w:val="bottom"/>
          </w:tcPr>
          <w:p>
            <w:pPr>
              <w:spacing w:after="0"/>
              <w:rPr>
                <w:sz w:val="20"/>
                <w:szCs w:val="20"/>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rPr>
              <w:t>2007).*</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10.12</w:t>
            </w:r>
          </w:p>
        </w:tc>
        <w:tc>
          <w:tcPr>
            <w:tcW w:w="10180" w:type="dxa"/>
            <w:vAlign w:val="bottom"/>
          </w:tcPr>
          <w:p>
            <w:pPr>
              <w:ind w:left="380"/>
              <w:spacing w:after="0"/>
              <w:rPr>
                <w:sz w:val="20"/>
                <w:szCs w:val="20"/>
                <w:color w:val="auto"/>
              </w:rPr>
            </w:pPr>
            <w:r>
              <w:rPr>
                <w:rFonts w:ascii="Arial" w:cs="Arial" w:eastAsia="Arial" w:hAnsi="Arial"/>
                <w:sz w:val="18"/>
                <w:szCs w:val="18"/>
                <w:color w:val="auto"/>
                <w:w w:val="92"/>
              </w:rPr>
              <w:t>Investment Agreement, dated as of March 16, 2011, between United Community Banks, Inc. and Corsair Georgia, L.P. (incorporated</w:t>
            </w:r>
          </w:p>
        </w:tc>
      </w:tr>
      <w:tr>
        <w:trPr>
          <w:trHeight w:val="216"/>
        </w:trPr>
        <w:tc>
          <w:tcPr>
            <w:tcW w:w="1240" w:type="dxa"/>
            <w:vAlign w:val="bottom"/>
          </w:tcPr>
          <w:p>
            <w:pPr>
              <w:spacing w:after="0"/>
              <w:rPr>
                <w:sz w:val="18"/>
                <w:szCs w:val="18"/>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w w:val="92"/>
              </w:rPr>
              <w:t>herein by reference to Exhibit 10.1 to United Community Banks, Inc.’s Current Report on Form 8-K, File No. 001-35095, filed with the</w:t>
            </w:r>
          </w:p>
        </w:tc>
      </w:tr>
      <w:tr>
        <w:trPr>
          <w:trHeight w:val="230"/>
        </w:trPr>
        <w:tc>
          <w:tcPr>
            <w:tcW w:w="1240" w:type="dxa"/>
            <w:vAlign w:val="bottom"/>
          </w:tcPr>
          <w:p>
            <w:pPr>
              <w:spacing w:after="0"/>
              <w:rPr>
                <w:sz w:val="20"/>
                <w:szCs w:val="20"/>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rPr>
              <w:t>SEC on March 17, 2011).*</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10.13</w:t>
            </w:r>
          </w:p>
        </w:tc>
        <w:tc>
          <w:tcPr>
            <w:tcW w:w="10180" w:type="dxa"/>
            <w:vAlign w:val="bottom"/>
          </w:tcPr>
          <w:p>
            <w:pPr>
              <w:ind w:left="380"/>
              <w:spacing w:after="0"/>
              <w:rPr>
                <w:sz w:val="20"/>
                <w:szCs w:val="20"/>
                <w:color w:val="auto"/>
              </w:rPr>
            </w:pPr>
            <w:r>
              <w:rPr>
                <w:rFonts w:ascii="Arial" w:cs="Arial" w:eastAsia="Arial" w:hAnsi="Arial"/>
                <w:sz w:val="18"/>
                <w:szCs w:val="18"/>
                <w:color w:val="auto"/>
                <w:w w:val="91"/>
              </w:rPr>
              <w:t>Employment Agreement, dated as of September 14, 2012, between United Community Bank and H. Lynn Harton (incorporated herein</w:t>
            </w:r>
          </w:p>
        </w:tc>
      </w:tr>
      <w:tr>
        <w:trPr>
          <w:trHeight w:val="216"/>
        </w:trPr>
        <w:tc>
          <w:tcPr>
            <w:tcW w:w="1240" w:type="dxa"/>
            <w:vAlign w:val="bottom"/>
          </w:tcPr>
          <w:p>
            <w:pPr>
              <w:spacing w:after="0"/>
              <w:rPr>
                <w:sz w:val="18"/>
                <w:szCs w:val="18"/>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w w:val="93"/>
              </w:rPr>
              <w:t>by reference to Exhibit 10.1 to United Community Banks, Inc.’s Current Report on Form 8-K, File No. 001-35095, filed with the SEC</w:t>
            </w:r>
          </w:p>
        </w:tc>
      </w:tr>
      <w:tr>
        <w:trPr>
          <w:trHeight w:val="230"/>
        </w:trPr>
        <w:tc>
          <w:tcPr>
            <w:tcW w:w="1240" w:type="dxa"/>
            <w:vAlign w:val="bottom"/>
          </w:tcPr>
          <w:p>
            <w:pPr>
              <w:spacing w:after="0"/>
              <w:rPr>
                <w:sz w:val="20"/>
                <w:szCs w:val="20"/>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rPr>
              <w:t>on September 19, 2012).*</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10.14</w:t>
            </w:r>
          </w:p>
        </w:tc>
        <w:tc>
          <w:tcPr>
            <w:tcW w:w="10180" w:type="dxa"/>
            <w:vAlign w:val="bottom"/>
          </w:tcPr>
          <w:p>
            <w:pPr>
              <w:ind w:left="380"/>
              <w:spacing w:after="0"/>
              <w:rPr>
                <w:sz w:val="20"/>
                <w:szCs w:val="20"/>
                <w:color w:val="auto"/>
              </w:rPr>
            </w:pPr>
            <w:r>
              <w:rPr>
                <w:rFonts w:ascii="Arial" w:cs="Arial" w:eastAsia="Arial" w:hAnsi="Arial"/>
                <w:sz w:val="18"/>
                <w:szCs w:val="18"/>
                <w:color w:val="auto"/>
                <w:w w:val="93"/>
              </w:rPr>
              <w:t>Credit Agreement dated as of January 7, 2014, between United Community Banks, Inc. and Synovus Bank. (incorporated herein by</w:t>
            </w:r>
          </w:p>
        </w:tc>
      </w:tr>
      <w:tr>
        <w:trPr>
          <w:trHeight w:val="216"/>
        </w:trPr>
        <w:tc>
          <w:tcPr>
            <w:tcW w:w="1240" w:type="dxa"/>
            <w:vAlign w:val="bottom"/>
          </w:tcPr>
          <w:p>
            <w:pPr>
              <w:spacing w:after="0"/>
              <w:rPr>
                <w:sz w:val="18"/>
                <w:szCs w:val="18"/>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w w:val="94"/>
              </w:rPr>
              <w:t>reference to Exhibit 10.21 to United Community Banks, Inc.’s Annual Report on Form 10-K for the year ended December 31, 2013,</w:t>
            </w:r>
          </w:p>
        </w:tc>
      </w:tr>
      <w:tr>
        <w:trPr>
          <w:trHeight w:val="230"/>
        </w:trPr>
        <w:tc>
          <w:tcPr>
            <w:tcW w:w="1240" w:type="dxa"/>
            <w:vAlign w:val="bottom"/>
          </w:tcPr>
          <w:p>
            <w:pPr>
              <w:spacing w:after="0"/>
              <w:rPr>
                <w:sz w:val="20"/>
                <w:szCs w:val="20"/>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rPr>
              <w:t>File No. 001-35095, filed with the SEC on February 28, 2014).</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10.15</w:t>
            </w:r>
          </w:p>
        </w:tc>
        <w:tc>
          <w:tcPr>
            <w:tcW w:w="10180" w:type="dxa"/>
            <w:vAlign w:val="bottom"/>
          </w:tcPr>
          <w:p>
            <w:pPr>
              <w:ind w:left="380"/>
              <w:spacing w:after="0"/>
              <w:rPr>
                <w:sz w:val="20"/>
                <w:szCs w:val="20"/>
                <w:color w:val="auto"/>
              </w:rPr>
            </w:pPr>
            <w:r>
              <w:rPr>
                <w:rFonts w:ascii="Arial" w:cs="Arial" w:eastAsia="Arial" w:hAnsi="Arial"/>
                <w:sz w:val="18"/>
                <w:szCs w:val="18"/>
                <w:color w:val="auto"/>
                <w:w w:val="99"/>
              </w:rPr>
              <w:t>First Amendment to the Credit Agreement, dated June 30, 2015, between United Community Banks, Inc. and Synovus Bank</w:t>
            </w:r>
          </w:p>
        </w:tc>
      </w:tr>
      <w:tr>
        <w:trPr>
          <w:trHeight w:val="216"/>
        </w:trPr>
        <w:tc>
          <w:tcPr>
            <w:tcW w:w="1240" w:type="dxa"/>
            <w:vAlign w:val="bottom"/>
          </w:tcPr>
          <w:p>
            <w:pPr>
              <w:spacing w:after="0"/>
              <w:rPr>
                <w:sz w:val="18"/>
                <w:szCs w:val="18"/>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w w:val="92"/>
              </w:rPr>
              <w:t>(incorporated herein by reference to Exhibit 10.1 to United Community Banks, Inc.’s Current Report on Form 8-K, File No. 001-35095,</w:t>
            </w:r>
          </w:p>
        </w:tc>
      </w:tr>
      <w:tr>
        <w:trPr>
          <w:trHeight w:val="230"/>
        </w:trPr>
        <w:tc>
          <w:tcPr>
            <w:tcW w:w="1240" w:type="dxa"/>
            <w:vAlign w:val="bottom"/>
          </w:tcPr>
          <w:p>
            <w:pPr>
              <w:spacing w:after="0"/>
              <w:rPr>
                <w:sz w:val="20"/>
                <w:szCs w:val="20"/>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rPr>
              <w:t>filed with the SEC on July 6, 2015).</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10.16</w:t>
            </w:r>
          </w:p>
        </w:tc>
        <w:tc>
          <w:tcPr>
            <w:tcW w:w="10180" w:type="dxa"/>
            <w:vAlign w:val="bottom"/>
          </w:tcPr>
          <w:p>
            <w:pPr>
              <w:ind w:left="380"/>
              <w:spacing w:after="0"/>
              <w:rPr>
                <w:sz w:val="20"/>
                <w:szCs w:val="20"/>
                <w:color w:val="auto"/>
              </w:rPr>
            </w:pPr>
            <w:r>
              <w:rPr>
                <w:rFonts w:ascii="Arial" w:cs="Arial" w:eastAsia="Arial" w:hAnsi="Arial"/>
                <w:sz w:val="18"/>
                <w:szCs w:val="18"/>
                <w:color w:val="auto"/>
                <w:w w:val="94"/>
              </w:rPr>
              <w:t>Form of Incentive Stock Option Award Agreement (incorporated herein by reference to Exhibit 10.15 to United Community Banks,</w:t>
            </w:r>
          </w:p>
        </w:tc>
      </w:tr>
      <w:tr>
        <w:trPr>
          <w:trHeight w:val="230"/>
        </w:trPr>
        <w:tc>
          <w:tcPr>
            <w:tcW w:w="1240" w:type="dxa"/>
            <w:vAlign w:val="bottom"/>
          </w:tcPr>
          <w:p>
            <w:pPr>
              <w:spacing w:after="0"/>
              <w:rPr>
                <w:sz w:val="20"/>
                <w:szCs w:val="20"/>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rPr>
              <w:t>Inc.’s Form 10-K for the year ended December 31, 2014, File No. 001-35095, filed with the SEC on February 27, 2015).*</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10.17</w:t>
            </w:r>
          </w:p>
        </w:tc>
        <w:tc>
          <w:tcPr>
            <w:tcW w:w="10180" w:type="dxa"/>
            <w:vAlign w:val="bottom"/>
          </w:tcPr>
          <w:p>
            <w:pPr>
              <w:ind w:left="380"/>
              <w:spacing w:after="0"/>
              <w:rPr>
                <w:sz w:val="20"/>
                <w:szCs w:val="20"/>
                <w:color w:val="auto"/>
              </w:rPr>
            </w:pPr>
            <w:r>
              <w:rPr>
                <w:rFonts w:ascii="Arial" w:cs="Arial" w:eastAsia="Arial" w:hAnsi="Arial"/>
                <w:sz w:val="18"/>
                <w:szCs w:val="18"/>
                <w:color w:val="auto"/>
                <w:w w:val="92"/>
              </w:rPr>
              <w:t>Form of Nonqualified Stock Option Award Agreement (incorporated herein by reference to Exhibit 10.16 to United Community Banks,</w:t>
            </w:r>
          </w:p>
        </w:tc>
      </w:tr>
      <w:tr>
        <w:trPr>
          <w:trHeight w:val="230"/>
        </w:trPr>
        <w:tc>
          <w:tcPr>
            <w:tcW w:w="1240" w:type="dxa"/>
            <w:vAlign w:val="bottom"/>
          </w:tcPr>
          <w:p>
            <w:pPr>
              <w:spacing w:after="0"/>
              <w:rPr>
                <w:sz w:val="20"/>
                <w:szCs w:val="20"/>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rPr>
              <w:t>Inc.’s Form 10-K for the year ended December 31, 2014, File No. 001-35095, filed with the SEC on February 27, 2015).*</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10.18</w:t>
            </w:r>
          </w:p>
        </w:tc>
        <w:tc>
          <w:tcPr>
            <w:tcW w:w="10180" w:type="dxa"/>
            <w:vAlign w:val="bottom"/>
          </w:tcPr>
          <w:p>
            <w:pPr>
              <w:ind w:left="380"/>
              <w:spacing w:after="0"/>
              <w:rPr>
                <w:sz w:val="20"/>
                <w:szCs w:val="20"/>
                <w:color w:val="auto"/>
              </w:rPr>
            </w:pPr>
            <w:r>
              <w:rPr>
                <w:rFonts w:ascii="Arial" w:cs="Arial" w:eastAsia="Arial" w:hAnsi="Arial"/>
                <w:sz w:val="18"/>
                <w:szCs w:val="18"/>
                <w:color w:val="auto"/>
                <w:w w:val="96"/>
              </w:rPr>
              <w:t>Form of Restricted Stock Unit Award Agreement (incorporated herein by reference to Exhibit 10.17 to United Community Banks,</w:t>
            </w:r>
          </w:p>
        </w:tc>
      </w:tr>
      <w:tr>
        <w:trPr>
          <w:trHeight w:val="230"/>
        </w:trPr>
        <w:tc>
          <w:tcPr>
            <w:tcW w:w="1240" w:type="dxa"/>
            <w:vAlign w:val="bottom"/>
          </w:tcPr>
          <w:p>
            <w:pPr>
              <w:spacing w:after="0"/>
              <w:rPr>
                <w:sz w:val="20"/>
                <w:szCs w:val="20"/>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rPr>
              <w:t>Inc.’s Form 10-K for the year ended December 31, 2014, File No. 001-35095, filed with the SEC on February 27, 2015).*</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14</w:t>
            </w:r>
          </w:p>
        </w:tc>
        <w:tc>
          <w:tcPr>
            <w:tcW w:w="10180" w:type="dxa"/>
            <w:vAlign w:val="bottom"/>
          </w:tcPr>
          <w:p>
            <w:pPr>
              <w:ind w:left="380"/>
              <w:spacing w:after="0"/>
              <w:rPr>
                <w:sz w:val="20"/>
                <w:szCs w:val="20"/>
                <w:color w:val="auto"/>
              </w:rPr>
            </w:pPr>
            <w:r>
              <w:rPr>
                <w:rFonts w:ascii="Arial" w:cs="Arial" w:eastAsia="Arial" w:hAnsi="Arial"/>
                <w:sz w:val="18"/>
                <w:szCs w:val="18"/>
                <w:color w:val="auto"/>
                <w:w w:val="93"/>
              </w:rPr>
              <w:t>Code of Ethical Conduct (incorporated herein by reference to Exhibit 14 to United Community Banks, Inc.’s Annual Report on Form</w:t>
            </w:r>
          </w:p>
        </w:tc>
      </w:tr>
      <w:tr>
        <w:trPr>
          <w:trHeight w:val="230"/>
        </w:trPr>
        <w:tc>
          <w:tcPr>
            <w:tcW w:w="1240" w:type="dxa"/>
            <w:vAlign w:val="bottom"/>
          </w:tcPr>
          <w:p>
            <w:pPr>
              <w:spacing w:after="0"/>
              <w:rPr>
                <w:sz w:val="20"/>
                <w:szCs w:val="20"/>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rPr>
              <w:t>10-K for the year ended December 31, 2003, File No. 000-21656, filed with the SEC on March 8, 2004).</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21</w:t>
            </w:r>
          </w:p>
        </w:tc>
        <w:tc>
          <w:tcPr>
            <w:tcW w:w="10180" w:type="dxa"/>
            <w:vAlign w:val="bottom"/>
          </w:tcPr>
          <w:p>
            <w:pPr>
              <w:ind w:left="380"/>
              <w:spacing w:after="0"/>
              <w:rPr>
                <w:sz w:val="20"/>
                <w:szCs w:val="20"/>
                <w:color w:val="auto"/>
              </w:rPr>
            </w:pPr>
            <w:r>
              <w:rPr>
                <w:rFonts w:ascii="Arial" w:cs="Arial" w:eastAsia="Arial" w:hAnsi="Arial"/>
                <w:sz w:val="18"/>
                <w:szCs w:val="18"/>
                <w:color w:val="auto"/>
              </w:rPr>
              <w:t>Subsidiaries of United Community Banks, Inc.</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23</w:t>
            </w:r>
          </w:p>
        </w:tc>
        <w:tc>
          <w:tcPr>
            <w:tcW w:w="10180" w:type="dxa"/>
            <w:vAlign w:val="bottom"/>
          </w:tcPr>
          <w:p>
            <w:pPr>
              <w:ind w:left="3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24</w:t>
            </w:r>
          </w:p>
        </w:tc>
        <w:tc>
          <w:tcPr>
            <w:tcW w:w="10180" w:type="dxa"/>
            <w:vAlign w:val="bottom"/>
          </w:tcPr>
          <w:p>
            <w:pPr>
              <w:ind w:left="380"/>
              <w:spacing w:after="0"/>
              <w:rPr>
                <w:sz w:val="20"/>
                <w:szCs w:val="20"/>
                <w:color w:val="auto"/>
              </w:rPr>
            </w:pPr>
            <w:r>
              <w:rPr>
                <w:rFonts w:ascii="Arial" w:cs="Arial" w:eastAsia="Arial" w:hAnsi="Arial"/>
                <w:sz w:val="18"/>
                <w:szCs w:val="18"/>
                <w:color w:val="auto"/>
              </w:rPr>
              <w:t>Power of Attorney of certain officers and directors of United (included on Signature Page)</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10180" w:type="dxa"/>
            <w:vAlign w:val="bottom"/>
          </w:tcPr>
          <w:p>
            <w:pPr>
              <w:ind w:left="380"/>
              <w:spacing w:after="0"/>
              <w:rPr>
                <w:sz w:val="20"/>
                <w:szCs w:val="20"/>
                <w:color w:val="auto"/>
              </w:rPr>
            </w:pPr>
            <w:r>
              <w:rPr>
                <w:rFonts w:ascii="Arial" w:cs="Arial" w:eastAsia="Arial" w:hAnsi="Arial"/>
                <w:sz w:val="18"/>
                <w:szCs w:val="18"/>
                <w:color w:val="auto"/>
                <w:w w:val="94"/>
              </w:rPr>
              <w:t>Certification by Jimmy C. Tallent, Chairman and Chief Executive Officer of United Community Banks, Inc., as adopted pursuant to</w:t>
            </w:r>
          </w:p>
        </w:tc>
      </w:tr>
      <w:tr>
        <w:trPr>
          <w:trHeight w:val="230"/>
        </w:trPr>
        <w:tc>
          <w:tcPr>
            <w:tcW w:w="1240" w:type="dxa"/>
            <w:vAlign w:val="bottom"/>
          </w:tcPr>
          <w:p>
            <w:pPr>
              <w:spacing w:after="0"/>
              <w:rPr>
                <w:sz w:val="20"/>
                <w:szCs w:val="20"/>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10180" w:type="dxa"/>
            <w:vAlign w:val="bottom"/>
          </w:tcPr>
          <w:p>
            <w:pPr>
              <w:ind w:left="380"/>
              <w:spacing w:after="0"/>
              <w:rPr>
                <w:sz w:val="20"/>
                <w:szCs w:val="20"/>
                <w:color w:val="auto"/>
              </w:rPr>
            </w:pPr>
            <w:r>
              <w:rPr>
                <w:rFonts w:ascii="Arial" w:cs="Arial" w:eastAsia="Arial" w:hAnsi="Arial"/>
                <w:sz w:val="18"/>
                <w:szCs w:val="18"/>
                <w:color w:val="auto"/>
                <w:w w:val="93"/>
              </w:rPr>
              <w:t>Certification by Rex S. Schuette, Executive Vice President and Chief Financial Officer of United Community Banks, Inc., as adopted</w:t>
            </w:r>
          </w:p>
        </w:tc>
      </w:tr>
      <w:tr>
        <w:trPr>
          <w:trHeight w:val="230"/>
        </w:trPr>
        <w:tc>
          <w:tcPr>
            <w:tcW w:w="1240" w:type="dxa"/>
            <w:vAlign w:val="bottom"/>
          </w:tcPr>
          <w:p>
            <w:pPr>
              <w:spacing w:after="0"/>
              <w:rPr>
                <w:sz w:val="20"/>
                <w:szCs w:val="20"/>
                <w:color w:val="auto"/>
              </w:rPr>
            </w:pPr>
          </w:p>
        </w:tc>
        <w:tc>
          <w:tcPr>
            <w:tcW w:w="10180" w:type="dxa"/>
            <w:vAlign w:val="bottom"/>
          </w:tcPr>
          <w:p>
            <w:pPr>
              <w:ind w:left="38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32</w:t>
            </w:r>
          </w:p>
        </w:tc>
        <w:tc>
          <w:tcPr>
            <w:tcW w:w="10180" w:type="dxa"/>
            <w:vAlign w:val="bottom"/>
          </w:tcPr>
          <w:p>
            <w:pPr>
              <w:ind w:left="38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10180" w:type="dxa"/>
            <w:vAlign w:val="bottom"/>
          </w:tcPr>
          <w:p>
            <w:pPr>
              <w:ind w:left="380"/>
              <w:spacing w:after="0"/>
              <w:rPr>
                <w:sz w:val="20"/>
                <w:szCs w:val="20"/>
                <w:color w:val="auto"/>
              </w:rPr>
            </w:pPr>
            <w:r>
              <w:rPr>
                <w:rFonts w:ascii="Arial" w:cs="Arial" w:eastAsia="Arial" w:hAnsi="Arial"/>
                <w:sz w:val="18"/>
                <w:szCs w:val="18"/>
                <w:color w:val="auto"/>
              </w:rPr>
              <w:t>XBRL Report Instance Document</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10180" w:type="dxa"/>
            <w:vAlign w:val="bottom"/>
          </w:tcPr>
          <w:p>
            <w:pPr>
              <w:ind w:left="38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10180" w:type="dxa"/>
            <w:vAlign w:val="bottom"/>
          </w:tcPr>
          <w:p>
            <w:pPr>
              <w:ind w:left="380"/>
              <w:spacing w:after="0"/>
              <w:rPr>
                <w:sz w:val="20"/>
                <w:szCs w:val="20"/>
                <w:color w:val="auto"/>
              </w:rPr>
            </w:pPr>
            <w:r>
              <w:rPr>
                <w:rFonts w:ascii="Arial" w:cs="Arial" w:eastAsia="Arial" w:hAnsi="Arial"/>
                <w:sz w:val="18"/>
                <w:szCs w:val="18"/>
                <w:color w:val="auto"/>
              </w:rPr>
              <w:t>XBRL Taxonomy Calculation Linkbase Document</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10180" w:type="dxa"/>
            <w:vAlign w:val="bottom"/>
          </w:tcPr>
          <w:p>
            <w:pPr>
              <w:ind w:left="380"/>
              <w:spacing w:after="0"/>
              <w:rPr>
                <w:sz w:val="20"/>
                <w:szCs w:val="20"/>
                <w:color w:val="auto"/>
              </w:rPr>
            </w:pPr>
            <w:r>
              <w:rPr>
                <w:rFonts w:ascii="Arial" w:cs="Arial" w:eastAsia="Arial" w:hAnsi="Arial"/>
                <w:sz w:val="18"/>
                <w:szCs w:val="18"/>
                <w:color w:val="auto"/>
              </w:rPr>
              <w:t>XBRL Taxonomy Label Linkbase Document</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tcPr>
          <w:p>
            <w:pPr>
              <w:ind w:left="380"/>
              <w:spacing w:after="0"/>
              <w:rPr>
                <w:sz w:val="20"/>
                <w:szCs w:val="20"/>
                <w:color w:val="auto"/>
              </w:rPr>
            </w:pPr>
            <w:r>
              <w:rPr>
                <w:rFonts w:ascii="Arial" w:cs="Arial" w:eastAsia="Arial" w:hAnsi="Arial"/>
                <w:sz w:val="18"/>
                <w:szCs w:val="18"/>
                <w:color w:val="auto"/>
              </w:rPr>
              <w:t>XBRL Presentation Linkbase Document</w:t>
            </w:r>
          </w:p>
        </w:tc>
      </w:tr>
      <w:tr>
        <w:trPr>
          <w:trHeight w:val="432"/>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10180" w:type="dxa"/>
            <w:vAlign w:val="bottom"/>
          </w:tcPr>
          <w:p>
            <w:pPr>
              <w:ind w:left="380"/>
              <w:spacing w:after="0"/>
              <w:rPr>
                <w:sz w:val="20"/>
                <w:szCs w:val="20"/>
                <w:color w:val="auto"/>
              </w:rPr>
            </w:pPr>
            <w:r>
              <w:rPr>
                <w:rFonts w:ascii="Arial" w:cs="Arial" w:eastAsia="Arial" w:hAnsi="Arial"/>
                <w:sz w:val="18"/>
                <w:szCs w:val="18"/>
                <w:color w:val="auto"/>
              </w:rPr>
              <w:t>XBRL Taxonomy Extension Definition Linkbase Document</w:t>
            </w:r>
          </w:p>
        </w:tc>
      </w:tr>
    </w:tbl>
    <w:p>
      <w:pPr>
        <w:spacing w:after="0" w:line="202" w:lineRule="exact"/>
        <w:rPr>
          <w:sz w:val="20"/>
          <w:szCs w:val="20"/>
          <w:color w:val="auto"/>
        </w:rPr>
      </w:pPr>
    </w:p>
    <w:p>
      <w:pPr>
        <w:ind w:left="1160" w:right="20" w:hanging="1152"/>
        <w:spacing w:after="0" w:line="258" w:lineRule="auto"/>
        <w:tabs>
          <w:tab w:leader="none" w:pos="11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Annual Report on Form 10-K pursuant to Item 15(b) of Form 10-K.</w:t>
      </w:r>
    </w:p>
    <w:p>
      <w:pPr>
        <w:spacing w:after="0" w:line="1" w:lineRule="exact"/>
        <w:rPr>
          <w:sz w:val="20"/>
          <w:szCs w:val="20"/>
          <w:color w:val="auto"/>
        </w:rPr>
      </w:pPr>
    </w:p>
    <w:p>
      <w:pPr>
        <w:ind w:left="1160" w:hanging="1152"/>
        <w:spacing w:after="0"/>
        <w:tabs>
          <w:tab w:leader="none" w:pos="11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United has duly caused this annual report on Form 10-K, to be signed on its behalf by the undersigned, thereunto duly authorized, in the City of Blairsville, State of Georgia, on the 26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February, 2016.</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rPr>
              <w:t>UNITED COMMUNITY BANKS, INC.</w:t>
            </w:r>
          </w:p>
        </w:tc>
      </w:t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60" w:type="dxa"/>
            <w:vAlign w:val="bottom"/>
            <w:gridSpan w:val="2"/>
          </w:tcPr>
          <w:p>
            <w:pPr>
              <w:jc w:val="center"/>
              <w:ind w:right="5070"/>
              <w:spacing w:after="0"/>
              <w:rPr>
                <w:sz w:val="20"/>
                <w:szCs w:val="20"/>
                <w:color w:val="auto"/>
              </w:rPr>
            </w:pPr>
            <w:r>
              <w:rPr>
                <w:rFonts w:ascii="Arial" w:cs="Arial" w:eastAsia="Arial" w:hAnsi="Arial"/>
                <w:sz w:val="18"/>
                <w:szCs w:val="18"/>
                <w:b w:val="1"/>
                <w:bCs w:val="1"/>
                <w:color w:val="auto"/>
                <w:w w:val="93"/>
              </w:rPr>
              <w:t>(Registrant)</w:t>
            </w:r>
          </w:p>
        </w:tc>
      </w:tr>
      <w:tr>
        <w:trPr>
          <w:trHeight w:val="453"/>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 Jimmy C. Tallent</w:t>
            </w:r>
          </w:p>
        </w:tc>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360" w:type="dxa"/>
            <w:vAlign w:val="bottom"/>
          </w:tcPr>
          <w:p>
            <w:pPr>
              <w:ind w:left="160"/>
              <w:spacing w:after="0"/>
              <w:rPr>
                <w:sz w:val="20"/>
                <w:szCs w:val="20"/>
                <w:color w:val="auto"/>
              </w:rPr>
            </w:pPr>
            <w:r>
              <w:rPr>
                <w:rFonts w:ascii="Arial" w:cs="Arial" w:eastAsia="Arial" w:hAnsi="Arial"/>
                <w:sz w:val="18"/>
                <w:szCs w:val="18"/>
                <w:b w:val="1"/>
                <w:bCs w:val="1"/>
                <w:i w:val="1"/>
                <w:iCs w:val="1"/>
                <w:color w:val="auto"/>
              </w:rPr>
              <w:t>/s/ Rex S. Schuette</w:t>
            </w:r>
          </w:p>
        </w:tc>
      </w:tr>
      <w:tr>
        <w:trPr>
          <w:trHeight w:val="202"/>
        </w:trPr>
        <w:tc>
          <w:tcPr>
            <w:tcW w:w="20" w:type="dxa"/>
            <w:vAlign w:val="bottom"/>
          </w:tcPr>
          <w:p>
            <w:pPr>
              <w:spacing w:after="0"/>
              <w:rPr>
                <w:sz w:val="17"/>
                <w:szCs w:val="17"/>
                <w:color w:val="auto"/>
              </w:rPr>
            </w:pPr>
          </w:p>
        </w:tc>
        <w:tc>
          <w:tcPr>
            <w:tcW w:w="3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Jimmy C. Tallent</w:t>
            </w:r>
          </w:p>
        </w:tc>
        <w:tc>
          <w:tcPr>
            <w:tcW w:w="1460" w:type="dxa"/>
            <w:vAlign w:val="bottom"/>
            <w:tcBorders>
              <w:top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5360" w:type="dxa"/>
            <w:vAlign w:val="bottom"/>
            <w:tcBorders>
              <w:top w:val="single" w:sz="8" w:color="auto"/>
            </w:tcBorders>
          </w:tcPr>
          <w:p>
            <w:pPr>
              <w:ind w:left="160"/>
              <w:spacing w:after="0" w:line="201" w:lineRule="exact"/>
              <w:rPr>
                <w:sz w:val="20"/>
                <w:szCs w:val="20"/>
                <w:color w:val="auto"/>
              </w:rPr>
            </w:pPr>
            <w:r>
              <w:rPr>
                <w:rFonts w:ascii="Arial" w:cs="Arial" w:eastAsia="Arial" w:hAnsi="Arial"/>
                <w:sz w:val="18"/>
                <w:szCs w:val="18"/>
                <w:color w:val="auto"/>
              </w:rPr>
              <w:t>Rex S. Schuette</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Chairman and Chief Executive Officer</w:t>
            </w:r>
          </w:p>
        </w:tc>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(Principal Financial Officer)</w:t>
            </w:r>
          </w:p>
        </w:tc>
      </w:tr>
      <w:tr>
        <w:trPr>
          <w:trHeight w:val="453"/>
        </w:trPr>
        <w:tc>
          <w:tcPr>
            <w:tcW w:w="3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/s/ Alan H. Kumler</w:t>
            </w:r>
          </w:p>
        </w:tc>
        <w:tc>
          <w:tcPr>
            <w:tcW w:w="146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5360" w:type="dxa"/>
            <w:vAlign w:val="bottom"/>
          </w:tcPr>
          <w:p>
            <w:pPr>
              <w:spacing w:after="0"/>
              <w:rPr>
                <w:sz w:val="24"/>
                <w:szCs w:val="24"/>
                <w:color w:val="auto"/>
              </w:rPr>
            </w:pPr>
          </w:p>
        </w:tc>
      </w:tr>
      <w:tr>
        <w:trPr>
          <w:trHeight w:val="202"/>
        </w:trPr>
        <w:tc>
          <w:tcPr>
            <w:tcW w:w="3700" w:type="dxa"/>
            <w:vAlign w:val="bottom"/>
            <w:gridSpan w:val="2"/>
          </w:tcPr>
          <w:p>
            <w:pPr>
              <w:spacing w:after="0" w:line="201" w:lineRule="exact"/>
              <w:rPr>
                <w:sz w:val="20"/>
                <w:szCs w:val="20"/>
                <w:color w:val="auto"/>
              </w:rPr>
            </w:pPr>
            <w:r>
              <w:rPr>
                <w:rFonts w:ascii="Arial" w:cs="Arial" w:eastAsia="Arial" w:hAnsi="Arial"/>
                <w:sz w:val="18"/>
                <w:szCs w:val="18"/>
                <w:color w:val="auto"/>
              </w:rPr>
              <w:t>Alan H. Kumler</w:t>
            </w:r>
          </w:p>
        </w:tc>
        <w:tc>
          <w:tcPr>
            <w:tcW w:w="1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360" w:type="dxa"/>
            <w:vAlign w:val="bottom"/>
          </w:tcPr>
          <w:p>
            <w:pPr>
              <w:spacing w:after="0"/>
              <w:rPr>
                <w:sz w:val="17"/>
                <w:szCs w:val="17"/>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w w:val="97"/>
              </w:rPr>
              <w:t>Senior Vice President, Chief Accounting Officer</w:t>
            </w:r>
          </w:p>
        </w:tc>
        <w:tc>
          <w:tcPr>
            <w:tcW w:w="1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360" w:type="dxa"/>
            <w:vAlign w:val="bottom"/>
          </w:tcPr>
          <w:p>
            <w:pPr>
              <w:spacing w:after="0"/>
              <w:rPr>
                <w:sz w:val="18"/>
                <w:szCs w:val="18"/>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1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3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7720" w:type="dxa"/>
            <w:vAlign w:val="bottom"/>
            <w:gridSpan w:val="3"/>
          </w:tcPr>
          <w:p>
            <w:pPr>
              <w:jc w:val="center"/>
              <w:ind w:right="3610"/>
              <w:spacing w:after="0"/>
              <w:rPr>
                <w:sz w:val="20"/>
                <w:szCs w:val="20"/>
                <w:color w:val="auto"/>
              </w:rPr>
            </w:pPr>
            <w:r>
              <w:rPr>
                <w:rFonts w:ascii="Arial" w:cs="Arial" w:eastAsia="Arial" w:hAnsi="Arial"/>
                <w:sz w:val="18"/>
                <w:szCs w:val="18"/>
                <w:b w:val="1"/>
                <w:bCs w:val="1"/>
                <w:color w:val="auto"/>
                <w:w w:val="99"/>
              </w:rPr>
              <w:t>POWER OF ATTORNEY AND SIGNATURES</w:t>
            </w:r>
          </w:p>
        </w:tc>
      </w:tr>
    </w:tbl>
    <w:p>
      <w:pPr>
        <w:spacing w:after="0" w:line="202"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Jimmy C. Tallent and W.C. Nelson, Jr., or either of them, as attorney-in-fact, with each having the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United and in the capacities set forth and on the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2016.</w:t>
      </w:r>
    </w:p>
    <w:p>
      <w:pPr>
        <w:sectPr>
          <w:pgSz w:w="11900" w:h="16838" w:orient="portrait"/>
          <w:cols w:equalWidth="0" w:num="1">
            <w:col w:w="11420"/>
          </w:cols>
          <w:pgMar w:left="240" w:top="904" w:right="239" w:bottom="1440" w:gutter="0" w:footer="0" w:header="0"/>
        </w:sectPr>
      </w:pP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6707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26707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right="1660"/>
        <w:spacing w:after="0" w:line="261"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6707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right="2000"/>
        <w:spacing w:after="0" w:line="292" w:lineRule="auto"/>
        <w:rPr>
          <w:sz w:val="20"/>
          <w:szCs w:val="20"/>
          <w:color w:val="auto"/>
        </w:rPr>
      </w:pPr>
      <w:r>
        <w:rPr>
          <w:rFonts w:ascii="Arial" w:cs="Arial" w:eastAsia="Arial" w:hAnsi="Arial"/>
          <w:sz w:val="18"/>
          <w:szCs w:val="18"/>
          <w:color w:val="auto"/>
        </w:rPr>
        <w:t xml:space="preserve">Senior Vice President, Chief Accounting Officer </w:t>
      </w:r>
      <w:r>
        <w:rPr>
          <w:rFonts w:ascii="Arial" w:cs="Arial" w:eastAsia="Arial" w:hAnsi="Arial"/>
          <w:sz w:val="18"/>
          <w:szCs w:val="18"/>
          <w:b w:val="1"/>
          <w:bCs w:val="1"/>
          <w:color w:val="auto"/>
        </w:rPr>
        <w:t>(Principal Accounting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6707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H. Lynn Harton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Operating Officer and 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W.C. Nelson,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6707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W. C. Nelson, Jr.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Lead Independent 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6707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Robert Blalock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L.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23495</wp:posOffset>
            </wp:positionV>
            <wp:extent cx="340487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L. Cathy Cox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Kenneth L. Daniels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23495</wp:posOffset>
            </wp:positionV>
            <wp:extent cx="340487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Kenneth L. Daniels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Steven J.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23495</wp:posOffset>
            </wp:positionV>
            <wp:extent cx="340487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Steven J. Goldstein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Nicholas B. Paumgarten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45085</wp:posOffset>
            </wp:positionV>
            <wp:extent cx="340487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Nicholas B. Paumgarten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 Thomas A. Richlovsky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39370</wp:posOffset>
            </wp:positionV>
            <wp:extent cx="340487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Thomas A. Richlovsky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31750</wp:posOffset>
            </wp:positionV>
            <wp:extent cx="340487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Tim Wallis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888" w:lineRule="exact"/>
        <w:rPr>
          <w:sz w:val="20"/>
          <w:szCs w:val="20"/>
          <w:color w:val="auto"/>
        </w:rPr>
      </w:pPr>
    </w:p>
    <w:p>
      <w:pPr>
        <w:sectPr>
          <w:pgSz w:w="11900" w:h="16838" w:orient="portrait"/>
          <w:cols w:equalWidth="0" w:num="2">
            <w:col w:w="5500" w:space="720"/>
            <w:col w:w="5200"/>
          </w:cols>
          <w:pgMar w:left="240" w:top="904" w:right="239" w:bottom="1440" w:gutter="0" w:footer="0" w:header="0"/>
          <w:type w:val="continuous"/>
        </w:sect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720" w:type="dxa"/>
            <w:vAlign w:val="bottom"/>
            <w:gridSpan w:val="2"/>
          </w:tcPr>
          <w:p>
            <w:pPr>
              <w:jc w:val="center"/>
              <w:ind w:right="320"/>
              <w:spacing w:after="0"/>
              <w:rPr>
                <w:sz w:val="20"/>
                <w:szCs w:val="20"/>
                <w:color w:val="auto"/>
              </w:rPr>
            </w:pPr>
            <w:r>
              <w:rPr>
                <w:rFonts w:ascii="Arial" w:cs="Arial" w:eastAsia="Arial" w:hAnsi="Arial"/>
                <w:sz w:val="14"/>
                <w:szCs w:val="14"/>
                <w:color w:val="auto"/>
              </w:rPr>
              <w:t>Exhibit No.</w:t>
            </w:r>
          </w:p>
        </w:tc>
        <w:tc>
          <w:tcPr>
            <w:tcW w:w="9700" w:type="dxa"/>
            <w:vAlign w:val="bottom"/>
          </w:tcPr>
          <w:p>
            <w:pPr>
              <w:spacing w:after="0"/>
              <w:rPr>
                <w:sz w:val="20"/>
                <w:szCs w:val="20"/>
                <w:color w:val="auto"/>
              </w:rPr>
            </w:pPr>
            <w:r>
              <w:rPr>
                <w:rFonts w:ascii="Arial" w:cs="Arial" w:eastAsia="Arial" w:hAnsi="Arial"/>
                <w:sz w:val="14"/>
                <w:szCs w:val="14"/>
                <w:color w:val="auto"/>
              </w:rPr>
              <w:t>Description</w:t>
            </w:r>
          </w:p>
        </w:tc>
      </w:tr>
      <w:tr>
        <w:trPr>
          <w:trHeight w:val="432"/>
        </w:trPr>
        <w:tc>
          <w:tcPr>
            <w:tcW w:w="1380" w:type="dxa"/>
            <w:vAlign w:val="bottom"/>
            <w:tcBorders>
              <w:top w:val="single" w:sz="8" w:color="auto"/>
            </w:tcBorders>
          </w:tcPr>
          <w:p>
            <w:pPr>
              <w:jc w:val="right"/>
              <w:ind w:right="519"/>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24"/>
                <w:szCs w:val="24"/>
                <w:color w:val="auto"/>
              </w:rPr>
            </w:pPr>
          </w:p>
        </w:tc>
        <w:tc>
          <w:tcPr>
            <w:tcW w:w="9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Subsidiaries of United.</w:t>
            </w:r>
          </w:p>
        </w:tc>
      </w:tr>
    </w:tbl>
    <w:p>
      <w:pPr>
        <w:spacing w:after="0" w:line="202" w:lineRule="exact"/>
        <w:rPr>
          <w:sz w:val="20"/>
          <w:szCs w:val="20"/>
          <w:color w:val="auto"/>
        </w:rPr>
      </w:pPr>
    </w:p>
    <w:p>
      <w:pPr>
        <w:ind w:left="1720" w:hanging="1113"/>
        <w:spacing w:after="0"/>
        <w:tabs>
          <w:tab w:leader="none" w:pos="1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rFonts w:ascii="Arial" w:cs="Arial" w:eastAsia="Arial" w:hAnsi="Arial"/>
          <w:sz w:val="18"/>
          <w:szCs w:val="18"/>
          <w:color w:val="auto"/>
        </w:rPr>
      </w:pPr>
    </w:p>
    <w:p>
      <w:pPr>
        <w:ind w:left="1720" w:hanging="1113"/>
        <w:spacing w:after="0"/>
        <w:tabs>
          <w:tab w:leader="none" w:pos="17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Power of Attorney of certain officers and directors of United (included on Signature Page).</w:t>
      </w:r>
    </w:p>
    <w:p>
      <w:pPr>
        <w:spacing w:after="0" w:line="225"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31.1</w:t>
            </w:r>
          </w:p>
        </w:tc>
        <w:tc>
          <w:tcPr>
            <w:tcW w:w="10040" w:type="dxa"/>
            <w:vAlign w:val="bottom"/>
          </w:tcPr>
          <w:p>
            <w:pPr>
              <w:ind w:left="440"/>
              <w:spacing w:after="0"/>
              <w:rPr>
                <w:sz w:val="20"/>
                <w:szCs w:val="20"/>
                <w:color w:val="auto"/>
              </w:rPr>
            </w:pPr>
            <w:r>
              <w:rPr>
                <w:rFonts w:ascii="Arial" w:cs="Arial" w:eastAsia="Arial" w:hAnsi="Arial"/>
                <w:sz w:val="18"/>
                <w:szCs w:val="18"/>
                <w:color w:val="auto"/>
                <w:w w:val="92"/>
              </w:rPr>
              <w:t>Certification by Jimmy C. Tallent, Chairman and Chief Executive Officer of United Community Banks, Inc., as adopted pursuant to</w:t>
            </w:r>
          </w:p>
        </w:tc>
      </w:tr>
      <w:tr>
        <w:trPr>
          <w:trHeight w:val="230"/>
        </w:trPr>
        <w:tc>
          <w:tcPr>
            <w:tcW w:w="740" w:type="dxa"/>
            <w:vAlign w:val="bottom"/>
          </w:tcPr>
          <w:p>
            <w:pPr>
              <w:spacing w:after="0"/>
              <w:rPr>
                <w:sz w:val="20"/>
                <w:szCs w:val="20"/>
                <w:color w:val="auto"/>
              </w:rPr>
            </w:pPr>
          </w:p>
        </w:tc>
        <w:tc>
          <w:tcPr>
            <w:tcW w:w="10040" w:type="dxa"/>
            <w:vAlign w:val="bottom"/>
          </w:tcPr>
          <w:p>
            <w:pPr>
              <w:ind w:left="44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31.2</w:t>
            </w:r>
          </w:p>
        </w:tc>
        <w:tc>
          <w:tcPr>
            <w:tcW w:w="10040" w:type="dxa"/>
            <w:vAlign w:val="bottom"/>
          </w:tcPr>
          <w:p>
            <w:pPr>
              <w:ind w:left="440"/>
              <w:spacing w:after="0"/>
              <w:rPr>
                <w:sz w:val="20"/>
                <w:szCs w:val="20"/>
                <w:color w:val="auto"/>
              </w:rPr>
            </w:pPr>
            <w:r>
              <w:rPr>
                <w:rFonts w:ascii="Arial" w:cs="Arial" w:eastAsia="Arial" w:hAnsi="Arial"/>
                <w:sz w:val="18"/>
                <w:szCs w:val="18"/>
                <w:color w:val="auto"/>
                <w:w w:val="91"/>
              </w:rPr>
              <w:t>Certification by Rex S. Schuette, Executive Vice President and Chief Financial Officer of United Community Banks, Inc., as adopted</w:t>
            </w:r>
          </w:p>
        </w:tc>
      </w:tr>
      <w:tr>
        <w:trPr>
          <w:trHeight w:val="230"/>
        </w:trPr>
        <w:tc>
          <w:tcPr>
            <w:tcW w:w="740" w:type="dxa"/>
            <w:vAlign w:val="bottom"/>
          </w:tcPr>
          <w:p>
            <w:pPr>
              <w:spacing w:after="0"/>
              <w:rPr>
                <w:sz w:val="20"/>
                <w:szCs w:val="20"/>
                <w:color w:val="auto"/>
              </w:rPr>
            </w:pPr>
          </w:p>
        </w:tc>
        <w:tc>
          <w:tcPr>
            <w:tcW w:w="10040" w:type="dxa"/>
            <w:vAlign w:val="bottom"/>
          </w:tcPr>
          <w:p>
            <w:pPr>
              <w:ind w:left="440"/>
              <w:spacing w:after="0"/>
              <w:rPr>
                <w:sz w:val="20"/>
                <w:szCs w:val="20"/>
                <w:color w:val="auto"/>
              </w:rPr>
            </w:pPr>
            <w:r>
              <w:rPr>
                <w:rFonts w:ascii="Arial" w:cs="Arial" w:eastAsia="Arial" w:hAnsi="Arial"/>
                <w:sz w:val="18"/>
                <w:szCs w:val="18"/>
                <w:color w:val="auto"/>
              </w:rPr>
              <w:t>pursuant to Section 302 of the Sarbanes-Oxley Act of 2002.</w:t>
            </w:r>
          </w:p>
        </w:tc>
      </w:tr>
    </w:tbl>
    <w:p>
      <w:pPr>
        <w:spacing w:after="0" w:line="202" w:lineRule="exact"/>
        <w:rPr>
          <w:sz w:val="20"/>
          <w:szCs w:val="20"/>
          <w:color w:val="auto"/>
        </w:rPr>
      </w:pPr>
    </w:p>
    <w:p>
      <w:pPr>
        <w:ind w:left="5580" w:right="920" w:hanging="4973"/>
        <w:spacing w:after="0" w:line="778" w:lineRule="auto"/>
        <w:tabs>
          <w:tab w:leader="none" w:pos="17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4"/>
        </w:trPr>
        <w:tc>
          <w:tcPr>
            <w:tcW w:w="8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tcPr>
          <w:p>
            <w:pPr>
              <w:ind w:left="1280"/>
              <w:spacing w:after="0"/>
              <w:rPr>
                <w:sz w:val="20"/>
                <w:szCs w:val="20"/>
                <w:color w:val="auto"/>
              </w:rPr>
            </w:pPr>
            <w:r>
              <w:rPr>
                <w:rFonts w:ascii="Arial" w:cs="Arial" w:eastAsia="Arial" w:hAnsi="Arial"/>
                <w:sz w:val="18"/>
                <w:szCs w:val="18"/>
                <w:b w:val="1"/>
                <w:bCs w:val="1"/>
                <w:color w:val="auto"/>
              </w:rPr>
              <w:t>EXHIBIT 21</w:t>
            </w: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color w:val="auto"/>
              </w:rPr>
              <w:t>Subsidiaries of United Community Banks, Inc.</w:t>
            </w:r>
          </w:p>
        </w:tc>
        <w:tc>
          <w:tcPr>
            <w:tcW w:w="2280" w:type="dxa"/>
            <w:vAlign w:val="bottom"/>
          </w:tcPr>
          <w:p>
            <w:pPr>
              <w:spacing w:after="0"/>
              <w:rPr>
                <w:sz w:val="24"/>
                <w:szCs w:val="24"/>
                <w:color w:val="auto"/>
              </w:rPr>
            </w:pPr>
          </w:p>
        </w:tc>
      </w:tr>
      <w:tr>
        <w:trPr>
          <w:trHeight w:val="453"/>
        </w:trPr>
        <w:tc>
          <w:tcPr>
            <w:tcW w:w="8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Subsidiary</w:t>
            </w:r>
          </w:p>
        </w:tc>
        <w:tc>
          <w:tcPr>
            <w:tcW w:w="220" w:type="dxa"/>
            <w:vAlign w:val="bottom"/>
          </w:tcPr>
          <w:p>
            <w:pPr>
              <w:spacing w:after="0"/>
              <w:rPr>
                <w:sz w:val="24"/>
                <w:szCs w:val="2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State of Organization</w:t>
            </w: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color w:val="auto"/>
              </w:rPr>
              <w:t>United Community Bank</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140" w:type="dxa"/>
            <w:vAlign w:val="bottom"/>
            <w:gridSpan w:val="2"/>
          </w:tcPr>
          <w:p>
            <w:pPr>
              <w:ind w:left="460"/>
              <w:spacing w:after="0"/>
              <w:rPr>
                <w:sz w:val="20"/>
                <w:szCs w:val="20"/>
                <w:color w:val="auto"/>
              </w:rPr>
            </w:pPr>
            <w:r>
              <w:rPr>
                <w:rFonts w:ascii="Arial" w:cs="Arial" w:eastAsia="Arial" w:hAnsi="Arial"/>
                <w:sz w:val="18"/>
                <w:szCs w:val="18"/>
                <w:color w:val="auto"/>
              </w:rPr>
              <w:t>United Community Insurance Services,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140" w:type="dxa"/>
            <w:vAlign w:val="bottom"/>
            <w:gridSpan w:val="2"/>
          </w:tcPr>
          <w:p>
            <w:pPr>
              <w:ind w:left="460"/>
              <w:spacing w:after="0"/>
              <w:rPr>
                <w:sz w:val="20"/>
                <w:szCs w:val="20"/>
                <w:color w:val="auto"/>
              </w:rPr>
            </w:pPr>
            <w:r>
              <w:rPr>
                <w:rFonts w:ascii="Arial" w:cs="Arial" w:eastAsia="Arial" w:hAnsi="Arial"/>
                <w:sz w:val="18"/>
                <w:szCs w:val="18"/>
                <w:color w:val="auto"/>
              </w:rPr>
              <w:t>Union Holdings,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432"/>
        </w:trPr>
        <w:tc>
          <w:tcPr>
            <w:tcW w:w="9140" w:type="dxa"/>
            <w:vAlign w:val="bottom"/>
            <w:gridSpan w:val="2"/>
          </w:tcPr>
          <w:p>
            <w:pPr>
              <w:ind w:left="980"/>
              <w:spacing w:after="0"/>
              <w:rPr>
                <w:sz w:val="20"/>
                <w:szCs w:val="20"/>
                <w:color w:val="auto"/>
              </w:rPr>
            </w:pPr>
            <w:r>
              <w:rPr>
                <w:rFonts w:ascii="Arial" w:cs="Arial" w:eastAsia="Arial" w:hAnsi="Arial"/>
                <w:sz w:val="18"/>
                <w:szCs w:val="18"/>
                <w:color w:val="auto"/>
              </w:rPr>
              <w:t>Union Investments,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United Community Mortgage Services,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United Community Development Corporation</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UCB North Georgia Properties,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UCB Metro Properties,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UCB Coastal Properties,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UCB Tennessee Properties,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80"/>
              </w:rPr>
              <w:t>Tennessee</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UCB North Carolina Properties,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North Carolina</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UCB South Carolina Properties,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South Carolina</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UCB Real Estate Investments,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UCB Metro Real Estate Investments,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UCBI Georgia Credits LLC</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Georgia</w:t>
            </w:r>
          </w:p>
        </w:tc>
      </w:tr>
      <w:tr>
        <w:trPr>
          <w:trHeight w:val="432"/>
        </w:trPr>
        <w:tc>
          <w:tcPr>
            <w:tcW w:w="9140" w:type="dxa"/>
            <w:vAlign w:val="bottom"/>
            <w:gridSpan w:val="2"/>
          </w:tcPr>
          <w:p>
            <w:pPr>
              <w:ind w:left="500"/>
              <w:spacing w:after="0"/>
              <w:rPr>
                <w:sz w:val="20"/>
                <w:szCs w:val="20"/>
                <w:color w:val="auto"/>
              </w:rPr>
            </w:pPr>
            <w:r>
              <w:rPr>
                <w:rFonts w:ascii="Arial" w:cs="Arial" w:eastAsia="Arial" w:hAnsi="Arial"/>
                <w:sz w:val="18"/>
                <w:szCs w:val="18"/>
                <w:color w:val="auto"/>
              </w:rPr>
              <w:t>United Community Payment Systems, LLC (50% owned by United Community Bank)</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color w:val="auto"/>
              </w:rPr>
              <w:t>United Community Statutory Trust III</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color w:val="auto"/>
              </w:rPr>
              <w:t>Southern Bancorp Capital Trust I</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432"/>
        </w:trPr>
        <w:tc>
          <w:tcPr>
            <w:tcW w:w="9140" w:type="dxa"/>
            <w:vAlign w:val="bottom"/>
            <w:gridSpan w:val="2"/>
          </w:tcPr>
          <w:p>
            <w:pPr>
              <w:spacing w:after="0"/>
              <w:rPr>
                <w:sz w:val="20"/>
                <w:szCs w:val="20"/>
                <w:color w:val="auto"/>
              </w:rPr>
            </w:pPr>
            <w:r>
              <w:rPr>
                <w:rFonts w:ascii="Arial" w:cs="Arial" w:eastAsia="Arial" w:hAnsi="Arial"/>
                <w:sz w:val="18"/>
                <w:szCs w:val="18"/>
                <w:color w:val="auto"/>
              </w:rPr>
              <w:t>United Community Risk Management Services, Inc.</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Nevada</w:t>
            </w:r>
          </w:p>
        </w:tc>
      </w:tr>
      <w:tr>
        <w:trPr>
          <w:trHeight w:val="689"/>
        </w:trPr>
        <w:tc>
          <w:tcPr>
            <w:tcW w:w="89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418"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S-3 (Nos. 333-175226, 333-185733, 333-197026 and 333-203548) and S-8 (Nos. 333-86876, 333-99849, 333-120623, 333-125017, 333-130489, 333-145027, 333-145029, 333-159989, 333-167185, 333-167186, 333-167187, 333-181675, 333-183767, 333-183768, and 333-183769) of United Community Banks, Inc. of our report dated February 26, 2016 relating to the financial statements and the effectiveness of internal control over financial reporting, which appears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620520" cy="2832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62052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25" w:lineRule="exact"/>
        <w:rPr>
          <w:sz w:val="20"/>
          <w:szCs w:val="20"/>
          <w:color w:val="auto"/>
        </w:rPr>
      </w:pPr>
    </w:p>
    <w:p>
      <w:pPr>
        <w:ind w:left="180" w:hanging="172"/>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25" w:lineRule="exact"/>
        <w:rPr>
          <w:sz w:val="20"/>
          <w:szCs w:val="20"/>
          <w:color w:val="auto"/>
        </w:rPr>
      </w:pPr>
    </w:p>
    <w:p>
      <w:pPr>
        <w:ind w:left="180" w:hanging="172"/>
        <w:spacing w:after="0"/>
        <w:tabs>
          <w:tab w:leader="none" w:pos="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United Community Banks, Inc. (“United”) on Form 10-K for the period ending December 31, 2015 filed with the Securities and Exchange Commission on the date hereof (the “Report”), I, Jimmy C. Tallent, Chairman and Chief Executive Officer of United, and I, Rex S. Schuette,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37"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1)"/>
      <w:numFmt w:val="decimal"/>
      <w:start w:val="4"/>
    </w:lvl>
  </w:abstractNum>
  <w:abstractNum w:abstractNumId="4">
    <w:nsid w:val="649BB77C"/>
    <w:multiLevelType w:val="hybridMultilevel"/>
    <w:lvl w:ilvl="0">
      <w:lvlJc w:val="left"/>
      <w:lvlText w:val="(%1)"/>
      <w:numFmt w:val="lowerLetter"/>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1)"/>
      <w:numFmt w:val="decimal"/>
      <w:start w:val="1"/>
    </w:lvl>
  </w:abstractNum>
  <w:abstractNum w:abstractNumId="13">
    <w:nsid w:val="741226BB"/>
    <w:multiLevelType w:val="hybridMultilevel"/>
    <w:lvl w:ilvl="0">
      <w:lvlJc w:val="left"/>
      <w:lvlText w:val="(%1)"/>
      <w:numFmt w:val="decimal"/>
      <w:start w:val="1"/>
    </w:lvl>
  </w:abstractNum>
  <w:abstractNum w:abstractNumId="14">
    <w:nsid w:val="D34B6A8"/>
    <w:multiLevelType w:val="hybridMultilevel"/>
    <w:lvl w:ilvl="0">
      <w:lvlJc w:val="left"/>
      <w:lvlText w:val="(%1)"/>
      <w:numFmt w:val="decimal"/>
      <w:start w:val="1"/>
    </w:lvl>
  </w:abstractNum>
  <w:abstractNum w:abstractNumId="15">
    <w:nsid w:val="10233C99"/>
    <w:multiLevelType w:val="hybridMultilevel"/>
    <w:lvl w:ilvl="0">
      <w:lvlJc w:val="left"/>
      <w:lvlText w:val="(%1)"/>
      <w:numFmt w:val="decimal"/>
      <w:start w:val="1"/>
    </w:lvl>
  </w:abstractNum>
  <w:abstractNum w:abstractNumId="16">
    <w:nsid w:val="3F6AB60F"/>
    <w:multiLevelType w:val="hybridMultilevel"/>
    <w:lvl w:ilvl="0">
      <w:lvlJc w:val="left"/>
      <w:lvlText w:val="(%1)"/>
      <w:numFmt w:val="decimal"/>
      <w:start w:val="1"/>
    </w:lvl>
  </w:abstractNum>
  <w:abstractNum w:abstractNumId="17">
    <w:nsid w:val="61574095"/>
    <w:multiLevelType w:val="hybridMultilevel"/>
    <w:lvl w:ilvl="0">
      <w:lvlJc w:val="left"/>
      <w:lvlText w:val="(%1)"/>
      <w:numFmt w:val="decimal"/>
      <w:start w:val="1"/>
    </w:lvl>
  </w:abstractNum>
  <w:abstractNum w:abstractNumId="18">
    <w:nsid w:val="7E0C57B1"/>
    <w:multiLevelType w:val="hybridMultilevel"/>
    <w:lvl w:ilvl="0">
      <w:lvlJc w:val="left"/>
      <w:lvlText w:val="(%1)"/>
      <w:numFmt w:val="decimal"/>
      <w:start w:val="1"/>
    </w:lvl>
  </w:abstractNum>
  <w:abstractNum w:abstractNumId="19">
    <w:nsid w:val="77AE35EB"/>
    <w:multiLevelType w:val="hybridMultilevel"/>
    <w:lvl w:ilvl="0">
      <w:lvlJc w:val="left"/>
      <w:lvlText w:val="(%1)"/>
      <w:numFmt w:val="decimal"/>
      <w:start w:val="1"/>
    </w:lvl>
  </w:abstractNum>
  <w:abstractNum w:abstractNumId="20">
    <w:nsid w:val="579BE4F1"/>
    <w:multiLevelType w:val="hybridMultilevel"/>
    <w:lvl w:ilvl="0">
      <w:lvlJc w:val="left"/>
      <w:lvlText w:val="(%1)"/>
      <w:numFmt w:val="decimal"/>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1)"/>
      <w:numFmt w:val="decimal"/>
      <w:start w:val="1"/>
    </w:lvl>
  </w:abstractNum>
  <w:abstractNum w:abstractNumId="23">
    <w:nsid w:val="2F305DEF"/>
    <w:multiLevelType w:val="hybridMultilevel"/>
    <w:lvl w:ilvl="0">
      <w:lvlJc w:val="left"/>
      <w:lvlText w:val="(%1)"/>
      <w:numFmt w:val="decimal"/>
      <w:start w:val="1"/>
    </w:lvl>
  </w:abstractNum>
  <w:abstractNum w:abstractNumId="24">
    <w:nsid w:val="25A70BF7"/>
    <w:multiLevelType w:val="hybridMultilevel"/>
    <w:lvl w:ilvl="0">
      <w:lvlJc w:val="left"/>
      <w:lvlText w:val="(%1)"/>
      <w:numFmt w:val="decimal"/>
      <w:start w:val="1"/>
    </w:lvl>
  </w:abstractNum>
  <w:abstractNum w:abstractNumId="25">
    <w:nsid w:val="1DBABF00"/>
    <w:multiLevelType w:val="hybridMultilevel"/>
    <w:lvl w:ilvl="0">
      <w:lvlJc w:val="left"/>
      <w:lvlText w:val="(%1)"/>
      <w:numFmt w:val="decimal"/>
      <w:start w:val="1"/>
    </w:lvl>
  </w:abstractNum>
  <w:abstractNum w:abstractNumId="26">
    <w:nsid w:val="4AD084E9"/>
    <w:multiLevelType w:val="hybridMultilevel"/>
    <w:lvl w:ilvl="0">
      <w:lvlJc w:val="left"/>
      <w:lvlText w:val="(%1)"/>
      <w:numFmt w:val="decimal"/>
      <w:start w:val="1"/>
    </w:lvl>
  </w:abstractNum>
  <w:abstractNum w:abstractNumId="27">
    <w:nsid w:val="1F48EAA1"/>
    <w:multiLevelType w:val="hybridMultilevel"/>
    <w:lvl w:ilvl="0">
      <w:lvlJc w:val="left"/>
      <w:lvlText w:val="(%1)"/>
      <w:numFmt w:val="decimal"/>
      <w:start w:val="1"/>
    </w:lvl>
  </w:abstractNum>
  <w:abstractNum w:abstractNumId="28">
    <w:nsid w:val="1381823A"/>
    <w:multiLevelType w:val="hybridMultilevel"/>
    <w:lvl w:ilvl="0">
      <w:lvlJc w:val="left"/>
      <w:lvlText w:val="(%1)"/>
      <w:numFmt w:val="decimal"/>
      <w:start w:val="1"/>
    </w:lvl>
  </w:abstractNum>
  <w:abstractNum w:abstractNumId="29">
    <w:nsid w:val="5DB70AE5"/>
    <w:multiLevelType w:val="hybridMultilevel"/>
    <w:lvl w:ilvl="0">
      <w:lvlJc w:val="left"/>
      <w:lvlText w:val="(%1)"/>
      <w:numFmt w:val="decimal"/>
      <w:start w:val="1"/>
    </w:lvl>
  </w:abstractNum>
  <w:abstractNum w:abstractNumId="30">
    <w:nsid w:val="100F8FCA"/>
    <w:multiLevelType w:val="hybridMultilevel"/>
    <w:lvl w:ilvl="0">
      <w:lvlJc w:val="left"/>
      <w:lvlText w:val="(%1)"/>
      <w:numFmt w:val="decimal"/>
      <w:start w:val="2"/>
    </w:lvl>
  </w:abstractNum>
  <w:abstractNum w:abstractNumId="31">
    <w:nsid w:val="6590700B"/>
    <w:multiLevelType w:val="hybridMultilevel"/>
    <w:lvl w:ilvl="0">
      <w:lvlJc w:val="left"/>
      <w:lvlText w:val="(%1)"/>
      <w:numFmt w:val="decimal"/>
      <w:start w:val="3"/>
    </w:lvl>
  </w:abstractNum>
  <w:abstractNum w:abstractNumId="32">
    <w:nsid w:val="15014ACB"/>
    <w:multiLevelType w:val="hybridMultilevel"/>
    <w:lvl w:ilvl="0">
      <w:lvlJc w:val="left"/>
      <w:lvlText w:val="(%1)"/>
      <w:numFmt w:val="decimal"/>
      <w:start w:val="1"/>
    </w:lvl>
  </w:abstractNum>
  <w:abstractNum w:abstractNumId="33">
    <w:nsid w:val="5F5E7FD0"/>
    <w:multiLevelType w:val="hybridMultilevel"/>
    <w:lvl w:ilvl="0">
      <w:lvlJc w:val="left"/>
      <w:lvlText w:val="(%1)"/>
      <w:numFmt w:val="decimal"/>
      <w:start w:val="3"/>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1)"/>
      <w:numFmt w:val="decimal"/>
      <w:start w:val="3"/>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1)"/>
      <w:numFmt w:val="decimal"/>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1)"/>
      <w:numFmt w:val="decimal"/>
      <w:start w:val="3"/>
    </w:lvl>
  </w:abstractNum>
  <w:abstractNum w:abstractNumId="44">
    <w:nsid w:val="51D9C564"/>
    <w:multiLevelType w:val="hybridMultilevel"/>
    <w:lvl w:ilvl="0">
      <w:lvlJc w:val="left"/>
      <w:lvlText w:val="(%1)"/>
      <w:numFmt w:val="decimal"/>
      <w:start w:val="4"/>
    </w:lvl>
  </w:abstractNum>
  <w:abstractNum w:abstractNumId="45">
    <w:nsid w:val="613EFDC5"/>
    <w:multiLevelType w:val="hybridMultilevel"/>
    <w:lvl w:ilvl="0">
      <w:lvlJc w:val="left"/>
      <w:lvlText w:val="(%1)"/>
      <w:numFmt w:val="decimal"/>
      <w:start w:val="5"/>
    </w:lvl>
  </w:abstractNum>
  <w:abstractNum w:abstractNumId="46">
    <w:nsid w:val="BF72B14"/>
    <w:multiLevelType w:val="hybridMultilevel"/>
    <w:lvl w:ilvl="0">
      <w:lvlJc w:val="left"/>
      <w:lvlText w:val="(%1)"/>
      <w:numFmt w:val="decimal"/>
      <w:start w:val="6"/>
    </w:lvl>
  </w:abstractNum>
  <w:abstractNum w:abstractNumId="47">
    <w:nsid w:val="11447B73"/>
    <w:multiLevelType w:val="hybridMultilevel"/>
    <w:lvl w:ilvl="0">
      <w:lvlJc w:val="left"/>
      <w:lvlText w:val="(%1)"/>
      <w:numFmt w:val="decimal"/>
      <w:start w:val="1"/>
    </w:lvl>
  </w:abstractNum>
  <w:abstractNum w:abstractNumId="48">
    <w:nsid w:val="42963E5A"/>
    <w:multiLevelType w:val="hybridMultilevel"/>
    <w:lvl w:ilvl="0">
      <w:lvlJc w:val="left"/>
      <w:lvlText w:val="(%1)"/>
      <w:numFmt w:val="decimal"/>
      <w:start w:val="1"/>
    </w:lvl>
  </w:abstractNum>
  <w:abstractNum w:abstractNumId="49">
    <w:nsid w:val="A0382C5"/>
    <w:multiLevelType w:val="hybridMultilevel"/>
    <w:lvl w:ilvl="0">
      <w:lvlJc w:val="left"/>
      <w:lvlText w:val="(%1)"/>
      <w:numFmt w:val="decimal"/>
      <w:start w:val="6"/>
    </w:lvl>
  </w:abstractNum>
  <w:abstractNum w:abstractNumId="50">
    <w:nsid w:val="8F2B15E"/>
    <w:multiLevelType w:val="hybridMultilevel"/>
    <w:lvl w:ilvl="0">
      <w:lvlJc w:val="left"/>
      <w:lvlText w:val="(%1)"/>
      <w:numFmt w:val="decimal"/>
      <w:start w:val="6"/>
    </w:lvl>
  </w:abstractNum>
  <w:abstractNum w:abstractNumId="51">
    <w:nsid w:val="1A32234B"/>
    <w:multiLevelType w:val="hybridMultilevel"/>
    <w:lvl w:ilvl="0">
      <w:lvlJc w:val="left"/>
      <w:lvlText w:val="(%1)"/>
      <w:numFmt w:val="decimal"/>
      <w:start w:val="6"/>
    </w:lvl>
  </w:abstractNum>
  <w:abstractNum w:abstractNumId="52">
    <w:nsid w:val="3B0FD379"/>
    <w:multiLevelType w:val="hybridMultilevel"/>
    <w:lvl w:ilvl="0">
      <w:lvlJc w:val="left"/>
      <w:lvlText w:val="(%1)"/>
      <w:numFmt w:val="decimal"/>
      <w:start w:val="7"/>
    </w:lvl>
  </w:abstractNum>
  <w:abstractNum w:abstractNumId="53">
    <w:nsid w:val="68EB2F63"/>
    <w:multiLevelType w:val="hybridMultilevel"/>
    <w:lvl w:ilvl="0">
      <w:lvlJc w:val="left"/>
      <w:lvlText w:val="(%1)"/>
      <w:numFmt w:val="decimal"/>
      <w:start w:val="7"/>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1)"/>
      <w:numFmt w:val="decimal"/>
      <w:start w:val="7"/>
    </w:lvl>
  </w:abstractNum>
  <w:abstractNum w:abstractNumId="57">
    <w:nsid w:val="14330624"/>
    <w:multiLevelType w:val="hybridMultilevel"/>
    <w:lvl w:ilvl="0">
      <w:lvlJc w:val="left"/>
      <w:lvlText w:val="(%1)"/>
      <w:numFmt w:val="decimal"/>
      <w:start w:val="7"/>
    </w:lvl>
  </w:abstractNum>
  <w:abstractNum w:abstractNumId="58">
    <w:nsid w:val="7FFFCA11"/>
    <w:multiLevelType w:val="hybridMultilevel"/>
    <w:lvl w:ilvl="0">
      <w:lvlJc w:val="left"/>
      <w:lvlText w:val="(%1)"/>
      <w:numFmt w:val="decimal"/>
      <w:start w:val="7"/>
    </w:lvl>
  </w:abstractNum>
  <w:abstractNum w:abstractNumId="59">
    <w:nsid w:val="1A27709E"/>
    <w:multiLevelType w:val="hybridMultilevel"/>
    <w:lvl w:ilvl="0">
      <w:lvlJc w:val="left"/>
      <w:lvlText w:val="(%1)"/>
      <w:numFmt w:val="decimal"/>
      <w:start w:val="7"/>
    </w:lvl>
  </w:abstractNum>
  <w:abstractNum w:abstractNumId="60">
    <w:nsid w:val="71EA1109"/>
    <w:multiLevelType w:val="hybridMultilevel"/>
    <w:lvl w:ilvl="0">
      <w:lvlJc w:val="left"/>
      <w:lvlText w:val="(%1)"/>
      <w:numFmt w:val="decimal"/>
      <w:start w:val="7"/>
    </w:lvl>
  </w:abstractNum>
  <w:abstractNum w:abstractNumId="61">
    <w:nsid w:val="100F59DC"/>
    <w:multiLevelType w:val="hybridMultilevel"/>
    <w:lvl w:ilvl="0">
      <w:lvlJc w:val="left"/>
      <w:lvlText w:val="(%1)"/>
      <w:numFmt w:val="decimal"/>
      <w:start w:val="7"/>
    </w:lvl>
  </w:abstractNum>
  <w:abstractNum w:abstractNumId="62">
    <w:nsid w:val="7FB7E0AA"/>
    <w:multiLevelType w:val="hybridMultilevel"/>
    <w:lvl w:ilvl="0">
      <w:lvlJc w:val="left"/>
      <w:lvlText w:val="(%1)"/>
      <w:numFmt w:val="decimal"/>
      <w:start w:val="7"/>
    </w:lvl>
  </w:abstractNum>
  <w:abstractNum w:abstractNumId="63">
    <w:nsid w:val="6EB5BD4"/>
    <w:multiLevelType w:val="hybridMultilevel"/>
    <w:lvl w:ilvl="0">
      <w:lvlJc w:val="left"/>
      <w:lvlText w:val="(%1)"/>
      <w:numFmt w:val="decimal"/>
      <w:start w:val="7"/>
    </w:lvl>
  </w:abstractNum>
  <w:abstractNum w:abstractNumId="64">
    <w:nsid w:val="6F6DD9AC"/>
    <w:multiLevelType w:val="hybridMultilevel"/>
    <w:lvl w:ilvl="0">
      <w:lvlJc w:val="left"/>
      <w:lvlText w:val="(%1)"/>
      <w:numFmt w:val="decimal"/>
      <w:start w:val="8"/>
    </w:lvl>
  </w:abstractNum>
  <w:abstractNum w:abstractNumId="65">
    <w:nsid w:val="94211F2"/>
    <w:multiLevelType w:val="hybridMultilevel"/>
    <w:lvl w:ilvl="0">
      <w:lvlJc w:val="left"/>
      <w:lvlText w:val="(%1)"/>
      <w:numFmt w:val="decimal"/>
      <w:start w:val="9"/>
    </w:lvl>
  </w:abstractNum>
  <w:abstractNum w:abstractNumId="66">
    <w:nsid w:val="885E1B"/>
    <w:multiLevelType w:val="hybridMultilevel"/>
    <w:lvl w:ilvl="0">
      <w:lvlJc w:val="left"/>
      <w:lvlText w:val="(%1)"/>
      <w:numFmt w:val="decimal"/>
      <w:start w:val="9"/>
    </w:lvl>
  </w:abstractNum>
  <w:abstractNum w:abstractNumId="67">
    <w:nsid w:val="76272110"/>
    <w:multiLevelType w:val="hybridMultilevel"/>
    <w:lvl w:ilvl="0">
      <w:lvlJc w:val="left"/>
      <w:lvlText w:val="(%1)"/>
      <w:numFmt w:val="decimal"/>
      <w:start w:val="10"/>
    </w:lvl>
  </w:abstractNum>
  <w:abstractNum w:abstractNumId="68">
    <w:nsid w:val="4C04A8AF"/>
    <w:multiLevelType w:val="hybridMultilevel"/>
    <w:lvl w:ilvl="0">
      <w:lvlJc w:val="left"/>
      <w:lvlText w:val="(%1)"/>
      <w:numFmt w:val="decimal"/>
      <w:start w:val="10"/>
    </w:lvl>
  </w:abstractNum>
  <w:abstractNum w:abstractNumId="69">
    <w:nsid w:val="1716703B"/>
    <w:multiLevelType w:val="hybridMultilevel"/>
    <w:lvl w:ilvl="0">
      <w:lvlJc w:val="left"/>
      <w:lvlText w:val="(%1)"/>
      <w:numFmt w:val="decimal"/>
      <w:start w:val="10"/>
    </w:lvl>
  </w:abstractNum>
  <w:abstractNum w:abstractNumId="70">
    <w:nsid w:val="14E17E33"/>
    <w:multiLevelType w:val="hybridMultilevel"/>
    <w:lvl w:ilvl="0">
      <w:lvlJc w:val="left"/>
      <w:lvlText w:val="(%1)"/>
      <w:numFmt w:val="decimal"/>
      <w:start w:val="11"/>
    </w:lvl>
  </w:abstractNum>
  <w:abstractNum w:abstractNumId="71">
    <w:nsid w:val="3222E7CD"/>
    <w:multiLevelType w:val="hybridMultilevel"/>
    <w:lvl w:ilvl="0">
      <w:lvlJc w:val="left"/>
      <w:lvlText w:val="(%1)"/>
      <w:numFmt w:val="decimal"/>
      <w:start w:val="12"/>
    </w:lvl>
  </w:abstractNum>
  <w:abstractNum w:abstractNumId="72">
    <w:nsid w:val="74DE0EE3"/>
    <w:multiLevelType w:val="hybridMultilevel"/>
    <w:lvl w:ilvl="0">
      <w:lvlJc w:val="left"/>
      <w:lvlText w:val="(%1)"/>
      <w:numFmt w:val="decimal"/>
      <w:start w:val="13"/>
    </w:lvl>
  </w:abstractNum>
  <w:abstractNum w:abstractNumId="73">
    <w:nsid w:val="68EBC550"/>
    <w:multiLevelType w:val="hybridMultilevel"/>
    <w:lvl w:ilvl="0">
      <w:lvlJc w:val="left"/>
      <w:lvlText w:val="(%1)"/>
      <w:numFmt w:val="decimal"/>
      <w:start w:val="14"/>
    </w:lvl>
  </w:abstractNum>
  <w:abstractNum w:abstractNumId="74">
    <w:nsid w:val="2DF6D648"/>
    <w:multiLevelType w:val="hybridMultilevel"/>
    <w:lvl w:ilvl="0">
      <w:lvlJc w:val="left"/>
      <w:lvlText w:val="(%1)"/>
      <w:numFmt w:val="decimal"/>
      <w:start w:val="15"/>
    </w:lvl>
  </w:abstractNum>
  <w:abstractNum w:abstractNumId="75">
    <w:nsid w:val="46B7D447"/>
    <w:multiLevelType w:val="hybridMultilevel"/>
    <w:lvl w:ilvl="0">
      <w:lvlJc w:val="left"/>
      <w:lvlText w:val="(%1)"/>
      <w:numFmt w:val="decimal"/>
      <w:start w:val="15"/>
    </w:lvl>
  </w:abstractNum>
  <w:abstractNum w:abstractNumId="76">
    <w:nsid w:val="4A2AC315"/>
    <w:multiLevelType w:val="hybridMultilevel"/>
    <w:lvl w:ilvl="0">
      <w:lvlJc w:val="left"/>
      <w:lvlText w:val="(%1)"/>
      <w:numFmt w:val="decimal"/>
      <w:start w:val="16"/>
    </w:lvl>
  </w:abstractNum>
  <w:abstractNum w:abstractNumId="77">
    <w:nsid w:val="39EE015C"/>
    <w:multiLevelType w:val="hybridMultilevel"/>
    <w:lvl w:ilvl="0">
      <w:lvlJc w:val="left"/>
      <w:lvlText w:val="(%1)"/>
      <w:numFmt w:val="decimal"/>
      <w:start w:val="16"/>
    </w:lvl>
  </w:abstractNum>
  <w:abstractNum w:abstractNumId="78">
    <w:nsid w:val="57FC4FBB"/>
    <w:multiLevelType w:val="hybridMultilevel"/>
    <w:lvl w:ilvl="0">
      <w:lvlJc w:val="left"/>
      <w:lvlText w:val="(%1)"/>
      <w:numFmt w:val="decimal"/>
      <w:start w:val="16"/>
    </w:lvl>
  </w:abstractNum>
  <w:abstractNum w:abstractNumId="79">
    <w:nsid w:val="CC1016F"/>
    <w:multiLevelType w:val="hybridMultilevel"/>
    <w:lvl w:ilvl="0">
      <w:lvlJc w:val="left"/>
      <w:lvlText w:val="(%1)"/>
      <w:numFmt w:val="decimal"/>
      <w:start w:val="16"/>
    </w:lvl>
  </w:abstractNum>
  <w:abstractNum w:abstractNumId="80">
    <w:nsid w:val="43F18422"/>
    <w:multiLevelType w:val="hybridMultilevel"/>
    <w:lvl w:ilvl="0">
      <w:lvlJc w:val="left"/>
      <w:lvlText w:val="(%1)"/>
      <w:numFmt w:val="decimal"/>
      <w:start w:val="17"/>
    </w:lvl>
  </w:abstractNum>
  <w:abstractNum w:abstractNumId="81">
    <w:nsid w:val="60EF0119"/>
    <w:multiLevelType w:val="hybridMultilevel"/>
    <w:lvl w:ilvl="0">
      <w:lvlJc w:val="left"/>
      <w:lvlText w:val="(%1)"/>
      <w:numFmt w:val="decimal"/>
      <w:start w:val="17"/>
    </w:lvl>
  </w:abstractNum>
  <w:abstractNum w:abstractNumId="82">
    <w:nsid w:val="26F324BA"/>
    <w:multiLevelType w:val="hybridMultilevel"/>
    <w:lvl w:ilvl="0">
      <w:lvlJc w:val="left"/>
      <w:lvlText w:val="(%1)"/>
      <w:numFmt w:val="decimal"/>
      <w:start w:val="17"/>
    </w:lvl>
  </w:abstractNum>
  <w:abstractNum w:abstractNumId="83">
    <w:nsid w:val="7F01579B"/>
    <w:multiLevelType w:val="hybridMultilevel"/>
    <w:lvl w:ilvl="0">
      <w:lvlJc w:val="left"/>
      <w:lvlText w:val="(%1)"/>
      <w:numFmt w:val="decimal"/>
      <w:start w:val="18"/>
    </w:lvl>
  </w:abstractNum>
  <w:abstractNum w:abstractNumId="84">
    <w:nsid w:val="49DA307D"/>
    <w:multiLevelType w:val="hybridMultilevel"/>
    <w:lvl w:ilvl="0">
      <w:lvlJc w:val="left"/>
      <w:lvlText w:val="(%1)"/>
      <w:numFmt w:val="decimal"/>
      <w:start w:val="18"/>
    </w:lvl>
  </w:abstractNum>
  <w:abstractNum w:abstractNumId="85">
    <w:nsid w:val="7055A5F5"/>
    <w:multiLevelType w:val="hybridMultilevel"/>
    <w:lvl w:ilvl="0">
      <w:lvlJc w:val="left"/>
      <w:lvlText w:val="(%1)"/>
      <w:numFmt w:val="decimal"/>
      <w:start w:val="18"/>
    </w:lvl>
  </w:abstractNum>
  <w:abstractNum w:abstractNumId="86">
    <w:nsid w:val="5FB8370B"/>
    <w:multiLevelType w:val="hybridMultilevel"/>
    <w:lvl w:ilvl="0">
      <w:lvlJc w:val="left"/>
      <w:lvlText w:val="(%1)"/>
      <w:numFmt w:val="decimal"/>
      <w:start w:val="19"/>
    </w:lvl>
  </w:abstractNum>
  <w:abstractNum w:abstractNumId="87">
    <w:nsid w:val="50801EE1"/>
    <w:multiLevelType w:val="hybridMultilevel"/>
    <w:lvl w:ilvl="0">
      <w:lvlJc w:val="left"/>
      <w:lvlText w:val="(%1)"/>
      <w:numFmt w:val="decimal"/>
      <w:start w:val="19"/>
    </w:lvl>
  </w:abstractNum>
  <w:abstractNum w:abstractNumId="88">
    <w:nsid w:val="488AC1A"/>
    <w:multiLevelType w:val="hybridMultilevel"/>
    <w:lvl w:ilvl="0">
      <w:lvlJc w:val="left"/>
      <w:lvlText w:val="(%1)"/>
      <w:numFmt w:val="decimal"/>
      <w:start w:val="21"/>
    </w:lvl>
  </w:abstractNum>
  <w:abstractNum w:abstractNumId="89">
    <w:nsid w:val="5FB8011C"/>
    <w:multiLevelType w:val="hybridMultilevel"/>
    <w:lvl w:ilvl="0">
      <w:lvlJc w:val="left"/>
      <w:lvlText w:val="(%1)"/>
      <w:numFmt w:val="decimal"/>
      <w:start w:val="22"/>
    </w:lvl>
  </w:abstractNum>
  <w:abstractNum w:abstractNumId="90">
    <w:nsid w:val="6AA78F7F"/>
    <w:multiLevelType w:val="hybridMultilevel"/>
    <w:lvl w:ilvl="0">
      <w:lvlJc w:val="left"/>
      <w:lvlText w:val="(%1)"/>
      <w:numFmt w:val="decimal"/>
      <w:start w:val="22"/>
    </w:lvl>
  </w:abstractNum>
  <w:abstractNum w:abstractNumId="91">
    <w:nsid w:val="7672BD23"/>
    <w:multiLevelType w:val="hybridMultilevel"/>
    <w:lvl w:ilvl="0">
      <w:lvlJc w:val="left"/>
      <w:lvlText w:val="(%1)"/>
      <w:numFmt w:val="decimal"/>
      <w:start w:val="23"/>
    </w:lvl>
  </w:abstractNum>
  <w:abstractNum w:abstractNumId="92">
    <w:nsid w:val="6FC75AF8"/>
    <w:multiLevelType w:val="hybridMultilevel"/>
    <w:lvl w:ilvl="0">
      <w:lvlJc w:val="left"/>
      <w:lvlText w:val="(%1)"/>
      <w:numFmt w:val="decimal"/>
      <w:start w:val="23"/>
    </w:lvl>
  </w:abstractNum>
  <w:abstractNum w:abstractNumId="93">
    <w:nsid w:val="6A5F7029"/>
    <w:multiLevelType w:val="hybridMultilevel"/>
    <w:lvl w:ilvl="0">
      <w:lvlJc w:val="left"/>
      <w:lvlText w:val="(%1)"/>
      <w:numFmt w:val="decimal"/>
      <w:start w:val="23"/>
    </w:lvl>
  </w:abstractNum>
  <w:abstractNum w:abstractNumId="94">
    <w:nsid w:val="7D5E18F8"/>
    <w:multiLevelType w:val="hybridMultilevel"/>
    <w:lvl w:ilvl="0">
      <w:lvlJc w:val="left"/>
      <w:lvlText w:val="(%1)"/>
      <w:numFmt w:val="decimal"/>
      <w:start w:val="23"/>
    </w:lvl>
  </w:abstractNum>
  <w:abstractNum w:abstractNumId="95">
    <w:nsid w:val="5F3534A4"/>
    <w:multiLevelType w:val="hybridMultilevel"/>
    <w:lvl w:ilvl="0">
      <w:lvlJc w:val="left"/>
      <w:lvlText w:val="(%1)"/>
      <w:numFmt w:val="decimal"/>
      <w:start w:val="23"/>
    </w:lvl>
  </w:abstractNum>
  <w:abstractNum w:abstractNumId="96">
    <w:nsid w:val="73A1821B"/>
    <w:multiLevelType w:val="hybridMultilevel"/>
    <w:lvl w:ilvl="0">
      <w:lvlJc w:val="left"/>
      <w:lvlText w:val="(%1)"/>
      <w:numFmt w:val="decimal"/>
      <w:start w:val="23"/>
    </w:lvl>
  </w:abstractNum>
  <w:abstractNum w:abstractNumId="97">
    <w:nsid w:val="7DE67713"/>
    <w:multiLevelType w:val="hybridMultilevel"/>
    <w:lvl w:ilvl="0">
      <w:lvlJc w:val="left"/>
      <w:lvlText w:val="(%1)"/>
      <w:numFmt w:val="decimal"/>
      <w:start w:val="24"/>
    </w:lvl>
  </w:abstractNum>
  <w:abstractNum w:abstractNumId="98">
    <w:nsid w:val="555C55B5"/>
    <w:multiLevelType w:val="hybridMultilevel"/>
    <w:lvl w:ilvl="0">
      <w:lvlJc w:val="left"/>
      <w:lvlText w:val="%1."/>
      <w:numFmt w:val="decimal"/>
      <w:start w:val="2"/>
    </w:lvl>
  </w:abstractNum>
  <w:abstractNum w:abstractNumId="99">
    <w:nsid w:val="3FA62ACA"/>
    <w:multiLevelType w:val="hybridMultilevel"/>
    <w:lvl w:ilvl="0">
      <w:lvlJc w:val="left"/>
      <w:lvlText w:val="*"/>
      <w:numFmt w:val="bullet"/>
      <w:start w:val="1"/>
    </w:lvl>
  </w:abstractNum>
  <w:abstractNum w:abstractNumId="100">
    <w:nsid w:val="14FCE74E"/>
    <w:multiLevelType w:val="hybridMultilevel"/>
    <w:lvl w:ilvl="0">
      <w:lvlJc w:val="left"/>
      <w:lvlText w:val="**"/>
      <w:numFmt w:val="bullet"/>
      <w:start w:val="1"/>
    </w:lvl>
  </w:abstractNum>
  <w:abstractNum w:abstractNumId="101">
    <w:nsid w:val="6A3DD3E8"/>
    <w:multiLevelType w:val="hybridMultilevel"/>
    <w:lvl w:ilvl="0">
      <w:lvlJc w:val="left"/>
      <w:lvlText w:val="%1"/>
      <w:numFmt w:val="decimal"/>
      <w:start w:val="23"/>
    </w:lvl>
  </w:abstractNum>
  <w:abstractNum w:abstractNumId="102">
    <w:nsid w:val="71C91298"/>
    <w:multiLevelType w:val="hybridMultilevel"/>
    <w:lvl w:ilvl="0">
      <w:lvlJc w:val="left"/>
      <w:lvlText w:val="%1"/>
      <w:numFmt w:val="decimal"/>
      <w:start w:val="32"/>
    </w:lvl>
  </w:abstractNum>
  <w:abstractNum w:abstractNumId="103">
    <w:nsid w:val="9DAF632"/>
    <w:multiLevelType w:val="hybridMultilevel"/>
    <w:lvl w:ilvl="0">
      <w:lvlJc w:val="left"/>
      <w:lvlText w:val="%1."/>
      <w:numFmt w:val="decimal"/>
      <w:start w:val="1"/>
    </w:lvl>
    <w:lvl w:ilvl="1">
      <w:lvlJc w:val="left"/>
      <w:lvlText w:val="%2)"/>
      <w:numFmt w:val="lowerLetter"/>
      <w:start w:val="1"/>
    </w:lvl>
  </w:abstractNum>
  <w:abstractNum w:abstractNumId="104">
    <w:nsid w:val="53299938"/>
    <w:multiLevelType w:val="hybridMultilevel"/>
    <w:lvl w:ilvl="0">
      <w:lvlJc w:val="left"/>
      <w:lvlText w:val="%1."/>
      <w:numFmt w:val="decimal"/>
      <w:start w:val="1"/>
    </w:lvl>
    <w:lvl w:ilvl="1">
      <w:lvlJc w:val="left"/>
      <w:lvlText w:val="%2)"/>
      <w:numFmt w:val="lowerLetter"/>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2019-12-29T12:53:41Z</dcterms:created>
  <dcterms:modified xsi:type="dcterms:W3CDTF">2019-12-29T12:53:41Z</dcterms:modified>
</cp:coreProperties>
</file>