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ind w:left="1460" w:right="1799" w:hanging="890"/>
        <w:spacing w:after="0" w:line="256"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Quarterly Period Ended June 30, 2008</w:t>
      </w:r>
    </w:p>
    <w:p>
      <w:pPr>
        <w:spacing w:after="0" w:line="18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460" w:right="1779"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2760"/>
        <w:spacing w:after="0"/>
        <w:tabs>
          <w:tab w:leader="none" w:pos="61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0-21656</w:t>
      </w:r>
    </w:p>
    <w:p>
      <w:pPr>
        <w:spacing w:after="0" w:line="160"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u w:val="single" w:color="auto"/>
          <w:color w:val="auto"/>
        </w:rPr>
        <w:t>UNITED COMMUNITY BANKS, INC.</w:t>
      </w:r>
    </w:p>
    <w:p>
      <w:pPr>
        <w:spacing w:after="0" w:line="5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500" w:type="dxa"/>
            <w:vAlign w:val="bottom"/>
          </w:tcPr>
          <w:p>
            <w:pPr>
              <w:jc w:val="center"/>
              <w:ind w:left="830"/>
              <w:spacing w:after="0"/>
              <w:rPr>
                <w:sz w:val="20"/>
                <w:szCs w:val="20"/>
                <w:color w:val="auto"/>
              </w:rPr>
            </w:pPr>
            <w:r>
              <w:rPr>
                <w:rFonts w:ascii="Arial" w:cs="Arial" w:eastAsia="Arial" w:hAnsi="Arial"/>
                <w:sz w:val="18"/>
                <w:szCs w:val="18"/>
                <w:b w:val="1"/>
                <w:bCs w:val="1"/>
                <w:color w:val="auto"/>
                <w:w w:val="91"/>
              </w:rPr>
              <w:t>Georgia</w:t>
            </w:r>
          </w:p>
        </w:tc>
        <w:tc>
          <w:tcPr>
            <w:tcW w:w="5820" w:type="dxa"/>
            <w:vAlign w:val="bottom"/>
            <w:gridSpan w:val="5"/>
          </w:tcPr>
          <w:p>
            <w:pPr>
              <w:jc w:val="right"/>
              <w:ind w:right="1690"/>
              <w:spacing w:after="0"/>
              <w:rPr>
                <w:sz w:val="20"/>
                <w:szCs w:val="20"/>
                <w:color w:val="auto"/>
              </w:rPr>
            </w:pPr>
            <w:r>
              <w:rPr>
                <w:rFonts w:ascii="Arial" w:cs="Arial" w:eastAsia="Arial" w:hAnsi="Arial"/>
                <w:sz w:val="18"/>
                <w:szCs w:val="18"/>
                <w:b w:val="1"/>
                <w:bCs w:val="1"/>
                <w:color w:val="auto"/>
              </w:rPr>
              <w:t>58-1807304</w:t>
            </w:r>
          </w:p>
        </w:tc>
      </w:tr>
      <w:tr>
        <w:trPr>
          <w:trHeight w:val="228"/>
        </w:trPr>
        <w:tc>
          <w:tcPr>
            <w:tcW w:w="3500" w:type="dxa"/>
            <w:vAlign w:val="bottom"/>
            <w:tcBorders>
              <w:top w:val="single" w:sz="8" w:color="auto"/>
            </w:tcBorders>
          </w:tcPr>
          <w:p>
            <w:pPr>
              <w:jc w:val="center"/>
              <w:ind w:left="830"/>
              <w:spacing w:after="0"/>
              <w:rPr>
                <w:sz w:val="20"/>
                <w:szCs w:val="20"/>
                <w:color w:val="auto"/>
              </w:rPr>
            </w:pPr>
            <w:r>
              <w:rPr>
                <w:rFonts w:ascii="Arial" w:cs="Arial" w:eastAsia="Arial" w:hAnsi="Arial"/>
                <w:sz w:val="18"/>
                <w:szCs w:val="18"/>
                <w:b w:val="1"/>
                <w:bCs w:val="1"/>
                <w:color w:val="auto"/>
                <w:w w:val="91"/>
              </w:rPr>
              <w:t>(State of Incorporation)</w:t>
            </w:r>
          </w:p>
        </w:tc>
        <w:tc>
          <w:tcPr>
            <w:tcW w:w="3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80" w:type="dxa"/>
            <w:vAlign w:val="bottom"/>
            <w:tcBorders>
              <w:top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09"/>
        </w:trPr>
        <w:tc>
          <w:tcPr>
            <w:tcW w:w="3500" w:type="dxa"/>
            <w:vAlign w:val="bottom"/>
          </w:tcPr>
          <w:p>
            <w:pPr>
              <w:jc w:val="center"/>
              <w:ind w:left="830"/>
              <w:spacing w:after="0"/>
              <w:rPr>
                <w:sz w:val="20"/>
                <w:szCs w:val="20"/>
                <w:color w:val="auto"/>
              </w:rPr>
            </w:pPr>
            <w:r>
              <w:rPr>
                <w:rFonts w:ascii="Arial" w:cs="Arial" w:eastAsia="Arial" w:hAnsi="Arial"/>
                <w:sz w:val="18"/>
                <w:szCs w:val="18"/>
                <w:b w:val="1"/>
                <w:bCs w:val="1"/>
                <w:color w:val="auto"/>
                <w:w w:val="90"/>
              </w:rPr>
              <w:t>63 Highway 515</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34"/>
        </w:trPr>
        <w:tc>
          <w:tcPr>
            <w:tcW w:w="3500" w:type="dxa"/>
            <w:vAlign w:val="bottom"/>
          </w:tcPr>
          <w:p>
            <w:pPr>
              <w:jc w:val="center"/>
              <w:ind w:left="830"/>
              <w:spacing w:after="0"/>
              <w:rPr>
                <w:sz w:val="20"/>
                <w:szCs w:val="20"/>
                <w:color w:val="auto"/>
              </w:rPr>
            </w:pPr>
            <w:r>
              <w:rPr>
                <w:rFonts w:ascii="Arial" w:cs="Arial" w:eastAsia="Arial" w:hAnsi="Arial"/>
                <w:sz w:val="18"/>
                <w:szCs w:val="18"/>
                <w:b w:val="1"/>
                <w:bCs w:val="1"/>
                <w:color w:val="auto"/>
                <w:w w:val="91"/>
              </w:rPr>
              <w:t>Blairsville, Georgia</w:t>
            </w:r>
          </w:p>
        </w:tc>
        <w:tc>
          <w:tcPr>
            <w:tcW w:w="5820" w:type="dxa"/>
            <w:vAlign w:val="bottom"/>
            <w:gridSpan w:val="5"/>
          </w:tcPr>
          <w:p>
            <w:pPr>
              <w:jc w:val="right"/>
              <w:ind w:right="1910"/>
              <w:spacing w:after="0"/>
              <w:rPr>
                <w:sz w:val="20"/>
                <w:szCs w:val="20"/>
                <w:color w:val="auto"/>
              </w:rPr>
            </w:pPr>
            <w:r>
              <w:rPr>
                <w:rFonts w:ascii="Arial" w:cs="Arial" w:eastAsia="Arial" w:hAnsi="Arial"/>
                <w:sz w:val="18"/>
                <w:szCs w:val="18"/>
                <w:b w:val="1"/>
                <w:bCs w:val="1"/>
                <w:color w:val="auto"/>
              </w:rPr>
              <w:t>30512</w:t>
            </w:r>
          </w:p>
        </w:tc>
      </w:tr>
      <w:tr>
        <w:trPr>
          <w:trHeight w:val="205"/>
        </w:trPr>
        <w:tc>
          <w:tcPr>
            <w:tcW w:w="3500" w:type="dxa"/>
            <w:vAlign w:val="bottom"/>
            <w:tcBorders>
              <w:top w:val="single" w:sz="8" w:color="auto"/>
            </w:tcBorders>
          </w:tcPr>
          <w:p>
            <w:pPr>
              <w:jc w:val="center"/>
              <w:ind w:left="830"/>
              <w:spacing w:after="0" w:line="205" w:lineRule="exact"/>
              <w:rPr>
                <w:sz w:val="20"/>
                <w:szCs w:val="20"/>
                <w:color w:val="auto"/>
              </w:rPr>
            </w:pPr>
            <w:r>
              <w:rPr>
                <w:rFonts w:ascii="Arial" w:cs="Arial" w:eastAsia="Arial" w:hAnsi="Arial"/>
                <w:sz w:val="18"/>
                <w:szCs w:val="18"/>
                <w:b w:val="1"/>
                <w:bCs w:val="1"/>
                <w:color w:val="auto"/>
                <w:w w:val="90"/>
              </w:rPr>
              <w:t>Address of Principal</w:t>
            </w:r>
          </w:p>
        </w:tc>
        <w:tc>
          <w:tcPr>
            <w:tcW w:w="3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880" w:type="dxa"/>
            <w:vAlign w:val="bottom"/>
            <w:tcBorders>
              <w:top w:val="single" w:sz="8" w:color="auto"/>
            </w:tcBorders>
          </w:tcPr>
          <w:p>
            <w:pPr>
              <w:jc w:val="center"/>
              <w:ind w:right="470"/>
              <w:spacing w:after="0" w:line="205" w:lineRule="exact"/>
              <w:rPr>
                <w:sz w:val="20"/>
                <w:szCs w:val="20"/>
                <w:color w:val="auto"/>
              </w:rPr>
            </w:pPr>
            <w:r>
              <w:rPr>
                <w:rFonts w:ascii="Arial" w:cs="Arial" w:eastAsia="Arial" w:hAnsi="Arial"/>
                <w:sz w:val="18"/>
                <w:szCs w:val="18"/>
                <w:b w:val="1"/>
                <w:bCs w:val="1"/>
                <w:color w:val="auto"/>
                <w:w w:val="94"/>
              </w:rPr>
              <w:t>(Zip Code)</w:t>
            </w:r>
          </w:p>
        </w:tc>
      </w:tr>
      <w:tr>
        <w:trPr>
          <w:trHeight w:val="234"/>
        </w:trPr>
        <w:tc>
          <w:tcPr>
            <w:tcW w:w="3500" w:type="dxa"/>
            <w:vAlign w:val="bottom"/>
          </w:tcPr>
          <w:p>
            <w:pPr>
              <w:jc w:val="center"/>
              <w:ind w:left="830"/>
              <w:spacing w:after="0"/>
              <w:rPr>
                <w:sz w:val="20"/>
                <w:szCs w:val="20"/>
                <w:color w:val="auto"/>
              </w:rPr>
            </w:pPr>
            <w:r>
              <w:rPr>
                <w:rFonts w:ascii="Arial" w:cs="Arial" w:eastAsia="Arial" w:hAnsi="Arial"/>
                <w:sz w:val="18"/>
                <w:szCs w:val="18"/>
                <w:b w:val="1"/>
                <w:bCs w:val="1"/>
                <w:color w:val="auto"/>
                <w:w w:val="89"/>
              </w:rPr>
              <w:t>Executive Offices</w:t>
            </w: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05"/>
        </w:trPr>
        <w:tc>
          <w:tcPr>
            <w:tcW w:w="3500" w:type="dxa"/>
            <w:vAlign w:val="bottom"/>
          </w:tcPr>
          <w:p>
            <w:pPr>
              <w:spacing w:after="0"/>
              <w:rPr>
                <w:sz w:val="24"/>
                <w:szCs w:val="24"/>
                <w:color w:val="auto"/>
              </w:rPr>
            </w:pPr>
          </w:p>
        </w:tc>
        <w:tc>
          <w:tcPr>
            <w:tcW w:w="19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(706) 781-2265</w:t>
            </w:r>
          </w:p>
        </w:tc>
        <w:tc>
          <w:tcPr>
            <w:tcW w:w="3880" w:type="dxa"/>
            <w:vAlign w:val="bottom"/>
          </w:tcPr>
          <w:p>
            <w:pPr>
              <w:spacing w:after="0"/>
              <w:rPr>
                <w:sz w:val="24"/>
                <w:szCs w:val="24"/>
                <w:color w:val="auto"/>
              </w:rPr>
            </w:pPr>
          </w:p>
        </w:tc>
      </w:tr>
      <w:tr>
        <w:trPr>
          <w:trHeight w:val="228"/>
        </w:trPr>
        <w:tc>
          <w:tcPr>
            <w:tcW w:w="3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(Telephone Number)</w:t>
            </w:r>
          </w:p>
        </w:tc>
        <w:tc>
          <w:tcPr>
            <w:tcW w:w="3880" w:type="dxa"/>
            <w:vAlign w:val="bottom"/>
          </w:tcPr>
          <w:p>
            <w:pPr>
              <w:spacing w:after="0"/>
              <w:rPr>
                <w:sz w:val="19"/>
                <w:szCs w:val="19"/>
                <w:color w:val="auto"/>
              </w:rPr>
            </w:pPr>
          </w:p>
        </w:tc>
      </w:tr>
    </w:tbl>
    <w:p>
      <w:pPr>
        <w:spacing w:after="0" w:line="139" w:lineRule="exact"/>
        <w:rPr>
          <w:sz w:val="20"/>
          <w:szCs w:val="20"/>
          <w:color w:val="auto"/>
        </w:rPr>
      </w:pPr>
    </w:p>
    <w:p>
      <w:pPr>
        <w:jc w:val="both"/>
        <w:ind w:left="340" w:right="559"/>
        <w:spacing w:after="0" w:line="289" w:lineRule="auto"/>
        <w:rPr>
          <w:sz w:val="20"/>
          <w:szCs w:val="20"/>
          <w:color w:val="auto"/>
        </w:rPr>
      </w:pPr>
      <w:r>
        <w:rPr>
          <w:rFonts w:ascii="Arial" w:cs="Arial" w:eastAsia="Arial" w:hAnsi="Arial"/>
          <w:sz w:val="17"/>
          <w:szCs w:val="17"/>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89" w:lineRule="exact"/>
        <w:rPr>
          <w:sz w:val="20"/>
          <w:szCs w:val="20"/>
          <w:color w:val="auto"/>
        </w:rPr>
      </w:pPr>
    </w:p>
    <w:p>
      <w:pPr>
        <w:jc w:val="center"/>
        <w:ind w:right="219"/>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Arial" w:cs="Arial" w:eastAsia="Arial" w:hAnsi="Arial"/>
          <w:sz w:val="18"/>
          <w:szCs w:val="18"/>
          <w:color w:val="auto"/>
        </w:rPr>
        <w:t>o</w:t>
      </w:r>
    </w:p>
    <w:p>
      <w:pPr>
        <w:spacing w:after="0" w:line="227" w:lineRule="exact"/>
        <w:rPr>
          <w:sz w:val="20"/>
          <w:szCs w:val="20"/>
          <w:color w:val="auto"/>
        </w:rPr>
      </w:pPr>
    </w:p>
    <w:p>
      <w:pPr>
        <w:jc w:val="both"/>
        <w:ind w:left="340" w:right="559"/>
        <w:spacing w:after="0" w:line="266"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or a non-accelerated filer or a smaller reporting company. See definitions of “large accelerated filer”, “accelerated filer” and “smaller reporting company” in Rule 12b-2 of the Exchange Act.</w:t>
      </w:r>
    </w:p>
    <w:p>
      <w:pPr>
        <w:sectPr>
          <w:pgSz w:w="11900" w:h="16838" w:orient="portrait"/>
          <w:cols w:equalWidth="0" w:num="1">
            <w:col w:w="10219"/>
          </w:cols>
          <w:pgMar w:left="240" w:top="122" w:right="1440" w:bottom="1440" w:gutter="0" w:footer="0" w:header="0"/>
        </w:sectPr>
      </w:pPr>
    </w:p>
    <w:p>
      <w:pPr>
        <w:spacing w:after="0" w:line="147" w:lineRule="exact"/>
        <w:rPr>
          <w:sz w:val="20"/>
          <w:szCs w:val="20"/>
          <w:color w:val="auto"/>
        </w:rPr>
      </w:pPr>
    </w:p>
    <w:p>
      <w:pPr>
        <w:ind w:left="340"/>
        <w:spacing w:after="0" w:line="184" w:lineRule="exact"/>
        <w:rPr>
          <w:sz w:val="20"/>
          <w:szCs w:val="20"/>
          <w:color w:val="auto"/>
        </w:rPr>
      </w:pPr>
      <w:r>
        <w:rPr>
          <w:rFonts w:ascii="Arial" w:cs="Arial" w:eastAsia="Arial" w:hAnsi="Arial"/>
          <w:sz w:val="16"/>
          <w:szCs w:val="16"/>
          <w:b w:val="1"/>
          <w:bCs w:val="1"/>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Accelerated filer </w:t>
      </w:r>
      <w:r>
        <w:rPr>
          <w:rFonts w:ascii="Arial" w:cs="Arial" w:eastAsia="Arial" w:hAnsi="Arial"/>
          <w:sz w:val="16"/>
          <w:szCs w:val="16"/>
          <w:color w:val="auto"/>
        </w:rPr>
        <w:t>o</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Non-accelerated filer </w:t>
      </w:r>
      <w:r>
        <w:rPr>
          <w:rFonts w:ascii="Arial" w:cs="Arial" w:eastAsia="Arial" w:hAnsi="Arial"/>
          <w:sz w:val="18"/>
          <w:szCs w:val="18"/>
          <w:color w:val="auto"/>
        </w:rPr>
        <w: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Smaller Reporting Company </w:t>
      </w:r>
      <w:r>
        <w:rPr>
          <w:rFonts w:ascii="Arial" w:cs="Arial" w:eastAsia="Arial" w:hAnsi="Arial"/>
          <w:sz w:val="16"/>
          <w:szCs w:val="16"/>
          <w:color w:val="auto"/>
        </w:rPr>
        <w:t>o</w:t>
      </w:r>
    </w:p>
    <w:p>
      <w:pPr>
        <w:spacing w:after="0" w:line="423" w:lineRule="exact"/>
        <w:rPr>
          <w:sz w:val="20"/>
          <w:szCs w:val="20"/>
          <w:color w:val="auto"/>
        </w:rPr>
      </w:pPr>
    </w:p>
    <w:p>
      <w:pPr>
        <w:sectPr>
          <w:pgSz w:w="11900" w:h="16838" w:orient="portrait"/>
          <w:cols w:equalWidth="0" w:num="3">
            <w:col w:w="3760" w:space="60"/>
            <w:col w:w="3540" w:space="60"/>
            <w:col w:w="2799"/>
          </w:cols>
          <w:pgMar w:left="240" w:top="122" w:right="1440" w:bottom="1440" w:gutter="0" w:footer="0" w:header="0"/>
          <w:type w:val="continuous"/>
        </w:sectPr>
      </w:pPr>
    </w:p>
    <w:p>
      <w:pPr>
        <w:ind w:left="340"/>
        <w:spacing w:after="0"/>
        <w:rPr>
          <w:sz w:val="20"/>
          <w:szCs w:val="20"/>
          <w:color w:val="auto"/>
        </w:rPr>
      </w:pPr>
      <w:r>
        <w:rPr>
          <w:rFonts w:ascii="Arial" w:cs="Arial" w:eastAsia="Arial" w:hAnsi="Arial"/>
          <w:sz w:val="16"/>
          <w:szCs w:val="16"/>
          <w:b w:val="1"/>
          <w:bCs w:val="1"/>
          <w:color w:val="auto"/>
        </w:rPr>
        <w:t>Indicate by check mark whether the registrant is a shell company (as defined in Rule 12b-2 of the Act).</w:t>
      </w:r>
    </w:p>
    <w:p>
      <w:pPr>
        <w:spacing w:after="0" w:line="179" w:lineRule="exact"/>
        <w:rPr>
          <w:sz w:val="20"/>
          <w:szCs w:val="20"/>
          <w:color w:val="auto"/>
        </w:rPr>
      </w:pPr>
    </w:p>
    <w:p>
      <w:pPr>
        <w:ind w:left="4500"/>
        <w:spacing w:after="0" w:line="207" w:lineRule="exact"/>
        <w:rPr>
          <w:sz w:val="20"/>
          <w:szCs w:val="20"/>
          <w:color w:val="auto"/>
        </w:rPr>
      </w:pPr>
      <w:r>
        <w:rPr>
          <w:rFonts w:ascii="Arial" w:cs="Arial" w:eastAsia="Arial" w:hAnsi="Arial"/>
          <w:sz w:val="18"/>
          <w:szCs w:val="18"/>
          <w:b w:val="1"/>
          <w:bCs w:val="1"/>
          <w:color w:val="auto"/>
        </w:rPr>
        <w:t xml:space="preserve">YES </w:t>
      </w:r>
      <w:r>
        <w:rPr>
          <w:rFonts w:ascii="Arial" w:cs="Arial" w:eastAsia="Arial" w:hAnsi="Arial"/>
          <w:sz w:val="18"/>
          <w:szCs w:val="18"/>
          <w:color w:val="auto"/>
        </w:rPr>
        <w:t>o</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27" w:lineRule="exact"/>
        <w:rPr>
          <w:sz w:val="20"/>
          <w:szCs w:val="20"/>
          <w:color w:val="auto"/>
        </w:rPr>
      </w:pPr>
    </w:p>
    <w:p>
      <w:pPr>
        <w:ind w:left="1580"/>
        <w:spacing w:after="0"/>
        <w:rPr>
          <w:sz w:val="20"/>
          <w:szCs w:val="20"/>
          <w:color w:val="auto"/>
        </w:rPr>
      </w:pPr>
      <w:r>
        <w:rPr>
          <w:rFonts w:ascii="Arial" w:cs="Arial" w:eastAsia="Arial" w:hAnsi="Arial"/>
          <w:sz w:val="15"/>
          <w:szCs w:val="15"/>
          <w:b w:val="1"/>
          <w:bCs w:val="1"/>
          <w:color w:val="auto"/>
        </w:rPr>
        <w:t>Common stock, par value $1 per share: 47,095,991 shares outstanding as of 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159385</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176530</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843280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400" w:type="dxa"/>
            <w:vAlign w:val="bottom"/>
            <w:gridSpan w:val="28"/>
          </w:tcPr>
          <w:p>
            <w:pPr>
              <w:spacing w:after="0"/>
              <w:rPr>
                <w:sz w:val="20"/>
                <w:szCs w:val="20"/>
                <w:color w:val="auto"/>
              </w:rPr>
            </w:pPr>
            <w:r>
              <w:rPr>
                <w:rFonts w:ascii="Arial" w:cs="Arial" w:eastAsia="Arial" w:hAnsi="Arial"/>
                <w:sz w:val="18"/>
                <w:szCs w:val="18"/>
                <w:b w:val="1"/>
                <w:bCs w:val="1"/>
                <w:color w:val="auto"/>
              </w:rPr>
              <w:t>INDEX</w:t>
            </w:r>
          </w:p>
        </w:tc>
        <w:tc>
          <w:tcPr>
            <w:tcW w:w="840" w:type="dxa"/>
            <w:vAlign w:val="bottom"/>
          </w:tcPr>
          <w:p>
            <w:pPr>
              <w:spacing w:after="0"/>
              <w:rPr>
                <w:sz w:val="20"/>
                <w:szCs w:val="20"/>
                <w:color w:val="auto"/>
              </w:rPr>
            </w:pPr>
          </w:p>
        </w:tc>
      </w:tr>
      <w:tr>
        <w:trPr>
          <w:trHeight w:val="392"/>
        </w:trPr>
        <w:tc>
          <w:tcPr>
            <w:tcW w:w="2560" w:type="dxa"/>
            <w:vAlign w:val="bottom"/>
            <w:tcBorders>
              <w:bottom w:val="single" w:sz="8" w:color="0000EE"/>
            </w:tcBorders>
            <w:gridSpan w:val="14"/>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 — Financial Information</w:t>
              </w:r>
            </w:hyperlink>
          </w:p>
        </w:tc>
        <w:tc>
          <w:tcPr>
            <w:tcW w:w="5840" w:type="dxa"/>
            <w:vAlign w:val="bottom"/>
            <w:gridSpan w:val="14"/>
          </w:tcPr>
          <w:p>
            <w:pPr>
              <w:spacing w:after="0"/>
              <w:rPr>
                <w:sz w:val="24"/>
                <w:szCs w:val="24"/>
                <w:color w:val="auto"/>
              </w:rPr>
            </w:pPr>
          </w:p>
        </w:tc>
        <w:tc>
          <w:tcPr>
            <w:tcW w:w="840" w:type="dxa"/>
            <w:vAlign w:val="bottom"/>
          </w:tcPr>
          <w:p>
            <w:pPr>
              <w:spacing w:after="0"/>
              <w:rPr>
                <w:sz w:val="24"/>
                <w:szCs w:val="24"/>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tcBorders>
              <w:bottom w:val="single" w:sz="8" w:color="0000EE"/>
            </w:tcBorders>
            <w:gridSpan w:val="11"/>
          </w:tcPr>
          <w:p>
            <w:pPr>
              <w:spacing w:after="0"/>
              <w:rPr>
                <w:rFonts w:ascii="Arial" w:cs="Arial" w:eastAsia="Arial" w:hAnsi="Arial"/>
                <w:sz w:val="18"/>
                <w:szCs w:val="18"/>
                <w:b w:val="1"/>
                <w:bCs w:val="1"/>
                <w:color w:val="0000EE"/>
                <w:w w:val="90"/>
              </w:rPr>
            </w:pPr>
            <w:hyperlink w:anchor="page4">
              <w:r>
                <w:rPr>
                  <w:rFonts w:ascii="Arial" w:cs="Arial" w:eastAsia="Arial" w:hAnsi="Arial"/>
                  <w:sz w:val="18"/>
                  <w:szCs w:val="18"/>
                  <w:b w:val="1"/>
                  <w:bCs w:val="1"/>
                  <w:color w:val="0000EE"/>
                  <w:w w:val="90"/>
                </w:rPr>
                <w:t>Item 1. Financial Statements</w:t>
              </w:r>
            </w:hyperlink>
          </w:p>
        </w:tc>
        <w:tc>
          <w:tcPr>
            <w:tcW w:w="6000" w:type="dxa"/>
            <w:vAlign w:val="bottom"/>
            <w:gridSpan w:val="15"/>
          </w:tcPr>
          <w:p>
            <w:pPr>
              <w:spacing w:after="0"/>
              <w:rPr>
                <w:sz w:val="24"/>
                <w:szCs w:val="24"/>
                <w:color w:val="auto"/>
              </w:rPr>
            </w:pPr>
          </w:p>
        </w:tc>
        <w:tc>
          <w:tcPr>
            <w:tcW w:w="840" w:type="dxa"/>
            <w:vAlign w:val="bottom"/>
          </w:tcPr>
          <w:p>
            <w:pPr>
              <w:spacing w:after="0"/>
              <w:rPr>
                <w:sz w:val="24"/>
                <w:szCs w:val="24"/>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140" w:type="dxa"/>
            <w:vAlign w:val="bottom"/>
            <w:tcBorders>
              <w:bottom w:val="single" w:sz="8" w:color="0000EE"/>
            </w:tcBorders>
            <w:gridSpan w:val="22"/>
          </w:tcPr>
          <w:p>
            <w:pPr>
              <w:spacing w:after="0"/>
              <w:rPr>
                <w:rFonts w:ascii="Arial" w:cs="Arial" w:eastAsia="Arial" w:hAnsi="Arial"/>
                <w:sz w:val="18"/>
                <w:szCs w:val="18"/>
                <w:b w:val="1"/>
                <w:bCs w:val="1"/>
                <w:color w:val="0000EE"/>
                <w:w w:val="90"/>
              </w:rPr>
            </w:pPr>
            <w:hyperlink w:anchor="page4">
              <w:r>
                <w:rPr>
                  <w:rFonts w:ascii="Arial" w:cs="Arial" w:eastAsia="Arial" w:hAnsi="Arial"/>
                  <w:sz w:val="18"/>
                  <w:szCs w:val="18"/>
                  <w:b w:val="1"/>
                  <w:bCs w:val="1"/>
                  <w:color w:val="0000EE"/>
                  <w:w w:val="90"/>
                </w:rPr>
                <w:t>Consolidated Statement of Income (unaudited) for the Three and Six Months Ended June 30,</w:t>
              </w:r>
            </w:hyperlink>
          </w:p>
        </w:tc>
        <w:tc>
          <w:tcPr>
            <w:tcW w:w="86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0" w:type="dxa"/>
            <w:vAlign w:val="bottom"/>
            <w:gridSpan w:val="24"/>
          </w:tcPr>
          <w:p>
            <w:pPr>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2008 and 2007</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0" w:type="dxa"/>
            <w:vAlign w:val="bottom"/>
            <w:gridSpan w:val="25"/>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Consolidated Balance Sheet at June 30, 2008 (unaudited), December 31, 2007 (audited) and</w:t>
              </w:r>
            </w:hyperlink>
          </w:p>
        </w:tc>
        <w:tc>
          <w:tcPr>
            <w:tcW w:w="84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b w:val="1"/>
                <w:bCs w:val="1"/>
                <w:color w:val="0000EE"/>
                <w:w w:val="89"/>
              </w:rPr>
            </w:pPr>
            <w:hyperlink w:anchor="page6">
              <w:r>
                <w:rPr>
                  <w:rFonts w:ascii="Arial" w:cs="Arial" w:eastAsia="Arial" w:hAnsi="Arial"/>
                  <w:sz w:val="18"/>
                  <w:szCs w:val="18"/>
                  <w:b w:val="1"/>
                  <w:bCs w:val="1"/>
                  <w:color w:val="0000EE"/>
                  <w:w w:val="89"/>
                </w:rPr>
                <w:t>June 30, 2007 (unaudited)</w:t>
              </w:r>
            </w:hyperlink>
          </w:p>
        </w:tc>
        <w:tc>
          <w:tcPr>
            <w:tcW w:w="4780" w:type="dxa"/>
            <w:vAlign w:val="bottom"/>
            <w:tcBorders>
              <w:top w:val="single" w:sz="8" w:color="0000EE"/>
            </w:tcBorders>
            <w:gridSpan w:val="8"/>
          </w:tcPr>
          <w:p>
            <w:pPr>
              <w:spacing w:after="0"/>
              <w:rPr>
                <w:sz w:val="17"/>
                <w:szCs w:val="17"/>
                <w:color w:val="auto"/>
              </w:rPr>
            </w:pPr>
          </w:p>
        </w:tc>
        <w:tc>
          <w:tcPr>
            <w:tcW w:w="1020" w:type="dxa"/>
            <w:vAlign w:val="bottom"/>
            <w:gridSpan w:val="5"/>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0" w:type="dxa"/>
            <w:vAlign w:val="bottom"/>
            <w:gridSpan w:val="25"/>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Consolidated Statement of Changes in Shareholders’ Equity (unaudited) for the Six Months</w:t>
              </w:r>
            </w:hyperlink>
          </w:p>
        </w:tc>
        <w:tc>
          <w:tcPr>
            <w:tcW w:w="84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3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b w:val="1"/>
                <w:bCs w:val="1"/>
                <w:color w:val="0000EE"/>
                <w:w w:val="89"/>
              </w:rPr>
            </w:pPr>
            <w:hyperlink w:anchor="page7">
              <w:r>
                <w:rPr>
                  <w:rFonts w:ascii="Arial" w:cs="Arial" w:eastAsia="Arial" w:hAnsi="Arial"/>
                  <w:sz w:val="18"/>
                  <w:szCs w:val="18"/>
                  <w:b w:val="1"/>
                  <w:bCs w:val="1"/>
                  <w:color w:val="0000EE"/>
                  <w:w w:val="89"/>
                </w:rPr>
                <w:t>Ended June 30, 2008 and 2007</w:t>
              </w:r>
            </w:hyperlink>
          </w:p>
        </w:tc>
        <w:tc>
          <w:tcPr>
            <w:tcW w:w="4500" w:type="dxa"/>
            <w:vAlign w:val="bottom"/>
            <w:tcBorders>
              <w:top w:val="single" w:sz="8" w:color="0000EE"/>
            </w:tcBorders>
            <w:gridSpan w:val="7"/>
          </w:tcPr>
          <w:p>
            <w:pPr>
              <w:spacing w:after="0"/>
              <w:rPr>
                <w:sz w:val="17"/>
                <w:szCs w:val="17"/>
                <w:color w:val="auto"/>
              </w:rPr>
            </w:pPr>
          </w:p>
        </w:tc>
        <w:tc>
          <w:tcPr>
            <w:tcW w:w="960" w:type="dxa"/>
            <w:vAlign w:val="bottom"/>
            <w:gridSpan w:val="4"/>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60" w:type="dxa"/>
            <w:vAlign w:val="bottom"/>
            <w:tcBorders>
              <w:bottom w:val="single" w:sz="8" w:color="0000EE"/>
            </w:tcBorders>
            <w:gridSpan w:val="24"/>
          </w:tcPr>
          <w:p>
            <w:pPr>
              <w:spacing w:after="0"/>
              <w:rPr>
                <w:rFonts w:ascii="Arial" w:cs="Arial" w:eastAsia="Arial" w:hAnsi="Arial"/>
                <w:sz w:val="18"/>
                <w:szCs w:val="18"/>
                <w:b w:val="1"/>
                <w:bCs w:val="1"/>
                <w:color w:val="0000EE"/>
                <w:w w:val="89"/>
              </w:rPr>
            </w:pPr>
            <w:hyperlink w:anchor="page8">
              <w:r>
                <w:rPr>
                  <w:rFonts w:ascii="Arial" w:cs="Arial" w:eastAsia="Arial" w:hAnsi="Arial"/>
                  <w:sz w:val="18"/>
                  <w:szCs w:val="18"/>
                  <w:b w:val="1"/>
                  <w:bCs w:val="1"/>
                  <w:color w:val="0000EE"/>
                  <w:w w:val="89"/>
                </w:rPr>
                <w:t>Consolidated Statement of Cash Flows (unaudited) for the Six Months Ended June 30, 2008 and</w:t>
              </w:r>
            </w:hyperlink>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600" w:type="dxa"/>
            <w:vAlign w:val="bottom"/>
            <w:gridSpan w:val="4"/>
          </w:tcPr>
          <w:p>
            <w:pPr>
              <w:spacing w:after="0"/>
              <w:rPr>
                <w:sz w:val="17"/>
                <w:szCs w:val="17"/>
                <w:color w:val="auto"/>
              </w:rPr>
            </w:pPr>
          </w:p>
        </w:tc>
        <w:tc>
          <w:tcPr>
            <w:tcW w:w="36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84"/>
              </w:rPr>
            </w:pPr>
            <w:hyperlink w:anchor="page8">
              <w:r>
                <w:rPr>
                  <w:rFonts w:ascii="Arial" w:cs="Arial" w:eastAsia="Arial" w:hAnsi="Arial"/>
                  <w:sz w:val="18"/>
                  <w:szCs w:val="18"/>
                  <w:b w:val="1"/>
                  <w:bCs w:val="1"/>
                  <w:color w:val="0000EE"/>
                  <w:w w:val="84"/>
                </w:rPr>
                <w:t>2007</w:t>
              </w:r>
            </w:hyperlink>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40" w:type="dxa"/>
            <w:vAlign w:val="bottom"/>
            <w:tcBorders>
              <w:bottom w:val="single" w:sz="8" w:color="0000EE"/>
            </w:tcBorders>
            <w:gridSpan w:val="16"/>
          </w:tcPr>
          <w:p>
            <w:pPr>
              <w:spacing w:after="0"/>
              <w:rPr>
                <w:rFonts w:ascii="Arial" w:cs="Arial" w:eastAsia="Arial" w:hAnsi="Arial"/>
                <w:sz w:val="18"/>
                <w:szCs w:val="18"/>
                <w:b w:val="1"/>
                <w:bCs w:val="1"/>
                <w:color w:val="0000EE"/>
                <w:w w:val="88"/>
              </w:rPr>
            </w:pPr>
            <w:hyperlink w:anchor="page9">
              <w:r>
                <w:rPr>
                  <w:rFonts w:ascii="Arial" w:cs="Arial" w:eastAsia="Arial" w:hAnsi="Arial"/>
                  <w:sz w:val="18"/>
                  <w:szCs w:val="18"/>
                  <w:b w:val="1"/>
                  <w:bCs w:val="1"/>
                  <w:color w:val="0000EE"/>
                  <w:w w:val="88"/>
                </w:rPr>
                <w:t>Notes to Consolidated Financial Statements</w:t>
              </w:r>
            </w:hyperlink>
          </w:p>
        </w:tc>
        <w:tc>
          <w:tcPr>
            <w:tcW w:w="4660" w:type="dxa"/>
            <w:vAlign w:val="bottom"/>
            <w:gridSpan w:val="9"/>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20" w:type="dxa"/>
            <w:vAlign w:val="bottom"/>
            <w:tcBorders>
              <w:bottom w:val="single" w:sz="8" w:color="0000EE"/>
            </w:tcBorders>
            <w:gridSpan w:val="24"/>
          </w:tcPr>
          <w:p>
            <w:pPr>
              <w:spacing w:after="0"/>
              <w:rPr>
                <w:rFonts w:ascii="Arial" w:cs="Arial" w:eastAsia="Arial" w:hAnsi="Arial"/>
                <w:sz w:val="18"/>
                <w:szCs w:val="18"/>
                <w:b w:val="1"/>
                <w:bCs w:val="1"/>
                <w:color w:val="0000EE"/>
                <w:w w:val="89"/>
              </w:rPr>
            </w:pPr>
            <w:hyperlink w:anchor="page15">
              <w:r>
                <w:rPr>
                  <w:rFonts w:ascii="Arial" w:cs="Arial" w:eastAsia="Arial" w:hAnsi="Arial"/>
                  <w:sz w:val="18"/>
                  <w:szCs w:val="18"/>
                  <w:b w:val="1"/>
                  <w:bCs w:val="1"/>
                  <w:color w:val="0000EE"/>
                  <w:w w:val="89"/>
                </w:rPr>
                <w:t>Item 2. Management’s Discussion and Analysis of Financial Condition and Results of Operations</w:t>
              </w:r>
            </w:hyperlink>
          </w:p>
        </w:tc>
        <w:tc>
          <w:tcPr>
            <w:tcW w:w="780" w:type="dxa"/>
            <w:vAlign w:val="bottom"/>
            <w:gridSpan w:val="2"/>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0" w:type="dxa"/>
            <w:vAlign w:val="bottom"/>
            <w:gridSpan w:val="26"/>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 3. Quantitative and Qualitative Disclosures About Market Risk</w:t>
              </w:r>
            </w:hyperlink>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tcBorders>
              <w:top w:val="single" w:sz="8" w:color="0000EE"/>
              <w:bottom w:val="single" w:sz="8" w:color="0000EE"/>
            </w:tcBorders>
            <w:gridSpan w:val="14"/>
          </w:tcPr>
          <w:p>
            <w:pPr>
              <w:spacing w:after="0"/>
              <w:rPr>
                <w:rFonts w:ascii="Arial" w:cs="Arial" w:eastAsia="Arial" w:hAnsi="Arial"/>
                <w:sz w:val="18"/>
                <w:szCs w:val="18"/>
                <w:b w:val="1"/>
                <w:bCs w:val="1"/>
                <w:color w:val="0000EE"/>
                <w:w w:val="89"/>
              </w:rPr>
            </w:pPr>
            <w:hyperlink w:anchor="page34">
              <w:r>
                <w:rPr>
                  <w:rFonts w:ascii="Arial" w:cs="Arial" w:eastAsia="Arial" w:hAnsi="Arial"/>
                  <w:sz w:val="18"/>
                  <w:szCs w:val="18"/>
                  <w:b w:val="1"/>
                  <w:bCs w:val="1"/>
                  <w:color w:val="0000EE"/>
                  <w:w w:val="89"/>
                </w:rPr>
                <w:t>Item 4. Controls and Procedures</w:t>
              </w:r>
            </w:hyperlink>
          </w:p>
        </w:tc>
        <w:tc>
          <w:tcPr>
            <w:tcW w:w="2740" w:type="dxa"/>
            <w:vAlign w:val="bottom"/>
            <w:tcBorders>
              <w:top w:val="single" w:sz="8" w:color="0000EE"/>
            </w:tcBorders>
            <w:gridSpan w:val="6"/>
          </w:tcPr>
          <w:p>
            <w:pPr>
              <w:spacing w:after="0"/>
              <w:rPr>
                <w:sz w:val="24"/>
                <w:szCs w:val="24"/>
                <w:color w:val="auto"/>
              </w:rPr>
            </w:pPr>
          </w:p>
        </w:tc>
        <w:tc>
          <w:tcPr>
            <w:tcW w:w="2960" w:type="dxa"/>
            <w:vAlign w:val="bottom"/>
            <w:gridSpan w:val="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412"/>
        </w:trPr>
        <w:tc>
          <w:tcPr>
            <w:tcW w:w="8400" w:type="dxa"/>
            <w:vAlign w:val="bottom"/>
            <w:gridSpan w:val="28"/>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 — Other Information</w:t>
              </w:r>
            </w:hyperlink>
          </w:p>
        </w:tc>
        <w:tc>
          <w:tcPr>
            <w:tcW w:w="840" w:type="dxa"/>
            <w:vAlign w:val="bottom"/>
          </w:tcPr>
          <w:p>
            <w:pPr>
              <w:spacing w:after="0"/>
              <w:rPr>
                <w:sz w:val="24"/>
                <w:szCs w:val="24"/>
                <w:color w:val="auto"/>
              </w:rPr>
            </w:pPr>
          </w:p>
        </w:tc>
      </w:tr>
      <w:tr>
        <w:trPr>
          <w:trHeight w:val="412"/>
        </w:trPr>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160" w:type="dxa"/>
            <w:vAlign w:val="bottom"/>
            <w:tcBorders>
              <w:top w:val="single" w:sz="8" w:color="0000EE"/>
            </w:tcBorders>
            <w:gridSpan w:val="10"/>
          </w:tcPr>
          <w:p>
            <w:pPr>
              <w:spacing w:after="0"/>
              <w:rPr>
                <w:rFonts w:ascii="Arial" w:cs="Arial" w:eastAsia="Arial" w:hAnsi="Arial"/>
                <w:sz w:val="18"/>
                <w:szCs w:val="18"/>
                <w:b w:val="1"/>
                <w:bCs w:val="1"/>
                <w:color w:val="0000EE"/>
                <w:w w:val="96"/>
              </w:rPr>
            </w:pPr>
            <w:hyperlink w:anchor="page35">
              <w:r>
                <w:rPr>
                  <w:rFonts w:ascii="Arial" w:cs="Arial" w:eastAsia="Arial" w:hAnsi="Arial"/>
                  <w:sz w:val="18"/>
                  <w:szCs w:val="18"/>
                  <w:b w:val="1"/>
                  <w:bCs w:val="1"/>
                  <w:color w:val="0000EE"/>
                  <w:w w:val="96"/>
                </w:rPr>
                <w:t>Item 1. Legal Proceedings</w:t>
              </w:r>
            </w:hyperlink>
          </w:p>
        </w:tc>
        <w:tc>
          <w:tcPr>
            <w:tcW w:w="6040" w:type="dxa"/>
            <w:vAlign w:val="bottom"/>
            <w:gridSpan w:val="1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1A. Risk Factors</w:t>
              </w:r>
            </w:hyperlink>
          </w:p>
        </w:tc>
        <w:tc>
          <w:tcPr>
            <w:tcW w:w="6220" w:type="dxa"/>
            <w:vAlign w:val="bottom"/>
            <w:gridSpan w:val="18"/>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60" w:type="dxa"/>
            <w:vAlign w:val="bottom"/>
            <w:tcBorders>
              <w:bottom w:val="single" w:sz="8" w:color="0000EE"/>
            </w:tcBorders>
            <w:gridSpan w:val="19"/>
          </w:tcPr>
          <w:p>
            <w:pPr>
              <w:spacing w:after="0"/>
              <w:rPr>
                <w:rFonts w:ascii="Arial" w:cs="Arial" w:eastAsia="Arial" w:hAnsi="Arial"/>
                <w:sz w:val="18"/>
                <w:szCs w:val="18"/>
                <w:b w:val="1"/>
                <w:bCs w:val="1"/>
                <w:color w:val="0000EE"/>
                <w:w w:val="88"/>
              </w:rPr>
            </w:pPr>
            <w:hyperlink w:anchor="page35">
              <w:r>
                <w:rPr>
                  <w:rFonts w:ascii="Arial" w:cs="Arial" w:eastAsia="Arial" w:hAnsi="Arial"/>
                  <w:sz w:val="18"/>
                  <w:szCs w:val="18"/>
                  <w:b w:val="1"/>
                  <w:bCs w:val="1"/>
                  <w:color w:val="0000EE"/>
                  <w:w w:val="88"/>
                </w:rPr>
                <w:t>Item 2. Unregistered Sales of Equity Securities and Use of Proceeds</w:t>
              </w:r>
            </w:hyperlink>
          </w:p>
        </w:tc>
        <w:tc>
          <w:tcPr>
            <w:tcW w:w="3040" w:type="dxa"/>
            <w:vAlign w:val="bottom"/>
            <w:gridSpan w:val="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0" w:type="dxa"/>
            <w:vAlign w:val="bottom"/>
            <w:gridSpan w:val="26"/>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3. Defaults Upon Senior Securities</w:t>
              </w:r>
            </w:hyperlink>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64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0" w:type="dxa"/>
            <w:vAlign w:val="bottom"/>
            <w:gridSpan w:val="26"/>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4. Submission of Matters to a Vote of Security Holders</w:t>
              </w:r>
            </w:hyperlink>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60" w:type="dxa"/>
            <w:vAlign w:val="bottom"/>
            <w:tcBorders>
              <w:top w:val="single" w:sz="8" w:color="0000EE"/>
            </w:tcBorders>
            <w:gridSpan w:val="18"/>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5. Other Information</w:t>
              </w:r>
            </w:hyperlink>
          </w:p>
        </w:tc>
        <w:tc>
          <w:tcPr>
            <w:tcW w:w="3640" w:type="dxa"/>
            <w:vAlign w:val="bottom"/>
            <w:gridSpan w:val="8"/>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Borders>
              <w:top w:val="single" w:sz="8" w:color="0000EE"/>
            </w:tcBorders>
            <w:gridSpan w:val="9"/>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Item 6. Exhibits</w:t>
              </w:r>
            </w:hyperlink>
          </w:p>
        </w:tc>
        <w:tc>
          <w:tcPr>
            <w:tcW w:w="6180" w:type="dxa"/>
            <w:vAlign w:val="bottom"/>
            <w:gridSpan w:val="1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980" w:type="dxa"/>
            <w:vAlign w:val="bottom"/>
            <w:gridSpan w:val="21"/>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8360" w:type="dxa"/>
            <w:vAlign w:val="bottom"/>
            <w:gridSpan w:val="27"/>
          </w:tcPr>
          <w:p>
            <w:pPr>
              <w:spacing w:after="0"/>
              <w:rPr>
                <w:sz w:val="20"/>
                <w:szCs w:val="20"/>
                <w:color w:val="auto"/>
              </w:rPr>
            </w:pPr>
            <w:r>
              <w:rPr>
                <w:rFonts w:ascii="Arial" w:cs="Arial" w:eastAsia="Arial" w:hAnsi="Arial"/>
                <w:sz w:val="18"/>
                <w:szCs w:val="18"/>
                <w:color w:val="0000EE"/>
              </w:rPr>
              <w:t>Exhibit 31.1</w:t>
            </w:r>
          </w:p>
        </w:tc>
        <w:tc>
          <w:tcPr>
            <w:tcW w:w="8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31.2</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w:t>
      </w:r>
    </w:p>
    <w:p>
      <w:pPr>
        <w:spacing w:after="0" w:line="200" w:lineRule="exact"/>
        <w:rPr>
          <w:sz w:val="20"/>
          <w:szCs w:val="20"/>
          <w:color w:val="auto"/>
        </w:rPr>
      </w:pPr>
    </w:p>
    <w:p>
      <w:pPr>
        <w:spacing w:after="0" w:line="37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3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Item 1 — Financial Statements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UNITED COMMUNITY BANKS, INC.</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Consolidated Statement of Income </w:t>
            </w:r>
            <w:r>
              <w:rPr>
                <w:rFonts w:ascii="Arial" w:cs="Arial" w:eastAsia="Arial" w:hAnsi="Arial"/>
                <w:sz w:val="18"/>
                <w:szCs w:val="18"/>
                <w:i w:val="1"/>
                <w:iCs w:val="1"/>
                <w:color w:val="auto"/>
              </w:rPr>
              <w:t>(unaudited)</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w w:val="97"/>
              </w:rPr>
              <w:t>Three Months Ended</w:t>
            </w:r>
          </w:p>
        </w:tc>
        <w:tc>
          <w:tcPr>
            <w:tcW w:w="200" w:type="dxa"/>
            <w:vAlign w:val="bottom"/>
          </w:tcPr>
          <w:p>
            <w:pPr>
              <w:spacing w:after="0"/>
              <w:rPr>
                <w:sz w:val="24"/>
                <w:szCs w:val="24"/>
                <w:color w:val="auto"/>
              </w:rPr>
            </w:pPr>
          </w:p>
        </w:tc>
        <w:tc>
          <w:tcPr>
            <w:tcW w:w="21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40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40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Interest revenue: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Loans, including fees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97,051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119,799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206,317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233,872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Investment securities: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400"/>
              <w:spacing w:after="0"/>
              <w:rPr>
                <w:sz w:val="20"/>
                <w:szCs w:val="20"/>
                <w:color w:val="auto"/>
              </w:rPr>
            </w:pPr>
            <w:r>
              <w:rPr>
                <w:rFonts w:ascii="Arial" w:cs="Arial" w:eastAsia="Arial" w:hAnsi="Arial"/>
                <w:sz w:val="18"/>
                <w:szCs w:val="18"/>
                <w:color w:val="auto"/>
              </w:rPr>
              <w:t>Taxable</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18,879</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15,476</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37,507</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29,444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Tax exempt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Federal funds sold and deposits in banks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Total interest revenue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116,378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135,793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244,888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264,339</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Interest expense:</w:t>
            </w: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400"/>
              <w:spacing w:after="0"/>
              <w:rPr>
                <w:sz w:val="20"/>
                <w:szCs w:val="20"/>
                <w:color w:val="auto"/>
              </w:rPr>
            </w:pPr>
            <w:r>
              <w:rPr>
                <w:rFonts w:ascii="Arial" w:cs="Arial" w:eastAsia="Arial" w:hAnsi="Arial"/>
                <w:sz w:val="18"/>
                <w:szCs w:val="18"/>
                <w:color w:val="auto"/>
              </w:rPr>
              <w:t>NOW</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7,216</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11,470</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15,803</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22,097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Money market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2,310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3,540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5,223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400"/>
              <w:spacing w:after="0"/>
              <w:rPr>
                <w:sz w:val="20"/>
                <w:szCs w:val="20"/>
                <w:color w:val="auto"/>
              </w:rPr>
            </w:pPr>
            <w:r>
              <w:rPr>
                <w:rFonts w:ascii="Arial" w:cs="Arial" w:eastAsia="Arial" w:hAnsi="Arial"/>
                <w:sz w:val="18"/>
                <w:szCs w:val="18"/>
                <w:color w:val="auto"/>
              </w:rPr>
              <w:t>Savings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374</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407</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Time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38,828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41,979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77,712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83,604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00" w:type="dxa"/>
            <w:vAlign w:val="bottom"/>
            <w:gridSpan w:val="3"/>
          </w:tcPr>
          <w:p>
            <w:pPr>
              <w:ind w:left="600"/>
              <w:spacing w:after="0"/>
              <w:rPr>
                <w:sz w:val="20"/>
                <w:szCs w:val="20"/>
                <w:color w:val="auto"/>
              </w:rPr>
            </w:pPr>
            <w:r>
              <w:rPr>
                <w:rFonts w:ascii="Arial" w:cs="Arial" w:eastAsia="Arial" w:hAnsi="Arial"/>
                <w:sz w:val="18"/>
                <w:szCs w:val="18"/>
                <w:color w:val="auto"/>
              </w:rPr>
              <w:t>Total deposit interest expense</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48,534</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57,363</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99,145</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112,464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40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Federal funds purchased, repurchase agreements, &amp;</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4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other short-term borrowings</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1,820</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3,671</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6,138</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5,488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Federal Home Loan Bank advances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2,818</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5,035</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8,563</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9,836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2,059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2,201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4,139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4,405</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400" w:type="dxa"/>
            <w:vAlign w:val="bottom"/>
            <w:gridSpan w:val="3"/>
          </w:tcPr>
          <w:p>
            <w:pPr>
              <w:ind w:left="400"/>
              <w:spacing w:after="0"/>
              <w:rPr>
                <w:sz w:val="20"/>
                <w:szCs w:val="20"/>
                <w:color w:val="auto"/>
              </w:rPr>
            </w:pPr>
            <w:r>
              <w:rPr>
                <w:rFonts w:ascii="Arial" w:cs="Arial" w:eastAsia="Arial" w:hAnsi="Arial"/>
                <w:sz w:val="18"/>
                <w:szCs w:val="18"/>
                <w:color w:val="auto"/>
              </w:rPr>
              <w:t>Total interest expense</w:t>
            </w: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55,231</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68,270</w:t>
            </w: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117,985</w:t>
            </w: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132,193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Net interest revenue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61,147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67,523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126,903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132,146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Provision for loan losses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15,500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18,700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23,000</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22,400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w w:val="99"/>
              </w:rPr>
              <w:t>Net interest revenue after provision for loan losses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103,903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109,746</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Fee revenue:</w:t>
            </w: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Service charges and fees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7,957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7,975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15,770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15,228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Mortgage loan and other related fees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2,202</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2,476</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4,165</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4,699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Consulting fees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2,252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2,241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4,059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3,988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Brokerage fees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814</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1,192</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1,907</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Securities gains,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Losses on prepayment of borrowings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(1,164)</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1,523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2,448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3,044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4,456</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400" w:type="dxa"/>
            <w:vAlign w:val="bottom"/>
            <w:gridSpan w:val="3"/>
          </w:tcPr>
          <w:p>
            <w:pPr>
              <w:ind w:left="400"/>
              <w:spacing w:after="0"/>
              <w:rPr>
                <w:sz w:val="20"/>
                <w:szCs w:val="20"/>
                <w:color w:val="auto"/>
              </w:rPr>
            </w:pPr>
            <w:r>
              <w:rPr>
                <w:rFonts w:ascii="Arial" w:cs="Arial" w:eastAsia="Arial" w:hAnsi="Arial"/>
                <w:sz w:val="18"/>
                <w:szCs w:val="18"/>
                <w:color w:val="auto"/>
              </w:rPr>
              <w:t>Total fee revenue</w:t>
            </w: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15,105</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16,554</w:t>
            </w: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29,302</w:t>
            </w: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40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60,752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65,377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133,205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140,682</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Salaries and employee benefits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28,753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30,022</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57,507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58,339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Communications and equipment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3,852</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3,845</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7,684</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7,657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Occupancy</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3,704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3,316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7,420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6,507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Advertising and public relations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2,009</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2,098</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3,360</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Postage, printing and supplies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1,448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3,040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Professional fees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1,679</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3,600</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1,512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7,571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4,098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13,167</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7,900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97,290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92,543</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10,991</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17,675</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35,915</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3,898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5,764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12,744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16,883</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00" w:type="dxa"/>
            <w:vAlign w:val="bottom"/>
            <w:gridSpan w:val="3"/>
          </w:tcPr>
          <w:p>
            <w:pPr>
              <w:ind w:left="40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7,093</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11,911</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23,171</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Net income available to common shareholders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7,089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11,906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23,163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31,246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00" w:type="dxa"/>
            <w:vAlign w:val="bottom"/>
            <w:gridSpan w:val="3"/>
            <w:vMerge w:val="restart"/>
          </w:tcPr>
          <w:p>
            <w:pPr>
              <w:spacing w:after="0"/>
              <w:rPr>
                <w:sz w:val="20"/>
                <w:szCs w:val="20"/>
                <w:color w:val="auto"/>
              </w:rPr>
            </w:pPr>
            <w:r>
              <w:rPr>
                <w:rFonts w:ascii="Arial" w:cs="Arial" w:eastAsia="Arial" w:hAnsi="Arial"/>
                <w:sz w:val="18"/>
                <w:szCs w:val="18"/>
                <w:color w:val="auto"/>
              </w:rPr>
              <w:t>Earnings per common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440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Dividends per common share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47,060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44,949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47,013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43,980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400" w:type="dxa"/>
            <w:vAlign w:val="bottom"/>
            <w:gridSpan w:val="3"/>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47,249</w:t>
            </w:r>
          </w:p>
        </w:tc>
        <w:tc>
          <w:tcPr>
            <w:tcW w:w="2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45,761</w:t>
            </w:r>
          </w:p>
        </w:tc>
        <w:tc>
          <w:tcPr>
            <w:tcW w:w="2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47,260</w:t>
            </w:r>
          </w:p>
        </w:tc>
        <w:tc>
          <w:tcPr>
            <w:tcW w:w="2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44,842</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Consolidated Financial Statements</w:t>
      </w:r>
    </w:p>
    <w:p>
      <w:pPr>
        <w:sectPr>
          <w:pgSz w:w="11900" w:h="16847" w:orient="portrait"/>
          <w:cols w:equalWidth="0" w:num="1">
            <w:col w:w="10219"/>
          </w:cols>
          <w:pgMar w:left="240" w:top="405" w:right="1440" w:bottom="0" w:gutter="0" w:footer="0" w:header="0"/>
        </w:sectPr>
      </w:pPr>
    </w:p>
    <w:bookmarkStart w:id="4" w:name="page5"/>
    <w:bookmarkEnd w:id="4"/>
    <w:p>
      <w:pPr>
        <w:ind w:left="376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179070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15"/>
        </w:trPr>
        <w:tc>
          <w:tcPr>
            <w:tcW w:w="34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UNITED COMMUNITY BANKS, INC.</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June 30,</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24"/>
                <w:szCs w:val="2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340" w:type="dxa"/>
            <w:vAlign w:val="bottom"/>
          </w:tcPr>
          <w:p>
            <w:pPr>
              <w:spacing w:after="0"/>
              <w:rPr>
                <w:sz w:val="20"/>
                <w:szCs w:val="20"/>
                <w:color w:val="auto"/>
              </w:rPr>
            </w:pPr>
          </w:p>
        </w:tc>
        <w:tc>
          <w:tcPr>
            <w:tcW w:w="5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 except share and per share data)</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2008</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2007</w:t>
            </w:r>
          </w:p>
        </w:tc>
        <w:tc>
          <w:tcPr>
            <w:tcW w:w="80" w:type="dxa"/>
            <w:vAlign w:val="bottom"/>
          </w:tcPr>
          <w:p>
            <w:pPr>
              <w:spacing w:after="0"/>
              <w:rPr>
                <w:sz w:val="20"/>
                <w:szCs w:val="20"/>
                <w:color w:val="auto"/>
              </w:rPr>
            </w:pPr>
          </w:p>
        </w:tc>
      </w:tr>
      <w:tr>
        <w:trPr>
          <w:trHeight w:val="224"/>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i w:val="1"/>
                <w:iCs w:val="1"/>
                <w:color w:val="auto"/>
                <w:w w:val="92"/>
              </w:rPr>
              <w:t>(unaudited)</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i w:val="1"/>
                <w:iCs w:val="1"/>
                <w:color w:val="auto"/>
                <w:w w:val="98"/>
              </w:rPr>
              <w:t>(audited)</w:t>
            </w:r>
          </w:p>
        </w:tc>
        <w:tc>
          <w:tcPr>
            <w:tcW w:w="360" w:type="dxa"/>
            <w:vAlign w:val="bottom"/>
          </w:tcPr>
          <w:p>
            <w:pPr>
              <w:spacing w:after="0"/>
              <w:rPr>
                <w:sz w:val="19"/>
                <w:szCs w:val="19"/>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i w:val="1"/>
                <w:iCs w:val="1"/>
                <w:color w:val="auto"/>
                <w:w w:val="92"/>
              </w:rPr>
              <w:t>(unaudited)</w:t>
            </w:r>
          </w:p>
        </w:tc>
        <w:tc>
          <w:tcPr>
            <w:tcW w:w="80" w:type="dxa"/>
            <w:vAlign w:val="bottom"/>
          </w:tcPr>
          <w:p>
            <w:pPr>
              <w:spacing w:after="0"/>
              <w:rPr>
                <w:sz w:val="19"/>
                <w:szCs w:val="19"/>
                <w:color w:val="auto"/>
              </w:rPr>
            </w:pPr>
          </w:p>
        </w:tc>
      </w:tr>
      <w:tr>
        <w:trPr>
          <w:trHeight w:val="202"/>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Cash and due from banks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176,240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157,549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171,095</w:t>
            </w: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Interest-bearing deposits in banks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12,455</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62,074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23,146</w:t>
            </w:r>
          </w:p>
        </w:tc>
      </w:tr>
      <w:tr>
        <w:trPr>
          <w:trHeight w:val="224"/>
        </w:trPr>
        <w:tc>
          <w:tcPr>
            <w:tcW w:w="340" w:type="dxa"/>
            <w:vAlign w:val="bottom"/>
          </w:tcPr>
          <w:p>
            <w:pPr>
              <w:spacing w:after="0"/>
              <w:rPr>
                <w:sz w:val="19"/>
                <w:szCs w:val="19"/>
                <w:color w:val="auto"/>
              </w:rPr>
            </w:pPr>
          </w:p>
        </w:tc>
        <w:tc>
          <w:tcPr>
            <w:tcW w:w="5360" w:type="dxa"/>
            <w:vAlign w:val="bottom"/>
            <w:gridSpan w:val="2"/>
          </w:tcPr>
          <w:p>
            <w:pPr>
              <w:ind w:left="40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188,695</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219,623</w:t>
            </w: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194,241</w:t>
            </w:r>
          </w:p>
        </w:tc>
        <w:tc>
          <w:tcPr>
            <w:tcW w:w="8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Securities available for sale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1,430,588</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1,356,846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1,213,659</w:t>
            </w:r>
          </w:p>
        </w:tc>
      </w:tr>
      <w:tr>
        <w:trPr>
          <w:trHeight w:val="216"/>
        </w:trPr>
        <w:tc>
          <w:tcPr>
            <w:tcW w:w="340" w:type="dxa"/>
            <w:vAlign w:val="bottom"/>
          </w:tcPr>
          <w:p>
            <w:pPr>
              <w:spacing w:after="0"/>
              <w:rPr>
                <w:sz w:val="18"/>
                <w:szCs w:val="18"/>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Mortgage loans held for sale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27,094</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28,004</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30,615</w:t>
            </w: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Loans, net of unearned income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5,933,141</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5,929,263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5,999,093</w:t>
            </w:r>
          </w:p>
        </w:tc>
      </w:tr>
      <w:tr>
        <w:trPr>
          <w:trHeight w:val="216"/>
        </w:trPr>
        <w:tc>
          <w:tcPr>
            <w:tcW w:w="340" w:type="dxa"/>
            <w:vAlign w:val="bottom"/>
          </w:tcPr>
          <w:p>
            <w:pPr>
              <w:spacing w:after="0"/>
              <w:rPr>
                <w:sz w:val="18"/>
                <w:szCs w:val="18"/>
                <w:color w:val="auto"/>
              </w:rPr>
            </w:pPr>
          </w:p>
        </w:tc>
        <w:tc>
          <w:tcPr>
            <w:tcW w:w="5360" w:type="dxa"/>
            <w:vAlign w:val="bottom"/>
            <w:gridSpan w:val="2"/>
          </w:tcPr>
          <w:p>
            <w:pPr>
              <w:ind w:left="400"/>
              <w:spacing w:after="0"/>
              <w:rPr>
                <w:sz w:val="20"/>
                <w:szCs w:val="20"/>
                <w:color w:val="auto"/>
              </w:rPr>
            </w:pPr>
            <w:r>
              <w:rPr>
                <w:rFonts w:ascii="Arial" w:cs="Arial" w:eastAsia="Arial" w:hAnsi="Arial"/>
                <w:sz w:val="18"/>
                <w:szCs w:val="18"/>
                <w:color w:val="auto"/>
              </w:rPr>
              <w:t>Less allowance for loan losses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91,035</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89,423</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92,471</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Loans, net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5,842,106</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5,839,840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5,906,622</w:t>
            </w:r>
          </w:p>
        </w:tc>
      </w:tr>
      <w:tr>
        <w:trPr>
          <w:trHeight w:val="432"/>
        </w:trPr>
        <w:tc>
          <w:tcPr>
            <w:tcW w:w="340" w:type="dxa"/>
            <w:vAlign w:val="bottom"/>
          </w:tcPr>
          <w:p>
            <w:pPr>
              <w:spacing w:after="0"/>
              <w:rPr>
                <w:sz w:val="24"/>
                <w:szCs w:val="24"/>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Premises and equipment, net</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181,395</w:t>
            </w:r>
          </w:p>
        </w:tc>
        <w:tc>
          <w:tcPr>
            <w:tcW w:w="140" w:type="dxa"/>
            <w:vAlign w:val="bottom"/>
          </w:tcPr>
          <w:p>
            <w:pPr>
              <w:spacing w:after="0"/>
              <w:rPr>
                <w:sz w:val="24"/>
                <w:szCs w:val="2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180,088</w:t>
            </w:r>
          </w:p>
        </w:tc>
        <w:tc>
          <w:tcPr>
            <w:tcW w:w="12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171,327</w:t>
            </w: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interest receivable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50,399</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62,828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64,538</w:t>
            </w:r>
          </w:p>
        </w:tc>
      </w:tr>
      <w:tr>
        <w:trPr>
          <w:trHeight w:val="216"/>
        </w:trPr>
        <w:tc>
          <w:tcPr>
            <w:tcW w:w="340" w:type="dxa"/>
            <w:vAlign w:val="bottom"/>
          </w:tcPr>
          <w:p>
            <w:pPr>
              <w:spacing w:after="0"/>
              <w:rPr>
                <w:sz w:val="18"/>
                <w:szCs w:val="18"/>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Goodwill and other intangible 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323,296</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325,305</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326,467</w:t>
            </w: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220,478</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194,768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180,198</w:t>
            </w:r>
          </w:p>
        </w:tc>
      </w:tr>
      <w:tr>
        <w:trPr>
          <w:trHeight w:val="223"/>
        </w:trPr>
        <w:tc>
          <w:tcPr>
            <w:tcW w:w="340" w:type="dxa"/>
            <w:vAlign w:val="bottom"/>
          </w:tcPr>
          <w:p>
            <w:pPr>
              <w:spacing w:after="0"/>
              <w:rPr>
                <w:sz w:val="19"/>
                <w:szCs w:val="19"/>
                <w:color w:val="auto"/>
              </w:rPr>
            </w:pPr>
          </w:p>
        </w:tc>
        <w:tc>
          <w:tcPr>
            <w:tcW w:w="536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8,264,051</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8,207,302</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8,087,667</w:t>
            </w: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Deposits: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tcPr>
          <w:p>
            <w:pPr>
              <w:ind w:left="400"/>
              <w:spacing w:after="0"/>
              <w:rPr>
                <w:sz w:val="20"/>
                <w:szCs w:val="20"/>
                <w:color w:val="auto"/>
              </w:rPr>
            </w:pPr>
            <w:r>
              <w:rPr>
                <w:rFonts w:ascii="Arial" w:cs="Arial" w:eastAsia="Arial" w:hAnsi="Arial"/>
                <w:sz w:val="18"/>
                <w:szCs w:val="18"/>
                <w:color w:val="auto"/>
              </w:rPr>
              <w:t>Demand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696,575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700,941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773,435</w:t>
            </w: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NOW</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1,541,609</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1,474,818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1,447,789</w:t>
            </w:r>
          </w:p>
        </w:tc>
      </w:tr>
      <w:tr>
        <w:trPr>
          <w:trHeight w:val="216"/>
        </w:trPr>
        <w:tc>
          <w:tcPr>
            <w:tcW w:w="340" w:type="dxa"/>
            <w:vAlign w:val="bottom"/>
          </w:tcPr>
          <w:p>
            <w:pPr>
              <w:spacing w:after="0"/>
              <w:rPr>
                <w:sz w:val="18"/>
                <w:szCs w:val="18"/>
                <w:color w:val="auto"/>
              </w:rPr>
            </w:pPr>
          </w:p>
        </w:tc>
        <w:tc>
          <w:tcPr>
            <w:tcW w:w="5360" w:type="dxa"/>
            <w:vAlign w:val="bottom"/>
            <w:gridSpan w:val="2"/>
          </w:tcPr>
          <w:p>
            <w:pPr>
              <w:ind w:left="400"/>
              <w:spacing w:after="0"/>
              <w:rPr>
                <w:sz w:val="20"/>
                <w:szCs w:val="20"/>
                <w:color w:val="auto"/>
              </w:rPr>
            </w:pPr>
            <w:r>
              <w:rPr>
                <w:rFonts w:ascii="Arial" w:cs="Arial" w:eastAsia="Arial" w:hAnsi="Arial"/>
                <w:sz w:val="18"/>
                <w:szCs w:val="18"/>
                <w:color w:val="auto"/>
              </w:rPr>
              <w:t>Money market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418,935</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452,917</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504,730</w:t>
            </w: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Savings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187,088</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186,392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207,468</w:t>
            </w:r>
          </w:p>
        </w:tc>
      </w:tr>
      <w:tr>
        <w:trPr>
          <w:trHeight w:val="216"/>
        </w:trPr>
        <w:tc>
          <w:tcPr>
            <w:tcW w:w="340" w:type="dxa"/>
            <w:vAlign w:val="bottom"/>
          </w:tcPr>
          <w:p>
            <w:pPr>
              <w:spacing w:after="0"/>
              <w:rPr>
                <w:sz w:val="18"/>
                <w:szCs w:val="18"/>
                <w:color w:val="auto"/>
              </w:rPr>
            </w:pPr>
          </w:p>
        </w:tc>
        <w:tc>
          <w:tcPr>
            <w:tcW w:w="5360" w:type="dxa"/>
            <w:vAlign w:val="bottom"/>
            <w:gridSpan w:val="2"/>
          </w:tcPr>
          <w:p>
            <w:pPr>
              <w:ind w:left="400"/>
              <w:spacing w:after="0"/>
              <w:rPr>
                <w:sz w:val="20"/>
                <w:szCs w:val="20"/>
                <w:color w:val="auto"/>
              </w:rPr>
            </w:pPr>
            <w:r>
              <w:rPr>
                <w:rFonts w:ascii="Arial" w:cs="Arial" w:eastAsia="Arial" w:hAnsi="Arial"/>
                <w:sz w:val="18"/>
                <w:szCs w:val="18"/>
                <w:color w:val="auto"/>
              </w:rPr>
              <w:t>Time: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Less than $100,000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1,744,217</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1,573,604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1,651,486</w:t>
            </w:r>
          </w:p>
        </w:tc>
      </w:tr>
      <w:tr>
        <w:trPr>
          <w:trHeight w:val="216"/>
        </w:trPr>
        <w:tc>
          <w:tcPr>
            <w:tcW w:w="340" w:type="dxa"/>
            <w:vAlign w:val="bottom"/>
          </w:tcPr>
          <w:p>
            <w:pPr>
              <w:spacing w:after="0"/>
              <w:rPr>
                <w:sz w:val="18"/>
                <w:szCs w:val="18"/>
                <w:color w:val="auto"/>
              </w:rPr>
            </w:pPr>
          </w:p>
        </w:tc>
        <w:tc>
          <w:tcPr>
            <w:tcW w:w="5360" w:type="dxa"/>
            <w:vAlign w:val="bottom"/>
            <w:gridSpan w:val="2"/>
          </w:tcPr>
          <w:p>
            <w:pPr>
              <w:ind w:left="600"/>
              <w:spacing w:after="0"/>
              <w:rPr>
                <w:sz w:val="20"/>
                <w:szCs w:val="20"/>
                <w:color w:val="auto"/>
              </w:rPr>
            </w:pPr>
            <w:r>
              <w:rPr>
                <w:rFonts w:ascii="Arial" w:cs="Arial" w:eastAsia="Arial" w:hAnsi="Arial"/>
                <w:sz w:val="18"/>
                <w:szCs w:val="18"/>
                <w:color w:val="auto"/>
              </w:rPr>
              <w:t>Greater than $100,000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1,573,078</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1,364,763</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1,428,841</w:t>
            </w: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Brokered</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534,954</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322,516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347,520</w:t>
            </w:r>
          </w:p>
        </w:tc>
      </w:tr>
      <w:tr>
        <w:trPr>
          <w:trHeight w:val="224"/>
        </w:trPr>
        <w:tc>
          <w:tcPr>
            <w:tcW w:w="340" w:type="dxa"/>
            <w:vAlign w:val="bottom"/>
          </w:tcPr>
          <w:p>
            <w:pPr>
              <w:spacing w:after="0"/>
              <w:rPr>
                <w:sz w:val="19"/>
                <w:szCs w:val="19"/>
                <w:color w:val="auto"/>
              </w:rPr>
            </w:pPr>
          </w:p>
        </w:tc>
        <w:tc>
          <w:tcPr>
            <w:tcW w:w="5360" w:type="dxa"/>
            <w:vAlign w:val="bottom"/>
            <w:gridSpan w:val="2"/>
          </w:tcPr>
          <w:p>
            <w:pPr>
              <w:ind w:left="800"/>
              <w:spacing w:after="0"/>
              <w:rPr>
                <w:sz w:val="20"/>
                <w:szCs w:val="20"/>
                <w:color w:val="auto"/>
              </w:rPr>
            </w:pPr>
            <w:r>
              <w:rPr>
                <w:rFonts w:ascii="Arial" w:cs="Arial" w:eastAsia="Arial" w:hAnsi="Arial"/>
                <w:sz w:val="18"/>
                <w:szCs w:val="18"/>
                <w:color w:val="auto"/>
              </w:rPr>
              <w:t>Total deposits</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6,696,456</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6,075,951</w:t>
            </w: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6,361,269</w:t>
            </w:r>
          </w:p>
        </w:tc>
        <w:tc>
          <w:tcPr>
            <w:tcW w:w="8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53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89"/>
              </w:rPr>
              <w:t>Federal funds purchased, repurchase agreements, and other short-term</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53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borrowings</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288,650</w:t>
            </w: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638,462</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238,429</w:t>
            </w:r>
          </w:p>
        </w:tc>
      </w:tr>
      <w:tr>
        <w:trPr>
          <w:trHeight w:val="216"/>
        </w:trPr>
        <w:tc>
          <w:tcPr>
            <w:tcW w:w="340" w:type="dxa"/>
            <w:vAlign w:val="bottom"/>
          </w:tcPr>
          <w:p>
            <w:pPr>
              <w:spacing w:after="0"/>
              <w:rPr>
                <w:sz w:val="18"/>
                <w:szCs w:val="18"/>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Federal Home Loan Bank advances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285,807</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519,782</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499,060</w:t>
            </w: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107,996</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107,996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113,151</w:t>
            </w:r>
          </w:p>
        </w:tc>
      </w:tr>
      <w:tr>
        <w:trPr>
          <w:trHeight w:val="216"/>
        </w:trPr>
        <w:tc>
          <w:tcPr>
            <w:tcW w:w="340" w:type="dxa"/>
            <w:vAlign w:val="bottom"/>
          </w:tcPr>
          <w:p>
            <w:pPr>
              <w:spacing w:after="0"/>
              <w:rPr>
                <w:sz w:val="18"/>
                <w:szCs w:val="18"/>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47,252</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33,209</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47,027</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7,426,161</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7,375,400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7,258,936</w:t>
            </w:r>
          </w:p>
        </w:tc>
      </w:tr>
      <w:tr>
        <w:trPr>
          <w:trHeight w:val="439"/>
        </w:trPr>
        <w:tc>
          <w:tcPr>
            <w:tcW w:w="34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340" w:type="dxa"/>
            <w:vAlign w:val="bottom"/>
          </w:tcPr>
          <w:p>
            <w:pPr>
              <w:spacing w:after="0"/>
              <w:rPr>
                <w:sz w:val="17"/>
                <w:szCs w:val="17"/>
                <w:color w:val="auto"/>
              </w:rPr>
            </w:pPr>
          </w:p>
        </w:tc>
        <w:tc>
          <w:tcPr>
            <w:tcW w:w="53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Preferred stock, $1 par value; $10 stated value; 10,000,000 shares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53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8"/>
              </w:rPr>
              <w:t>authorized; 25,800, 25,800 and 32,200 shares issued and outstanding</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258</w:t>
            </w: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w:t>
            </w:r>
          </w:p>
        </w:tc>
      </w:tr>
      <w:tr>
        <w:trPr>
          <w:trHeight w:val="202"/>
        </w:trPr>
        <w:tc>
          <w:tcPr>
            <w:tcW w:w="340" w:type="dxa"/>
            <w:vAlign w:val="bottom"/>
          </w:tcPr>
          <w:p>
            <w:pPr>
              <w:spacing w:after="0"/>
              <w:rPr>
                <w:sz w:val="17"/>
                <w:szCs w:val="17"/>
                <w:color w:val="auto"/>
              </w:rPr>
            </w:pPr>
          </w:p>
        </w:tc>
        <w:tc>
          <w:tcPr>
            <w:tcW w:w="536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Common stock, $1 par value; 100,000,000 shares authorized;</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5360" w:type="dxa"/>
            <w:vAlign w:val="bottom"/>
            <w:gridSpan w:val="2"/>
          </w:tcPr>
          <w:p>
            <w:pPr>
              <w:ind w:left="400"/>
              <w:spacing w:after="0"/>
              <w:rPr>
                <w:sz w:val="20"/>
                <w:szCs w:val="20"/>
                <w:color w:val="auto"/>
              </w:rPr>
            </w:pPr>
            <w:r>
              <w:rPr>
                <w:rFonts w:ascii="Arial" w:cs="Arial" w:eastAsia="Arial" w:hAnsi="Arial"/>
                <w:sz w:val="18"/>
                <w:szCs w:val="18"/>
                <w:color w:val="auto"/>
              </w:rPr>
              <w:t>48,809,301, 48,809,301 and 48,781,351 shares issued</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48,809</w:t>
            </w:r>
          </w:p>
        </w:tc>
        <w:tc>
          <w:tcPr>
            <w:tcW w:w="14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48,809</w:t>
            </w:r>
          </w:p>
        </w:tc>
        <w:tc>
          <w:tcPr>
            <w:tcW w:w="1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48,781</w:t>
            </w: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stock issuable; 105,579, 73,250 and 60,761 shares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2,696</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1,816</w:t>
            </w:r>
          </w:p>
        </w:tc>
      </w:tr>
      <w:tr>
        <w:trPr>
          <w:trHeight w:val="216"/>
        </w:trPr>
        <w:tc>
          <w:tcPr>
            <w:tcW w:w="340" w:type="dxa"/>
            <w:vAlign w:val="bottom"/>
          </w:tcPr>
          <w:p>
            <w:pPr>
              <w:spacing w:after="0"/>
              <w:rPr>
                <w:sz w:val="18"/>
                <w:szCs w:val="18"/>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Capital surplus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462,939</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462,881</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461,226</w:t>
            </w: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362,089</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347,391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329,229</w:t>
            </w:r>
          </w:p>
        </w:tc>
      </w:tr>
      <w:tr>
        <w:trPr>
          <w:trHeight w:val="216"/>
        </w:trPr>
        <w:tc>
          <w:tcPr>
            <w:tcW w:w="340" w:type="dxa"/>
            <w:vAlign w:val="bottom"/>
          </w:tcPr>
          <w:p>
            <w:pPr>
              <w:spacing w:after="0"/>
              <w:rPr>
                <w:sz w:val="18"/>
                <w:szCs w:val="18"/>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Treasury stock; 1,713,310 and 1,905,921 shares, at cost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(39,222)</w:t>
            </w:r>
          </w:p>
        </w:tc>
        <w:tc>
          <w:tcPr>
            <w:tcW w:w="14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(43,798)</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14,261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(12,643)</w:t>
            </w:r>
          </w:p>
        </w:tc>
      </w:tr>
      <w:tr>
        <w:trPr>
          <w:trHeight w:val="223"/>
        </w:trPr>
        <w:tc>
          <w:tcPr>
            <w:tcW w:w="340" w:type="dxa"/>
            <w:vAlign w:val="bottom"/>
          </w:tcPr>
          <w:p>
            <w:pPr>
              <w:spacing w:after="0"/>
              <w:rPr>
                <w:sz w:val="19"/>
                <w:szCs w:val="19"/>
                <w:color w:val="auto"/>
              </w:rPr>
            </w:pPr>
          </w:p>
        </w:tc>
        <w:tc>
          <w:tcPr>
            <w:tcW w:w="536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 shareholders’ equity</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837,890</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831,902</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828,731</w:t>
            </w:r>
          </w:p>
        </w:tc>
        <w:tc>
          <w:tcPr>
            <w:tcW w:w="8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536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Total liabilities and shareholders’ equity</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8,264,051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8,207,302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8,087,667</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9"/>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00" w:type="dxa"/>
            <w:vAlign w:val="bottom"/>
            <w:gridSpan w:val="5"/>
          </w:tcPr>
          <w:p>
            <w:pPr>
              <w:jc w:val="right"/>
              <w:ind w:right="560"/>
              <w:spacing w:after="0"/>
              <w:rPr>
                <w:sz w:val="20"/>
                <w:szCs w:val="20"/>
                <w:color w:val="auto"/>
              </w:rPr>
            </w:pPr>
            <w:r>
              <w:rPr>
                <w:rFonts w:ascii="Arial" w:cs="Arial" w:eastAsia="Arial" w:hAnsi="Arial"/>
                <w:sz w:val="18"/>
                <w:szCs w:val="18"/>
                <w:color w:val="auto"/>
              </w:rPr>
              <w:t>See notes to Consolidated Financial Statements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219"/>
          </w:cols>
          <w:pgMar w:left="240" w:top="405" w:right="1440" w:bottom="1440" w:gutter="0" w:footer="0" w:header="0"/>
        </w:sect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Consolidated Statement of Changes in Shareholders’ Equity </w:t>
      </w:r>
      <w:r>
        <w:rPr>
          <w:rFonts w:ascii="Arial" w:cs="Arial" w:eastAsia="Arial" w:hAnsi="Arial"/>
          <w:sz w:val="18"/>
          <w:szCs w:val="18"/>
          <w:i w:val="1"/>
          <w:iCs w:val="1"/>
          <w:color w:val="auto"/>
        </w:rPr>
        <w:t>(Unaudited)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 the Six Months Ended June 30,</w:t>
      </w:r>
    </w:p>
    <w:p>
      <w:pPr>
        <w:spacing w:after="0" w:line="12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Common</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Preferred</w:t>
            </w: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Common</w:t>
            </w:r>
          </w:p>
        </w:tc>
        <w:tc>
          <w:tcPr>
            <w:tcW w:w="720" w:type="dxa"/>
            <w:vAlign w:val="bottom"/>
            <w:gridSpan w:val="3"/>
            <w:vMerge w:val="continue"/>
          </w:tcPr>
          <w:p>
            <w:pPr>
              <w:spacing w:after="0"/>
              <w:rPr>
                <w:sz w:val="12"/>
                <w:szCs w:val="12"/>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Capital</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4"/>
              </w:rPr>
              <w:t>Retained</w:t>
            </w: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Treasury</w:t>
            </w:r>
          </w:p>
        </w:tc>
        <w:tc>
          <w:tcPr>
            <w:tcW w:w="6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7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20" w:type="dxa"/>
            <w:vAlign w:val="bottom"/>
          </w:tcPr>
          <w:p>
            <w:pPr>
              <w:spacing w:after="0"/>
              <w:rPr>
                <w:sz w:val="20"/>
                <w:szCs w:val="20"/>
                <w:color w:val="auto"/>
              </w:rPr>
            </w:pPr>
            <w:r>
              <w:rPr>
                <w:rFonts w:ascii="Arial" w:cs="Arial" w:eastAsia="Arial" w:hAnsi="Arial"/>
                <w:sz w:val="14"/>
                <w:szCs w:val="14"/>
                <w:i w:val="1"/>
                <w:iCs w:val="1"/>
                <w:color w:val="auto"/>
                <w:w w:val="93"/>
              </w:rPr>
              <w:t>(in thousands, except share and per share data)</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Stock</w:t>
            </w:r>
          </w:p>
        </w:tc>
        <w:tc>
          <w:tcPr>
            <w:tcW w:w="7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Issuable</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Surplus</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Stock</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Income (Loss)</w:t>
            </w: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2006</w:t>
            </w:r>
          </w:p>
        </w:tc>
        <w:tc>
          <w:tcPr>
            <w:tcW w:w="3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42,891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862</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$ 270,383</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$ 306,261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(3,952)</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$ 616,767</w:t>
            </w:r>
          </w:p>
        </w:tc>
        <w:tc>
          <w:tcPr>
            <w:tcW w:w="0" w:type="dxa"/>
            <w:vAlign w:val="bottom"/>
          </w:tcPr>
          <w:p>
            <w:pPr>
              <w:spacing w:after="0"/>
              <w:rPr>
                <w:sz w:val="1"/>
                <w:szCs w:val="1"/>
                <w:color w:val="auto"/>
              </w:rPr>
            </w:pPr>
          </w:p>
        </w:tc>
      </w:tr>
      <w:tr>
        <w:trPr>
          <w:trHeight w:val="297"/>
        </w:trPr>
        <w:tc>
          <w:tcPr>
            <w:tcW w:w="2820" w:type="dxa"/>
            <w:vAlign w:val="bottom"/>
          </w:tcPr>
          <w:p>
            <w:pPr>
              <w:spacing w:after="0"/>
              <w:rPr>
                <w:sz w:val="20"/>
                <w:szCs w:val="20"/>
                <w:color w:val="auto"/>
              </w:rPr>
            </w:pPr>
            <w:r>
              <w:rPr>
                <w:rFonts w:ascii="Arial" w:cs="Arial" w:eastAsia="Arial" w:hAnsi="Arial"/>
                <w:sz w:val="14"/>
                <w:szCs w:val="14"/>
                <w:color w:val="auto"/>
              </w:rPr>
              <w:t>Comprehensive income:</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31,256</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31,256</w:t>
            </w:r>
          </w:p>
        </w:tc>
        <w:tc>
          <w:tcPr>
            <w:tcW w:w="0" w:type="dxa"/>
            <w:vAlign w:val="bottom"/>
          </w:tcPr>
          <w:p>
            <w:pPr>
              <w:spacing w:after="0"/>
              <w:rPr>
                <w:sz w:val="1"/>
                <w:szCs w:val="1"/>
                <w:color w:val="auto"/>
              </w:rPr>
            </w:pPr>
          </w:p>
        </w:tc>
      </w:tr>
      <w:tr>
        <w:trPr>
          <w:trHeight w:val="149"/>
        </w:trPr>
        <w:tc>
          <w:tcPr>
            <w:tcW w:w="2820" w:type="dxa"/>
            <w:vAlign w:val="bottom"/>
          </w:tcPr>
          <w:p>
            <w:pPr>
              <w:ind w:left="200"/>
              <w:spacing w:after="0" w:line="149" w:lineRule="exact"/>
              <w:rPr>
                <w:sz w:val="20"/>
                <w:szCs w:val="20"/>
                <w:color w:val="auto"/>
              </w:rPr>
            </w:pPr>
            <w:r>
              <w:rPr>
                <w:rFonts w:ascii="Arial" w:cs="Arial" w:eastAsia="Arial" w:hAnsi="Arial"/>
                <w:sz w:val="14"/>
                <w:szCs w:val="14"/>
                <w:color w:val="auto"/>
              </w:rPr>
              <w:t>Other comprehensive income: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2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w w:val="92"/>
              </w:rPr>
              <w:t>Unrealized holding losses on available for</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sale securities, net of deferred tax</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ind w:left="600"/>
              <w:spacing w:after="0"/>
              <w:rPr>
                <w:sz w:val="20"/>
                <w:szCs w:val="20"/>
                <w:color w:val="auto"/>
              </w:rPr>
            </w:pPr>
            <w:r>
              <w:rPr>
                <w:rFonts w:ascii="Arial" w:cs="Arial" w:eastAsia="Arial" w:hAnsi="Arial"/>
                <w:sz w:val="14"/>
                <w:szCs w:val="14"/>
                <w:color w:val="auto"/>
                <w:w w:val="92"/>
              </w:rPr>
              <w:t>benefit and reclassification adjustment</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(5,517)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(5,517)</w:t>
            </w:r>
          </w:p>
        </w:tc>
        <w:tc>
          <w:tcPr>
            <w:tcW w:w="0" w:type="dxa"/>
            <w:vAlign w:val="bottom"/>
          </w:tcPr>
          <w:p>
            <w:pPr>
              <w:spacing w:after="0"/>
              <w:rPr>
                <w:sz w:val="1"/>
                <w:szCs w:val="1"/>
                <w:color w:val="auto"/>
              </w:rPr>
            </w:pPr>
          </w:p>
        </w:tc>
      </w:tr>
      <w:tr>
        <w:trPr>
          <w:trHeight w:val="130"/>
        </w:trPr>
        <w:tc>
          <w:tcPr>
            <w:tcW w:w="2820" w:type="dxa"/>
            <w:vAlign w:val="bottom"/>
          </w:tcPr>
          <w:p>
            <w:pPr>
              <w:ind w:left="400"/>
              <w:spacing w:after="0" w:line="130" w:lineRule="exact"/>
              <w:rPr>
                <w:sz w:val="20"/>
                <w:szCs w:val="20"/>
                <w:color w:val="auto"/>
              </w:rPr>
            </w:pPr>
            <w:r>
              <w:rPr>
                <w:rFonts w:ascii="Arial" w:cs="Arial" w:eastAsia="Arial" w:hAnsi="Arial"/>
                <w:sz w:val="14"/>
                <w:szCs w:val="14"/>
                <w:color w:val="auto"/>
                <w:w w:val="96"/>
              </w:rPr>
              <w:t>Unrealized losses on derivative financial</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20" w:type="dxa"/>
            <w:vAlign w:val="bottom"/>
          </w:tcPr>
          <w:p>
            <w:pPr>
              <w:ind w:left="600"/>
              <w:spacing w:after="0" w:line="149" w:lineRule="exact"/>
              <w:rPr>
                <w:sz w:val="20"/>
                <w:szCs w:val="20"/>
                <w:color w:val="auto"/>
              </w:rPr>
            </w:pPr>
            <w:r>
              <w:rPr>
                <w:rFonts w:ascii="Arial" w:cs="Arial" w:eastAsia="Arial" w:hAnsi="Arial"/>
                <w:sz w:val="14"/>
                <w:szCs w:val="14"/>
                <w:color w:val="auto"/>
              </w:rPr>
              <w:t>instruments qualifying as cash flow</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600"/>
              <w:spacing w:after="0"/>
              <w:rPr>
                <w:sz w:val="20"/>
                <w:szCs w:val="20"/>
                <w:color w:val="auto"/>
              </w:rPr>
            </w:pPr>
            <w:r>
              <w:rPr>
                <w:rFonts w:ascii="Arial" w:cs="Arial" w:eastAsia="Arial" w:hAnsi="Arial"/>
                <w:sz w:val="14"/>
                <w:szCs w:val="14"/>
                <w:color w:val="auto"/>
              </w:rPr>
              <w:t>hedges, net of deferred tax benefit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(3,174)</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(3,174)</w:t>
            </w:r>
          </w:p>
        </w:tc>
        <w:tc>
          <w:tcPr>
            <w:tcW w:w="0" w:type="dxa"/>
            <w:vAlign w:val="bottom"/>
          </w:tcPr>
          <w:p>
            <w:pPr>
              <w:spacing w:after="0"/>
              <w:rPr>
                <w:sz w:val="1"/>
                <w:szCs w:val="1"/>
                <w:color w:val="auto"/>
              </w:rPr>
            </w:pPr>
          </w:p>
        </w:tc>
      </w:tr>
      <w:tr>
        <w:trPr>
          <w:trHeight w:val="156"/>
        </w:trPr>
        <w:tc>
          <w:tcPr>
            <w:tcW w:w="2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Comprehensive income</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31,256</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(8,691)</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22,565</w:t>
            </w:r>
          </w:p>
        </w:tc>
        <w:tc>
          <w:tcPr>
            <w:tcW w:w="0" w:type="dxa"/>
            <w:vAlign w:val="bottom"/>
          </w:tcPr>
          <w:p>
            <w:pPr>
              <w:spacing w:after="0"/>
              <w:rPr>
                <w:sz w:val="1"/>
                <w:szCs w:val="1"/>
                <w:color w:val="auto"/>
              </w:rPr>
            </w:pPr>
          </w:p>
        </w:tc>
      </w:tr>
      <w:tr>
        <w:trPr>
          <w:trHeight w:val="130"/>
        </w:trPr>
        <w:tc>
          <w:tcPr>
            <w:tcW w:w="2820" w:type="dxa"/>
            <w:vAlign w:val="bottom"/>
          </w:tcPr>
          <w:p>
            <w:pPr>
              <w:spacing w:after="0" w:line="130" w:lineRule="exact"/>
              <w:rPr>
                <w:sz w:val="20"/>
                <w:szCs w:val="20"/>
                <w:color w:val="auto"/>
              </w:rPr>
            </w:pPr>
            <w:r>
              <w:rPr>
                <w:rFonts w:ascii="Arial" w:cs="Arial" w:eastAsia="Arial" w:hAnsi="Arial"/>
                <w:sz w:val="14"/>
                <w:szCs w:val="14"/>
                <w:color w:val="auto"/>
                <w:w w:val="92"/>
              </w:rPr>
              <w:t>Cash dividends declared on common stock ($.18</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200"/>
              <w:spacing w:after="0"/>
              <w:rPr>
                <w:sz w:val="20"/>
                <w:szCs w:val="20"/>
                <w:color w:val="auto"/>
              </w:rPr>
            </w:pPr>
            <w:r>
              <w:rPr>
                <w:rFonts w:ascii="Arial" w:cs="Arial" w:eastAsia="Arial" w:hAnsi="Arial"/>
                <w:sz w:val="14"/>
                <w:szCs w:val="14"/>
                <w:color w:val="auto"/>
              </w:rPr>
              <w:t>per share)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(8,278)</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(8,278)</w:t>
            </w:r>
          </w:p>
        </w:tc>
        <w:tc>
          <w:tcPr>
            <w:tcW w:w="0" w:type="dxa"/>
            <w:vAlign w:val="bottom"/>
          </w:tcPr>
          <w:p>
            <w:pPr>
              <w:spacing w:after="0"/>
              <w:rPr>
                <w:sz w:val="1"/>
                <w:szCs w:val="1"/>
                <w:color w:val="auto"/>
              </w:rPr>
            </w:pPr>
          </w:p>
        </w:tc>
      </w:tr>
      <w:tr>
        <w:trPr>
          <w:trHeight w:val="130"/>
        </w:trPr>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for acquisitions (</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5,691,948 shares)</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5,692</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185,649</w:t>
            </w: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191,341</w:t>
            </w: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Arial" w:cs="Arial" w:eastAsia="Arial" w:hAnsi="Arial"/>
                <w:sz w:val="14"/>
                <w:szCs w:val="14"/>
                <w:color w:val="auto"/>
              </w:rPr>
              <w:t>Exercise of stock options (78,228 shares)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78</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722</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130"/>
        </w:trPr>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2"/>
              </w:rPr>
              <w:t>Common stock issued to Dividend Reinvestment</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Plan and employee benefit plans (90,002</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shares)</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2,791</w:t>
            </w: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2,881</w:t>
            </w:r>
          </w:p>
        </w:tc>
        <w:tc>
          <w:tcPr>
            <w:tcW w:w="0" w:type="dxa"/>
            <w:vAlign w:val="bottom"/>
          </w:tcPr>
          <w:p>
            <w:pPr>
              <w:spacing w:after="0"/>
              <w:rPr>
                <w:sz w:val="1"/>
                <w:szCs w:val="1"/>
                <w:color w:val="auto"/>
              </w:rPr>
            </w:pPr>
          </w:p>
        </w:tc>
      </w:tr>
      <w:tr>
        <w:trPr>
          <w:trHeight w:val="130"/>
        </w:trPr>
        <w:tc>
          <w:tcPr>
            <w:tcW w:w="2820" w:type="dxa"/>
            <w:vAlign w:val="bottom"/>
          </w:tcPr>
          <w:p>
            <w:pPr>
              <w:spacing w:after="0" w:line="130" w:lineRule="exact"/>
              <w:rPr>
                <w:sz w:val="20"/>
                <w:szCs w:val="20"/>
                <w:color w:val="auto"/>
              </w:rPr>
            </w:pPr>
            <w:r>
              <w:rPr>
                <w:rFonts w:ascii="Arial" w:cs="Arial" w:eastAsia="Arial" w:hAnsi="Arial"/>
                <w:sz w:val="14"/>
                <w:szCs w:val="14"/>
                <w:color w:val="auto"/>
                <w:w w:val="94"/>
              </w:rPr>
              <w:t>Amortization of stock option and restricted stock</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200"/>
              <w:spacing w:after="0"/>
              <w:rPr>
                <w:sz w:val="20"/>
                <w:szCs w:val="20"/>
                <w:color w:val="auto"/>
              </w:rPr>
            </w:pPr>
            <w:r>
              <w:rPr>
                <w:rFonts w:ascii="Arial" w:cs="Arial" w:eastAsia="Arial" w:hAnsi="Arial"/>
                <w:sz w:val="14"/>
                <w:szCs w:val="14"/>
                <w:color w:val="auto"/>
              </w:rPr>
              <w:t>awards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1,630</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1,630</w:t>
            </w:r>
          </w:p>
        </w:tc>
        <w:tc>
          <w:tcPr>
            <w:tcW w:w="0" w:type="dxa"/>
            <w:vAlign w:val="bottom"/>
          </w:tcPr>
          <w:p>
            <w:pPr>
              <w:spacing w:after="0"/>
              <w:rPr>
                <w:sz w:val="1"/>
                <w:szCs w:val="1"/>
                <w:color w:val="auto"/>
              </w:rPr>
            </w:pPr>
          </w:p>
        </w:tc>
      </w:tr>
      <w:tr>
        <w:trPr>
          <w:trHeight w:val="130"/>
        </w:trPr>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1"/>
              </w:rPr>
              <w:t>Vesting of restricted stock (30,310 shares issued,</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2,750 shares deferred)</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(111)</w:t>
            </w: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820" w:type="dxa"/>
            <w:vAlign w:val="bottom"/>
          </w:tcPr>
          <w:p>
            <w:pPr>
              <w:spacing w:after="0" w:line="130" w:lineRule="exact"/>
              <w:rPr>
                <w:sz w:val="20"/>
                <w:szCs w:val="20"/>
                <w:color w:val="auto"/>
              </w:rPr>
            </w:pPr>
            <w:r>
              <w:rPr>
                <w:rFonts w:ascii="Arial" w:cs="Arial" w:eastAsia="Arial" w:hAnsi="Arial"/>
                <w:sz w:val="14"/>
                <w:szCs w:val="14"/>
                <w:color w:val="auto"/>
              </w:rPr>
              <w:t>Deferred compensation plan, net, including</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200"/>
              <w:spacing w:after="0"/>
              <w:rPr>
                <w:sz w:val="20"/>
                <w:szCs w:val="20"/>
                <w:color w:val="auto"/>
              </w:rPr>
            </w:pPr>
            <w:r>
              <w:rPr>
                <w:rFonts w:ascii="Arial" w:cs="Arial" w:eastAsia="Arial" w:hAnsi="Arial"/>
                <w:sz w:val="14"/>
                <w:szCs w:val="14"/>
                <w:color w:val="auto"/>
              </w:rPr>
              <w:t>dividend equivalents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873</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873</w:t>
            </w: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from options exercised</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162</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30"/>
        </w:trPr>
        <w:tc>
          <w:tcPr>
            <w:tcW w:w="2820" w:type="dxa"/>
            <w:vAlign w:val="bottom"/>
          </w:tcPr>
          <w:p>
            <w:pPr>
              <w:spacing w:after="0" w:line="130" w:lineRule="exact"/>
              <w:rPr>
                <w:sz w:val="20"/>
                <w:szCs w:val="20"/>
                <w:color w:val="auto"/>
              </w:rPr>
            </w:pPr>
            <w:r>
              <w:rPr>
                <w:rFonts w:ascii="Arial" w:cs="Arial" w:eastAsia="Arial" w:hAnsi="Arial"/>
                <w:sz w:val="14"/>
                <w:szCs w:val="14"/>
                <w:color w:val="auto"/>
                <w:w w:val="94"/>
              </w:rPr>
              <w:t>Dividends declared on preferred stock ($.30 per</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200"/>
              <w:spacing w:after="0"/>
              <w:rPr>
                <w:sz w:val="20"/>
                <w:szCs w:val="20"/>
                <w:color w:val="auto"/>
              </w:rPr>
            </w:pPr>
            <w:r>
              <w:rPr>
                <w:rFonts w:ascii="Arial" w:cs="Arial" w:eastAsia="Arial" w:hAnsi="Arial"/>
                <w:sz w:val="14"/>
                <w:szCs w:val="14"/>
                <w:color w:val="auto"/>
              </w:rPr>
              <w:t>share)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6"/>
        </w:trPr>
        <w:tc>
          <w:tcPr>
            <w:tcW w:w="2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June 30, 2007</w:t>
            </w:r>
          </w:p>
        </w:tc>
        <w:tc>
          <w:tcPr>
            <w:tcW w:w="3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48,781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1,816</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$ 461,226</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$ 329,229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(12,643)</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$ 828,731</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Balance, December 31, 2007</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820" w:type="dxa"/>
            <w:vAlign w:val="bottom"/>
            <w:vMerge w:val="continue"/>
          </w:tcPr>
          <w:p>
            <w:pPr>
              <w:spacing w:after="0"/>
              <w:rPr>
                <w:sz w:val="24"/>
                <w:szCs w:val="24"/>
                <w:color w:val="auto"/>
              </w:rPr>
            </w:pPr>
          </w:p>
        </w:tc>
        <w:tc>
          <w:tcPr>
            <w:tcW w:w="3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258</w:t>
            </w:r>
          </w:p>
        </w:tc>
        <w:tc>
          <w:tcPr>
            <w:tcW w:w="1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48,809</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2,100</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w w:val="86"/>
              </w:rPr>
              <w:t>$ 462,881</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$ 347,391</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(43,798)</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14,261</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w w:val="93"/>
              </w:rPr>
              <w:t>$ 831,902</w:t>
            </w:r>
          </w:p>
        </w:tc>
        <w:tc>
          <w:tcPr>
            <w:tcW w:w="0" w:type="dxa"/>
            <w:vAlign w:val="bottom"/>
          </w:tcPr>
          <w:p>
            <w:pPr>
              <w:spacing w:after="0"/>
              <w:rPr>
                <w:sz w:val="1"/>
                <w:szCs w:val="1"/>
                <w:color w:val="auto"/>
              </w:rPr>
            </w:pPr>
          </w:p>
        </w:tc>
      </w:tr>
      <w:tr>
        <w:trPr>
          <w:trHeight w:val="134"/>
        </w:trPr>
        <w:tc>
          <w:tcPr>
            <w:tcW w:w="2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23,171</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23,171</w:t>
            </w: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comprehensive income:</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20" w:type="dxa"/>
            <w:vAlign w:val="bottom"/>
          </w:tcPr>
          <w:p>
            <w:pPr>
              <w:ind w:left="400"/>
              <w:spacing w:after="0" w:line="130" w:lineRule="exact"/>
              <w:rPr>
                <w:sz w:val="20"/>
                <w:szCs w:val="20"/>
                <w:color w:val="auto"/>
              </w:rPr>
            </w:pPr>
            <w:r>
              <w:rPr>
                <w:rFonts w:ascii="Arial" w:cs="Arial" w:eastAsia="Arial" w:hAnsi="Arial"/>
                <w:sz w:val="14"/>
                <w:szCs w:val="14"/>
                <w:color w:val="auto"/>
                <w:w w:val="92"/>
              </w:rPr>
              <w:t>Unrealized holding losses on available for</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20" w:type="dxa"/>
            <w:vAlign w:val="bottom"/>
          </w:tcPr>
          <w:p>
            <w:pPr>
              <w:ind w:left="600"/>
              <w:spacing w:after="0" w:line="149" w:lineRule="exact"/>
              <w:rPr>
                <w:sz w:val="20"/>
                <w:szCs w:val="20"/>
                <w:color w:val="auto"/>
              </w:rPr>
            </w:pPr>
            <w:r>
              <w:rPr>
                <w:rFonts w:ascii="Arial" w:cs="Arial" w:eastAsia="Arial" w:hAnsi="Arial"/>
                <w:sz w:val="14"/>
                <w:szCs w:val="14"/>
                <w:color w:val="auto"/>
              </w:rPr>
              <w:t>sale securities, net of deferred tax</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600"/>
              <w:spacing w:after="0"/>
              <w:rPr>
                <w:sz w:val="20"/>
                <w:szCs w:val="20"/>
                <w:color w:val="auto"/>
              </w:rPr>
            </w:pPr>
            <w:r>
              <w:rPr>
                <w:rFonts w:ascii="Arial" w:cs="Arial" w:eastAsia="Arial" w:hAnsi="Arial"/>
                <w:sz w:val="14"/>
                <w:szCs w:val="14"/>
                <w:color w:val="auto"/>
                <w:w w:val="92"/>
              </w:rPr>
              <w:t>benefit and reclassification adjustment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(15,203)</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(15,203)</w:t>
            </w:r>
          </w:p>
        </w:tc>
        <w:tc>
          <w:tcPr>
            <w:tcW w:w="0" w:type="dxa"/>
            <w:vAlign w:val="bottom"/>
          </w:tcPr>
          <w:p>
            <w:pPr>
              <w:spacing w:after="0"/>
              <w:rPr>
                <w:sz w:val="1"/>
                <w:szCs w:val="1"/>
                <w:color w:val="auto"/>
              </w:rPr>
            </w:pPr>
          </w:p>
        </w:tc>
      </w:tr>
      <w:tr>
        <w:trPr>
          <w:trHeight w:val="130"/>
        </w:trPr>
        <w:tc>
          <w:tcPr>
            <w:tcW w:w="282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w w:val="98"/>
              </w:rPr>
              <w:t>Unrealized gains on derivative financial</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instruments qualifying as cash flow</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ind w:left="600"/>
              <w:spacing w:after="0"/>
              <w:rPr>
                <w:sz w:val="20"/>
                <w:szCs w:val="20"/>
                <w:color w:val="auto"/>
              </w:rPr>
            </w:pPr>
            <w:r>
              <w:rPr>
                <w:rFonts w:ascii="Arial" w:cs="Arial" w:eastAsia="Arial" w:hAnsi="Arial"/>
                <w:sz w:val="14"/>
                <w:szCs w:val="14"/>
                <w:color w:val="auto"/>
                <w:w w:val="98"/>
              </w:rPr>
              <w:t>hedges, net of deferred tax expense</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1,263</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1,263</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820" w:type="dxa"/>
            <w:vAlign w:val="bottom"/>
          </w:tcPr>
          <w:p>
            <w:pPr>
              <w:ind w:left="600"/>
              <w:spacing w:after="0"/>
              <w:rPr>
                <w:sz w:val="20"/>
                <w:szCs w:val="20"/>
                <w:color w:val="auto"/>
              </w:rPr>
            </w:pPr>
            <w:r>
              <w:rPr>
                <w:rFonts w:ascii="Arial" w:cs="Arial" w:eastAsia="Arial" w:hAnsi="Arial"/>
                <w:sz w:val="14"/>
                <w:szCs w:val="14"/>
                <w:color w:val="auto"/>
              </w:rPr>
              <w:t>Comprehensive income</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23,171</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(13,940)</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9,231</w:t>
            </w:r>
          </w:p>
        </w:tc>
        <w:tc>
          <w:tcPr>
            <w:tcW w:w="0" w:type="dxa"/>
            <w:vAlign w:val="bottom"/>
          </w:tcPr>
          <w:p>
            <w:pPr>
              <w:spacing w:after="0"/>
              <w:rPr>
                <w:sz w:val="1"/>
                <w:szCs w:val="1"/>
                <w:color w:val="auto"/>
              </w:rPr>
            </w:pPr>
          </w:p>
        </w:tc>
      </w:tr>
      <w:tr>
        <w:trPr>
          <w:trHeight w:val="130"/>
        </w:trPr>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2"/>
              </w:rPr>
              <w:t>Cash dividends declared on common stock ($.18</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per share)</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(8,465)</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(8,465)</w:t>
            </w: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Arial" w:cs="Arial" w:eastAsia="Arial" w:hAnsi="Arial"/>
                <w:sz w:val="14"/>
                <w:szCs w:val="14"/>
                <w:color w:val="auto"/>
              </w:rPr>
              <w:t>Exercise of stock options (62,860 shares)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(717)</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1,529</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812</w:t>
            </w:r>
          </w:p>
        </w:tc>
        <w:tc>
          <w:tcPr>
            <w:tcW w:w="0" w:type="dxa"/>
            <w:vAlign w:val="bottom"/>
          </w:tcPr>
          <w:p>
            <w:pPr>
              <w:spacing w:after="0"/>
              <w:rPr>
                <w:sz w:val="1"/>
                <w:szCs w:val="1"/>
                <w:color w:val="auto"/>
              </w:rPr>
            </w:pPr>
          </w:p>
        </w:tc>
      </w:tr>
      <w:tr>
        <w:trPr>
          <w:trHeight w:val="130"/>
        </w:trPr>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2"/>
              </w:rPr>
              <w:t>Common stock issued to Dividend Reinvestment</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9"/>
              </w:rPr>
              <w:t>Plan and employee benefit plans (113,047</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shares)</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(1,024)</w:t>
            </w: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2,648</w:t>
            </w: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1,624</w:t>
            </w:r>
          </w:p>
        </w:tc>
        <w:tc>
          <w:tcPr>
            <w:tcW w:w="0" w:type="dxa"/>
            <w:vAlign w:val="bottom"/>
          </w:tcPr>
          <w:p>
            <w:pPr>
              <w:spacing w:after="0"/>
              <w:rPr>
                <w:sz w:val="1"/>
                <w:szCs w:val="1"/>
                <w:color w:val="auto"/>
              </w:rPr>
            </w:pPr>
          </w:p>
        </w:tc>
      </w:tr>
      <w:tr>
        <w:trPr>
          <w:trHeight w:val="130"/>
        </w:trPr>
        <w:tc>
          <w:tcPr>
            <w:tcW w:w="2820" w:type="dxa"/>
            <w:vAlign w:val="bottom"/>
          </w:tcPr>
          <w:p>
            <w:pPr>
              <w:spacing w:after="0" w:line="130" w:lineRule="exact"/>
              <w:rPr>
                <w:sz w:val="20"/>
                <w:szCs w:val="20"/>
                <w:color w:val="auto"/>
              </w:rPr>
            </w:pPr>
            <w:r>
              <w:rPr>
                <w:rFonts w:ascii="Arial" w:cs="Arial" w:eastAsia="Arial" w:hAnsi="Arial"/>
                <w:sz w:val="14"/>
                <w:szCs w:val="14"/>
                <w:color w:val="auto"/>
              </w:rPr>
              <w:t>Amortization of stock options and restricted</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200"/>
              <w:spacing w:after="0"/>
              <w:rPr>
                <w:sz w:val="20"/>
                <w:szCs w:val="20"/>
                <w:color w:val="auto"/>
              </w:rPr>
            </w:pPr>
            <w:r>
              <w:rPr>
                <w:rFonts w:ascii="Arial" w:cs="Arial" w:eastAsia="Arial" w:hAnsi="Arial"/>
                <w:sz w:val="14"/>
                <w:szCs w:val="14"/>
                <w:color w:val="auto"/>
              </w:rPr>
              <w:t>stock</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1,944</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1,944</w:t>
            </w:r>
          </w:p>
        </w:tc>
        <w:tc>
          <w:tcPr>
            <w:tcW w:w="0" w:type="dxa"/>
            <w:vAlign w:val="bottom"/>
          </w:tcPr>
          <w:p>
            <w:pPr>
              <w:spacing w:after="0"/>
              <w:rPr>
                <w:sz w:val="1"/>
                <w:szCs w:val="1"/>
                <w:color w:val="auto"/>
              </w:rPr>
            </w:pPr>
          </w:p>
        </w:tc>
      </w:tr>
      <w:tr>
        <w:trPr>
          <w:trHeight w:val="130"/>
        </w:trPr>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1"/>
              </w:rPr>
              <w:t>Vesting of restricted stock (15,159 shares issued,</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8,700 shares deferred)</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(626)</w:t>
            </w: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362</w:t>
            </w: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820" w:type="dxa"/>
            <w:vAlign w:val="bottom"/>
          </w:tcPr>
          <w:p>
            <w:pPr>
              <w:spacing w:after="0" w:line="130" w:lineRule="exact"/>
              <w:rPr>
                <w:sz w:val="20"/>
                <w:szCs w:val="20"/>
                <w:color w:val="auto"/>
              </w:rPr>
            </w:pPr>
            <w:r>
              <w:rPr>
                <w:rFonts w:ascii="Arial" w:cs="Arial" w:eastAsia="Arial" w:hAnsi="Arial"/>
                <w:sz w:val="14"/>
                <w:szCs w:val="14"/>
                <w:color w:val="auto"/>
              </w:rPr>
              <w:t>Deferred compensation plan, net, including</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200"/>
              <w:spacing w:after="0"/>
              <w:rPr>
                <w:sz w:val="20"/>
                <w:szCs w:val="20"/>
                <w:color w:val="auto"/>
              </w:rPr>
            </w:pPr>
            <w:r>
              <w:rPr>
                <w:rFonts w:ascii="Arial" w:cs="Arial" w:eastAsia="Arial" w:hAnsi="Arial"/>
                <w:sz w:val="14"/>
                <w:szCs w:val="14"/>
                <w:color w:val="auto"/>
              </w:rPr>
              <w:t>dividend equivalents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374</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130"/>
        </w:trPr>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3"/>
              </w:rPr>
              <w:t>Shares issued from deferred compensation plan</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(1,545 shares)</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37</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Arial" w:cs="Arial" w:eastAsia="Arial" w:hAnsi="Arial"/>
                <w:sz w:val="14"/>
                <w:szCs w:val="14"/>
                <w:color w:val="auto"/>
              </w:rPr>
              <w:t>Tax benefit from options exercised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476</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130"/>
        </w:trPr>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Dividends declared on preferred stock ($.30 per</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Balance, June 30, 2008</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820" w:type="dxa"/>
            <w:vAlign w:val="bottom"/>
            <w:vMerge w:val="continue"/>
          </w:tcPr>
          <w:p>
            <w:pPr>
              <w:spacing w:after="0"/>
              <w:rPr>
                <w:sz w:val="24"/>
                <w:szCs w:val="24"/>
                <w:color w:val="auto"/>
              </w:rPr>
            </w:pPr>
          </w:p>
        </w:tc>
        <w:tc>
          <w:tcPr>
            <w:tcW w:w="3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258</w:t>
            </w:r>
          </w:p>
        </w:tc>
        <w:tc>
          <w:tcPr>
            <w:tcW w:w="1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48,809</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2,696</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w w:val="86"/>
              </w:rPr>
              <w:t>$ 462,939</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$ 362,089</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(39,222)</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321</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w w:val="93"/>
              </w:rPr>
              <w:t>$ 837,890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Comprehensive loss for the second quarter of 2008 was $31,569,000 and comprehensive income for the second quarter of 2007 was $511,000.</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8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Pr>
          <w:p>
            <w:pPr>
              <w:spacing w:after="0"/>
              <w:rPr>
                <w:sz w:val="24"/>
                <w:szCs w:val="24"/>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UNITED COMMUNITY BANKS, INC.</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Consolidated Statement of Cash Flows </w:t>
            </w:r>
            <w:r>
              <w:rPr>
                <w:rFonts w:ascii="Arial" w:cs="Arial" w:eastAsia="Arial" w:hAnsi="Arial"/>
                <w:sz w:val="18"/>
                <w:szCs w:val="18"/>
                <w:i w:val="1"/>
                <w:iCs w:val="1"/>
                <w:color w:val="auto"/>
              </w:rPr>
              <w:t>(Unaudited)</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5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vMerge w:val="restart"/>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560" w:type="dxa"/>
            <w:vAlign w:val="bottom"/>
            <w:tcBorders>
              <w:bottom w:val="single" w:sz="8" w:color="auto"/>
            </w:tcBorders>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activities, net of effect of business combinations: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23,171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31,256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Depreciation, amortization and accretion</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7,211</w:t>
            </w:r>
          </w:p>
        </w:tc>
        <w:tc>
          <w:tcPr>
            <w:tcW w:w="2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6,728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Provision for loan losses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23,000</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Stock based compensation</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1,944</w:t>
            </w:r>
          </w:p>
        </w:tc>
        <w:tc>
          <w:tcPr>
            <w:tcW w:w="2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Gain on sale of securities available for sale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(357)</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Gain on sale of other assets</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Loss on prepayment of borrowings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Other assets and accrued interest receivable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(14,055)</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(5,732)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600"/>
              <w:spacing w:after="0"/>
              <w:rPr>
                <w:sz w:val="20"/>
                <w:szCs w:val="20"/>
                <w:color w:val="auto"/>
              </w:rPr>
            </w:pPr>
            <w:r>
              <w:rPr>
                <w:rFonts w:ascii="Arial" w:cs="Arial" w:eastAsia="Arial" w:hAnsi="Arial"/>
                <w:sz w:val="18"/>
                <w:szCs w:val="18"/>
                <w:color w:val="auto"/>
              </w:rPr>
              <w:t>Accrued expenses and other liabilities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25,309</w:t>
            </w:r>
          </w:p>
        </w:tc>
        <w:tc>
          <w:tcPr>
            <w:tcW w:w="2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(13,319)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Mortgage loans held for sale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910</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4,710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67,104</w:t>
            </w: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Investing activities, net of effect of business combinations: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Proceeds from sales of securities available for sale</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79,735</w:t>
            </w:r>
          </w:p>
        </w:tc>
        <w:tc>
          <w:tcPr>
            <w:tcW w:w="2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44,150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Proceeds from maturities and calls of securities available for sale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344,597</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187,556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Purchases of securities available for sale</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(511,626)</w:t>
            </w:r>
          </w:p>
        </w:tc>
        <w:tc>
          <w:tcPr>
            <w:tcW w:w="2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(300,857)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Net increase in loans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(65,062)</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(113,609)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Purchase of Bank Owned Life Insurance (BOLI)</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Proceeds from sales of premises and equipment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323</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Purchases of premises and equipment</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(7,291)</w:t>
            </w:r>
          </w:p>
        </w:tc>
        <w:tc>
          <w:tcPr>
            <w:tcW w:w="2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(20,357)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Net cash paid for acquisitions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Proceeds from sale of other real estate</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30,636</w:t>
            </w:r>
          </w:p>
        </w:tc>
        <w:tc>
          <w:tcPr>
            <w:tcW w:w="2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7,799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used by investing activities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(128,688)</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(249,002)</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Financing activities, net of effect of business combinations:</w:t>
            </w: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Net change in deposits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620,505</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20,538</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gridSpan w:val="3"/>
          </w:tcPr>
          <w:p>
            <w:pPr>
              <w:ind w:left="200"/>
              <w:spacing w:after="0" w:line="201" w:lineRule="exact"/>
              <w:rPr>
                <w:sz w:val="20"/>
                <w:szCs w:val="20"/>
                <w:color w:val="auto"/>
              </w:rPr>
            </w:pPr>
            <w:r>
              <w:rPr>
                <w:rFonts w:ascii="Arial" w:cs="Arial" w:eastAsia="Arial" w:hAnsi="Arial"/>
                <w:sz w:val="18"/>
                <w:szCs w:val="18"/>
                <w:color w:val="auto"/>
                <w:w w:val="97"/>
              </w:rPr>
              <w:t>Net change in federal funds purchased, repurchase agreements, and other short-term</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borrowings</w:t>
            </w:r>
          </w:p>
        </w:tc>
        <w:tc>
          <w:tcPr>
            <w:tcW w:w="20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(349,812)</w:t>
            </w:r>
          </w:p>
        </w:tc>
        <w:tc>
          <w:tcPr>
            <w:tcW w:w="26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209,200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Proceeds from FHLB advances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400,000</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Repayments of FHLB advances</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(634,000)</w:t>
            </w:r>
          </w:p>
        </w:tc>
        <w:tc>
          <w:tcPr>
            <w:tcW w:w="2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(751,164)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812</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Proceeds from issuance of common stock for dividend reinvestment and employee</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benefit plans</w:t>
            </w:r>
          </w:p>
        </w:tc>
        <w:tc>
          <w:tcPr>
            <w:tcW w:w="20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1,624</w:t>
            </w:r>
          </w:p>
        </w:tc>
        <w:tc>
          <w:tcPr>
            <w:tcW w:w="26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2,881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Cash dividends on common stock</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(8,465)</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(7,320)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Cash dividends on preferred stock</w:t>
            </w: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30,656</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224,925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86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(30,928)</w:t>
            </w:r>
          </w:p>
        </w:tc>
        <w:tc>
          <w:tcPr>
            <w:tcW w:w="26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22,957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219,623</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171,284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860" w:type="dxa"/>
            <w:vAlign w:val="bottom"/>
            <w:gridSpan w:val="3"/>
            <w:vMerge w:val="continue"/>
          </w:tcPr>
          <w:p>
            <w:pPr>
              <w:spacing w:after="0"/>
              <w:rPr>
                <w:sz w:val="24"/>
                <w:szCs w:val="24"/>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188,695</w:t>
            </w:r>
          </w:p>
        </w:tc>
        <w:tc>
          <w:tcPr>
            <w:tcW w:w="36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194,241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tcPr>
          <w:p>
            <w:pPr>
              <w:ind w:left="200"/>
              <w:spacing w:after="0"/>
              <w:rPr>
                <w:sz w:val="20"/>
                <w:szCs w:val="20"/>
                <w:color w:val="auto"/>
              </w:rPr>
            </w:pPr>
            <w:r>
              <w:rPr>
                <w:rFonts w:ascii="Arial" w:cs="Arial" w:eastAsia="Arial" w:hAnsi="Arial"/>
                <w:sz w:val="18"/>
                <w:szCs w:val="18"/>
                <w:color w:val="auto"/>
              </w:rPr>
              <w:t>Cash paid during the period for:</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Interest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120,314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130,527</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3"/>
          </w:tcPr>
          <w:p>
            <w:pPr>
              <w:ind w:left="40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20,098</w:t>
            </w:r>
          </w:p>
        </w:tc>
        <w:tc>
          <w:tcPr>
            <w:tcW w:w="26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26,984</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United Community Banks, Inc.</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Notes to Consolidated Financial Statements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 — Accounting Policies</w:t>
      </w:r>
    </w:p>
    <w:p>
      <w:pPr>
        <w:spacing w:after="0" w:line="189"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accounting and financial reporting policies of United Community Banks, Inc. (“United”) and its subsidiaries conform to accounting principles generally accepted in the United States of America and general banking industry practices. The accompanying interim consolidated financial statements have not been audited. All material intercompany balances and transactions have been eliminated. A more detailed description of United’s accounting policies is included in the 2007 annual report filed on Form 10-K.</w:t>
      </w:r>
    </w:p>
    <w:p>
      <w:pPr>
        <w:spacing w:after="0" w:line="161"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2 — Stock-Based Compensation</w:t>
      </w:r>
    </w:p>
    <w:p>
      <w:pPr>
        <w:spacing w:after="0" w:line="189"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United has an equity compensation plan that allows for grants of incentive stock options, nonqualified stock options, restricted stock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 and restricted stock awards provide for accelerated vesting if there is a change in control (as defined in the plan). As of June 30, 2008, approximately 1,378,000 additional awards could be granted under the plan. Through June 30, 2008, only incentive stock options, nonqualified stock options and restricted stock awards had been granted under the plan.</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shows stock option activity for the first six months of 2008.</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0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1"/>
              </w:rPr>
              <w:t>Weighted-</w:t>
            </w: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Intrinisic</w:t>
            </w:r>
          </w:p>
        </w:tc>
      </w:tr>
      <w:tr>
        <w:trPr>
          <w:trHeight w:val="216"/>
        </w:trPr>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spacing w:after="0"/>
              <w:rPr>
                <w:sz w:val="20"/>
                <w:szCs w:val="20"/>
                <w:color w:val="auto"/>
              </w:rPr>
            </w:pPr>
            <w:r>
              <w:rPr>
                <w:rFonts w:ascii="Arial" w:cs="Arial" w:eastAsia="Arial" w:hAnsi="Arial"/>
                <w:sz w:val="18"/>
                <w:szCs w:val="18"/>
                <w:b w:val="1"/>
                <w:bCs w:val="1"/>
                <w:color w:val="auto"/>
              </w:rPr>
              <w:t>Average Exercise</w:t>
            </w: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Value</w:t>
            </w:r>
          </w:p>
        </w:tc>
      </w:tr>
      <w:tr>
        <w:trPr>
          <w:trHeight w:val="234"/>
        </w:trPr>
        <w:tc>
          <w:tcPr>
            <w:tcW w:w="3820" w:type="dxa"/>
            <w:vAlign w:val="bottom"/>
          </w:tcPr>
          <w:p>
            <w:pPr>
              <w:spacing w:after="0"/>
              <w:rPr>
                <w:sz w:val="20"/>
                <w:szCs w:val="20"/>
                <w:color w:val="auto"/>
              </w:rPr>
            </w:pPr>
            <w:r>
              <w:rPr>
                <w:rFonts w:ascii="Arial" w:cs="Arial" w:eastAsia="Arial" w:hAnsi="Arial"/>
                <w:sz w:val="18"/>
                <w:szCs w:val="18"/>
                <w:b w:val="1"/>
                <w:bCs w:val="1"/>
                <w:color w:val="auto"/>
              </w:rPr>
              <w:t>Options</w:t>
            </w:r>
          </w:p>
        </w:tc>
        <w:tc>
          <w:tcPr>
            <w:tcW w:w="26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0"/>
              </w:rPr>
              <w:t>Price</w:t>
            </w: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Term (Years)</w:t>
            </w:r>
          </w:p>
        </w:tc>
        <w:tc>
          <w:tcPr>
            <w:tcW w:w="100" w:type="dxa"/>
            <w:vAlign w:val="bottom"/>
          </w:tcPr>
          <w:p>
            <w:pPr>
              <w:spacing w:after="0"/>
              <w:rPr>
                <w:sz w:val="20"/>
                <w:szCs w:val="20"/>
                <w:color w:val="auto"/>
              </w:rPr>
            </w:pPr>
          </w:p>
        </w:tc>
        <w:tc>
          <w:tcPr>
            <w:tcW w:w="82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($000)</w:t>
            </w:r>
          </w:p>
        </w:tc>
        <w:tc>
          <w:tcPr>
            <w:tcW w:w="80" w:type="dxa"/>
            <w:vAlign w:val="bottom"/>
          </w:tcPr>
          <w:p>
            <w:pPr>
              <w:spacing w:after="0"/>
              <w:rPr>
                <w:sz w:val="20"/>
                <w:szCs w:val="20"/>
                <w:color w:val="auto"/>
              </w:rPr>
            </w:pPr>
          </w:p>
        </w:tc>
      </w:tr>
      <w:tr>
        <w:trPr>
          <w:trHeight w:val="210"/>
        </w:trPr>
        <w:tc>
          <w:tcPr>
            <w:tcW w:w="3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2,912,557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21.57</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582,750</w:t>
            </w:r>
          </w:p>
        </w:tc>
        <w:tc>
          <w:tcPr>
            <w:tcW w:w="18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13.79</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(68,039)</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13.51</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Forfeited</w:t>
            </w:r>
          </w:p>
        </w:tc>
        <w:tc>
          <w:tcPr>
            <w:tcW w:w="1500" w:type="dxa"/>
            <w:vAlign w:val="bottom"/>
            <w:gridSpan w:val="3"/>
          </w:tcPr>
          <w:p>
            <w:pPr>
              <w:jc w:val="right"/>
              <w:ind w:right="260"/>
              <w:spacing w:after="0"/>
              <w:rPr>
                <w:sz w:val="20"/>
                <w:szCs w:val="20"/>
                <w:color w:val="auto"/>
              </w:rPr>
            </w:pPr>
            <w:r>
              <w:rPr>
                <w:rFonts w:ascii="Arial" w:cs="Arial" w:eastAsia="Arial" w:hAnsi="Arial"/>
                <w:sz w:val="18"/>
                <w:szCs w:val="18"/>
                <w:color w:val="auto"/>
              </w:rPr>
              <w:t>(53,175)</w:t>
            </w:r>
          </w:p>
        </w:tc>
        <w:tc>
          <w:tcPr>
            <w:tcW w:w="18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28.50</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(23,275)</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24.21</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Outstanding at June 30, 2008</w:t>
            </w:r>
          </w:p>
        </w:tc>
        <w:tc>
          <w:tcPr>
            <w:tcW w:w="260" w:type="dxa"/>
            <w:vAlign w:val="bottom"/>
          </w:tcPr>
          <w:p>
            <w:pPr>
              <w:spacing w:after="0"/>
              <w:rPr>
                <w:sz w:val="19"/>
                <w:szCs w:val="19"/>
                <w:color w:val="auto"/>
              </w:rPr>
            </w:pPr>
          </w:p>
        </w:tc>
        <w:tc>
          <w:tcPr>
            <w:tcW w:w="9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w w:val="84"/>
              </w:rPr>
              <w:t>3,350,818</w:t>
            </w:r>
          </w:p>
        </w:tc>
        <w:tc>
          <w:tcPr>
            <w:tcW w:w="3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20.26</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r>
      <w:tr>
        <w:trPr>
          <w:trHeight w:val="20"/>
        </w:trPr>
        <w:tc>
          <w:tcPr>
            <w:tcW w:w="3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June 30, 2008</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2,025,341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18.88</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w:t>
            </w:r>
          </w:p>
        </w:tc>
      </w:tr>
      <w:tr>
        <w:trPr>
          <w:trHeight w:val="20"/>
        </w:trPr>
        <w:tc>
          <w:tcPr>
            <w:tcW w:w="3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weighted average fair value of stock options granted in the second quarter of 2008 and 2007 was $2.93 and $8.30, respectively. The fair value of each option granted was estimated on the date of grant using the Black-Scholes model. Because United’s option plan has not been in place long enough to gather sufficient information about exercise patterns to establish an expected life, United uses the formula provided by the Securities and Exchange Commission in Staff Accounting Bulletin No. 107 to determine the expected life of options. The key assumptions used to determine the fair value of stock options are presented in the table below.</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580" w:type="dxa"/>
            <w:vAlign w:val="bottom"/>
            <w:gridSpan w:val="5"/>
          </w:tcPr>
          <w:p>
            <w:pPr>
              <w:ind w:left="5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6740" w:type="dxa"/>
            <w:vAlign w:val="bottom"/>
          </w:tcPr>
          <w:p>
            <w:pPr>
              <w:spacing w:after="0"/>
              <w:rPr>
                <w:sz w:val="20"/>
                <w:szCs w:val="20"/>
                <w:color w:val="auto"/>
              </w:rPr>
            </w:pPr>
          </w:p>
        </w:tc>
        <w:tc>
          <w:tcPr>
            <w:tcW w:w="154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6740" w:type="dxa"/>
            <w:vAlign w:val="bottom"/>
          </w:tcPr>
          <w:p>
            <w:pPr>
              <w:spacing w:after="0"/>
              <w:rPr>
                <w:sz w:val="18"/>
                <w:szCs w:val="18"/>
                <w:color w:val="auto"/>
              </w:rPr>
            </w:pPr>
          </w:p>
        </w:tc>
        <w:tc>
          <w:tcPr>
            <w:tcW w:w="9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2008</w:t>
            </w: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18"/>
                <w:szCs w:val="18"/>
                <w:color w:val="auto"/>
              </w:rPr>
            </w:pPr>
          </w:p>
        </w:tc>
      </w:tr>
      <w:tr>
        <w:trPr>
          <w:trHeight w:val="210"/>
        </w:trPr>
        <w:tc>
          <w:tcPr>
            <w:tcW w:w="6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40" w:type="dxa"/>
            <w:vAlign w:val="bottom"/>
            <w:gridSpan w:val="3"/>
          </w:tcPr>
          <w:p>
            <w:pPr>
              <w:ind w:left="140"/>
              <w:spacing w:after="0"/>
              <w:rPr>
                <w:sz w:val="20"/>
                <w:szCs w:val="20"/>
                <w:color w:val="auto"/>
              </w:rPr>
            </w:pPr>
            <w:r>
              <w:rPr>
                <w:rFonts w:ascii="Arial" w:cs="Arial" w:eastAsia="Arial" w:hAnsi="Arial"/>
                <w:sz w:val="18"/>
                <w:szCs w:val="18"/>
                <w:color w:val="auto"/>
              </w:rPr>
              <w:t>2.1% to 3.6%</w:t>
            </w:r>
          </w:p>
        </w:tc>
        <w:tc>
          <w:tcPr>
            <w:tcW w:w="1040" w:type="dxa"/>
            <w:vAlign w:val="bottom"/>
            <w:gridSpan w:val="2"/>
          </w:tcPr>
          <w:p>
            <w:pPr>
              <w:ind w:left="60"/>
              <w:spacing w:after="0"/>
              <w:rPr>
                <w:sz w:val="20"/>
                <w:szCs w:val="20"/>
                <w:color w:val="auto"/>
              </w:rPr>
            </w:pPr>
            <w:r>
              <w:rPr>
                <w:rFonts w:ascii="Arial" w:cs="Arial" w:eastAsia="Arial" w:hAnsi="Arial"/>
                <w:sz w:val="18"/>
                <w:szCs w:val="18"/>
                <w:color w:val="auto"/>
                <w:w w:val="89"/>
              </w:rPr>
              <w:t>1.1% to 1.2%</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4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6.25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6.25 to 6.50</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Risk-free rate</w:t>
            </w:r>
          </w:p>
        </w:tc>
        <w:tc>
          <w:tcPr>
            <w:tcW w:w="1540" w:type="dxa"/>
            <w:vAlign w:val="bottom"/>
            <w:gridSpan w:val="3"/>
          </w:tcPr>
          <w:p>
            <w:pPr>
              <w:ind w:left="140"/>
              <w:spacing w:after="0"/>
              <w:rPr>
                <w:sz w:val="20"/>
                <w:szCs w:val="20"/>
                <w:color w:val="auto"/>
              </w:rPr>
            </w:pPr>
            <w:r>
              <w:rPr>
                <w:rFonts w:ascii="Arial" w:cs="Arial" w:eastAsia="Arial" w:hAnsi="Arial"/>
                <w:sz w:val="18"/>
                <w:szCs w:val="18"/>
                <w:color w:val="auto"/>
              </w:rPr>
              <w:t>2.9% to 3.9%</w:t>
            </w:r>
          </w:p>
        </w:tc>
        <w:tc>
          <w:tcPr>
            <w:tcW w:w="1040" w:type="dxa"/>
            <w:vAlign w:val="bottom"/>
            <w:gridSpan w:val="2"/>
          </w:tcPr>
          <w:p>
            <w:pPr>
              <w:ind w:left="60"/>
              <w:spacing w:after="0"/>
              <w:rPr>
                <w:sz w:val="20"/>
                <w:szCs w:val="20"/>
                <w:color w:val="auto"/>
              </w:rPr>
            </w:pPr>
            <w:r>
              <w:rPr>
                <w:rFonts w:ascii="Arial" w:cs="Arial" w:eastAsia="Arial" w:hAnsi="Arial"/>
                <w:sz w:val="18"/>
                <w:szCs w:val="18"/>
                <w:color w:val="auto"/>
                <w:w w:val="89"/>
              </w:rPr>
              <w:t>4.6% to 4.9%</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United’s stock trading history began in March of 2002 when United listed on the Nasdaq National Market. For 2008 and 2007, expected volatility was determined using United’s historical monthly volatility over the period beginning in March of 2002 through the end of the last completed year. Compensation expense for stock options was $1.1 million and $1.0 million for the six months ended June 30, 2008 and 2007, respectively, which was net of deferred tax benefits of $445,000 and $293,000, respectively. The amount of compensation expense for both periods was determined based on the fair value of the options at the time of grant, multiplied by the number of options granted that were expected to vest, which was then amortized, net of any applicable tax benefit, over the vesting period. The forfeiture rate for options is estimated to be approximately 3% per year. The total intrinsic value of options exercised during the six months ended June 30, 2008 and 2007 was $277,000 and $1.8 million, respectively.</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table below presents the activity in restricted stock awards for the first six months of 2008.</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Weighted-</w:t>
            </w:r>
          </w:p>
        </w:tc>
      </w:tr>
      <w:tr>
        <w:trPr>
          <w:trHeight w:val="216"/>
        </w:trPr>
        <w:tc>
          <w:tcPr>
            <w:tcW w:w="6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Average Grant-</w:t>
            </w:r>
          </w:p>
        </w:tc>
      </w:tr>
      <w:tr>
        <w:trPr>
          <w:trHeight w:val="234"/>
        </w:trPr>
        <w:tc>
          <w:tcPr>
            <w:tcW w:w="6380" w:type="dxa"/>
            <w:vAlign w:val="bottom"/>
          </w:tcPr>
          <w:p>
            <w:pPr>
              <w:spacing w:after="0"/>
              <w:rPr>
                <w:sz w:val="20"/>
                <w:szCs w:val="20"/>
                <w:color w:val="auto"/>
              </w:rPr>
            </w:pPr>
            <w:r>
              <w:rPr>
                <w:rFonts w:ascii="Arial" w:cs="Arial" w:eastAsia="Arial" w:hAnsi="Arial"/>
                <w:sz w:val="18"/>
                <w:szCs w:val="18"/>
                <w:b w:val="1"/>
                <w:bCs w:val="1"/>
                <w:color w:val="auto"/>
              </w:rPr>
              <w:t>Restricted Stock</w:t>
            </w:r>
          </w:p>
        </w:tc>
        <w:tc>
          <w:tcPr>
            <w:tcW w:w="280" w:type="dxa"/>
            <w:vAlign w:val="bottom"/>
          </w:tcPr>
          <w:p>
            <w:pPr>
              <w:spacing w:after="0"/>
              <w:rPr>
                <w:sz w:val="20"/>
                <w:szCs w:val="20"/>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Shares</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Date Fair Value</w:t>
            </w:r>
          </w:p>
        </w:tc>
      </w:tr>
      <w:tr>
        <w:trPr>
          <w:trHeight w:val="210"/>
        </w:trPr>
        <w:tc>
          <w:tcPr>
            <w:tcW w:w="6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16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84,413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29.26</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Granted</w:t>
            </w:r>
          </w:p>
        </w:tc>
        <w:tc>
          <w:tcPr>
            <w:tcW w:w="1600" w:type="dxa"/>
            <w:vAlign w:val="bottom"/>
            <w:gridSpan w:val="3"/>
          </w:tcPr>
          <w:p>
            <w:pPr>
              <w:jc w:val="right"/>
              <w:ind w:right="360"/>
              <w:spacing w:after="0"/>
              <w:rPr>
                <w:sz w:val="20"/>
                <w:szCs w:val="20"/>
                <w:color w:val="auto"/>
              </w:rPr>
            </w:pPr>
            <w:r>
              <w:rPr>
                <w:rFonts w:ascii="Arial" w:cs="Arial" w:eastAsia="Arial" w:hAnsi="Arial"/>
                <w:sz w:val="18"/>
                <w:szCs w:val="18"/>
                <w:color w:val="auto"/>
              </w:rPr>
              <w:t>29,597</w:t>
            </w:r>
          </w:p>
        </w:tc>
        <w:tc>
          <w:tcPr>
            <w:tcW w:w="1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14.11</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(23,859)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26.95</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Cancelled</w:t>
            </w:r>
          </w:p>
        </w:tc>
        <w:tc>
          <w:tcPr>
            <w:tcW w:w="28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30.10</w:t>
            </w:r>
          </w:p>
        </w:tc>
      </w:tr>
      <w:tr>
        <w:trPr>
          <w:trHeight w:val="27"/>
        </w:trPr>
        <w:tc>
          <w:tcPr>
            <w:tcW w:w="6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2008</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87,151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24.72</w:t>
            </w:r>
          </w:p>
        </w:tc>
      </w:tr>
      <w:tr>
        <w:trPr>
          <w:trHeight w:val="20"/>
        </w:trPr>
        <w:tc>
          <w:tcPr>
            <w:tcW w:w="6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Compensation expense for restricted stock is based on the fair value of restricted stock awards at the time of grant, which is equal to the value of United’s common stock on the date of grant. The value of restricted stock grants that are expected to vest is amortized into expense over the vesting period. For the six months ended June 30, 2008 and 2007, compensation expense of $441,000 and $324,000, respectively, was recognized related to restricted stock awards. The total intrinsic value of the restricted stock was $743,000 at June 30, 2008.</w:t>
      </w:r>
    </w:p>
    <w:p>
      <w:pPr>
        <w:spacing w:after="0" w:line="148"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As of June 30, 2008, there was $8.9 million of unrecognized compensation cost related to nonvested stock options and restricted stock awards granted under the plan. That cost is expected to be recognized over a weighted-average period of 1.5 years. The aggregate grant date fair value of options and restricted stock awards that vested during the six months ended June 30, 2008, was $3.5 million.</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3 — Common Stock Issued / Common Stock Issuable</w:t>
      </w:r>
    </w:p>
    <w:p>
      <w:pPr>
        <w:spacing w:after="0" w:line="189"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United provides a Dividend Reinvestment and Share Purchase Plan (DRIP) to its shareholders. Under the DRIP, shareholders of record can voluntarily reinvest all or a portion of their cash dividends into shares of United’s common stock, as well as purchase additional stock through the plan with cash. United’s 401(k) retirement plan regularly purchases shares of United’s common stock directly from United. In addition, United has an Employee Stock Purchase Program (ESPP) that allows eligible employees to purchase shares of common stock at a 5% discount, with no commission charges. For the six months ended June 30, 2008 and 2007, United issued 113,047 and 90,002 shares, respectively, and increased capital by $1.6 million and $2.9 million, respectively, through these programs.</w:t>
      </w:r>
    </w:p>
    <w:p>
      <w:pPr>
        <w:spacing w:after="0" w:line="149"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In the fourth quarter of 2005, United began offering its common stock as an investment option in its deferred compensation plan. The common stock component of the deferred compensation plan is accounted for as an equity instrument and is reflected in the consolidated financial statements as common stock issuable. At June 30, 2008 and 2007, 105,579 and 60,761 shares, respectively, are issuable under the deferred compensation plan.</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4 — Earnings Per Share</w:t>
      </w:r>
    </w:p>
    <w:p>
      <w:pPr>
        <w:spacing w:after="0" w:line="202"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share for the three months and six months ended June 30</w:t>
      </w:r>
      <w:r>
        <w:rPr>
          <w:rFonts w:ascii="Arial" w:cs="Arial" w:eastAsia="Arial" w:hAnsi="Arial"/>
          <w:sz w:val="18"/>
          <w:szCs w:val="18"/>
          <w:i w:val="1"/>
          <w:iCs w:val="1"/>
          <w:color w:val="auto"/>
        </w:rPr>
        <w:t>.</w:t>
      </w:r>
    </w:p>
    <w:p>
      <w:pPr>
        <w:spacing w:after="0" w:line="34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6"/>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1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44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7,089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11,906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23,163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31,246</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47,060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44,949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47,013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43,980</w:t>
            </w:r>
          </w:p>
        </w:tc>
        <w:tc>
          <w:tcPr>
            <w:tcW w:w="0" w:type="dxa"/>
            <w:vAlign w:val="bottom"/>
          </w:tcPr>
          <w:p>
            <w:pPr>
              <w:spacing w:after="0"/>
              <w:rPr>
                <w:sz w:val="1"/>
                <w:szCs w:val="1"/>
                <w:color w:val="auto"/>
              </w:rPr>
            </w:pPr>
          </w:p>
        </w:tc>
      </w:tr>
      <w:tr>
        <w:trPr>
          <w:trHeight w:val="216"/>
        </w:trPr>
        <w:tc>
          <w:tcPr>
            <w:tcW w:w="4400" w:type="dxa"/>
            <w:vAlign w:val="bottom"/>
            <w:gridSpan w:val="2"/>
          </w:tcPr>
          <w:p>
            <w:pPr>
              <w:ind w:left="200"/>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Stock options and restricted stock</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02"/>
        </w:trPr>
        <w:tc>
          <w:tcPr>
            <w:tcW w:w="440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Common stock issuable under deferred</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ind w:left="600"/>
              <w:spacing w:after="0"/>
              <w:rPr>
                <w:sz w:val="20"/>
                <w:szCs w:val="20"/>
                <w:color w:val="auto"/>
              </w:rPr>
            </w:pPr>
            <w:r>
              <w:rPr>
                <w:rFonts w:ascii="Arial" w:cs="Arial" w:eastAsia="Arial" w:hAnsi="Arial"/>
                <w:sz w:val="18"/>
                <w:szCs w:val="18"/>
                <w:color w:val="auto"/>
              </w:rPr>
              <w:t>compensation plan</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47,249</w:t>
            </w:r>
          </w:p>
        </w:tc>
        <w:tc>
          <w:tcPr>
            <w:tcW w:w="3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47,260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44,842</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common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gridSpan w:val="2"/>
            <w:vMerge w:val="continue"/>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Mergers and Acquisitions</w:t>
      </w:r>
    </w:p>
    <w:p>
      <w:pPr>
        <w:spacing w:after="0" w:line="202"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On June 1, 2007, United acquired 100 percent of the outstanding common shares of Gwinnett Commercial Group, Inc. (Gwinnett), a community bank holding company headquartered in Lawrenceville, Georgia. Gwinnett’s results of operations are included in consolidated financial results from the acquisition date. Gwinnett was the parent company of First Bank of the South, a community bank with five full service banking offices serving the north metro Atlanta counties of Gwinnett, DeKalb and north Fulton and a commercial loan office in Walton County. United has continued to expand its presence in metropolitan Atlanta and the acquisition of Gwinnett accomplished a long-standing strategic goal of encircling metro Atlanta. Additionally, Gwinnett brought strong commercial lending experience to better diversify United’s business mix. The aggregate purchase price was approximately $222.9 million, including 5,691,948 shares of United’s common stock and $31.5 million in cash that was exchanged for all of the outstanding common shares and options to purchase common shares of Gwinnett. The value of the common stock issued of $33.62 per share was determined based on the average of the closing market price of United’s common shares over the period beginning two days before and ending two days after the terms of the acquisition were agreed to and announced.</w:t>
      </w:r>
    </w:p>
    <w:p>
      <w:pPr>
        <w:spacing w:after="0" w:line="139"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financial information below presents the pro forma earnings of United assuming that the results of operations of Gwinnett were included in consolidated earnings for the three and six months ended June 30.</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92"/>
              </w:rPr>
              <w:t>Three Months Ended</w:t>
            </w:r>
          </w:p>
        </w:tc>
        <w:tc>
          <w:tcPr>
            <w:tcW w:w="23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340" w:type="dxa"/>
            <w:vAlign w:val="bottom"/>
          </w:tcPr>
          <w:p>
            <w:pPr>
              <w:spacing w:after="0"/>
              <w:rPr>
                <w:sz w:val="18"/>
                <w:szCs w:val="18"/>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8"/>
                <w:szCs w:val="18"/>
                <w:color w:val="auto"/>
              </w:rPr>
            </w:pPr>
          </w:p>
        </w:tc>
      </w:tr>
      <w:tr>
        <w:trPr>
          <w:trHeight w:val="210"/>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60,752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69,221</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   133,205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151,930</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7,093</w:t>
            </w:r>
          </w:p>
        </w:tc>
        <w:tc>
          <w:tcPr>
            <w:tcW w:w="20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13,016</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23,171</w:t>
            </w:r>
          </w:p>
        </w:tc>
        <w:tc>
          <w:tcPr>
            <w:tcW w:w="2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35,514</w:t>
            </w:r>
          </w:p>
        </w:tc>
      </w:tr>
      <w:tr>
        <w:trPr>
          <w:trHeight w:val="202"/>
        </w:trPr>
        <w:tc>
          <w:tcPr>
            <w:tcW w:w="4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6 — Assets and Liabilities Measured at Fair Value</w:t>
      </w:r>
    </w:p>
    <w:p>
      <w:pPr>
        <w:spacing w:after="0" w:line="202"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 xml:space="preserve">On January 1, 2008, United adopted Statement of Financial Accounting Standards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No. 157”). SFAS No. 157 defines fair value, establishes a framework for measuring fair value, and expands disclosures about fair value measurements. SFAS No. 157 applies to reported balances that are required or permitted to be measured at fair value under existing accounting pronouncements; accordingly, the standard does not require any new fair value measurements of reported balances.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SFAS No. 157 emphasizes that fair value is a market-based measurement, not an entity-specific measurement. Therefore, a fair value measurement should be determined based on the assumptions that market participants would use in pricing the asset or liability. As a basis for considering market participant assumptions in fair value measurements, SFAS No. 157 establishes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Fair Value Hierarchy</w:t>
      </w:r>
    </w:p>
    <w:p>
      <w:pPr>
        <w:spacing w:after="0" w:line="189" w:lineRule="exact"/>
        <w:rPr>
          <w:sz w:val="20"/>
          <w:szCs w:val="20"/>
          <w:color w:val="auto"/>
        </w:rPr>
      </w:pPr>
    </w:p>
    <w:p>
      <w:pPr>
        <w:jc w:val="both"/>
        <w:ind w:left="1420" w:right="559" w:hanging="634"/>
        <w:spacing w:after="0" w:line="277" w:lineRule="auto"/>
        <w:rPr>
          <w:sz w:val="20"/>
          <w:szCs w:val="20"/>
          <w:color w:val="auto"/>
        </w:rPr>
      </w:pPr>
      <w:r>
        <w:rPr>
          <w:rFonts w:ascii="Arial" w:cs="Arial" w:eastAsia="Arial" w:hAnsi="Arial"/>
          <w:sz w:val="18"/>
          <w:szCs w:val="18"/>
          <w:color w:val="auto"/>
        </w:rPr>
        <w:t>Level 1 Valuation is based upon quoted prices (unadjusted) in active markets for identical assets or liabilities that United has the ability to access.</w:t>
      </w:r>
    </w:p>
    <w:p>
      <w:pPr>
        <w:spacing w:after="0" w:line="103" w:lineRule="exact"/>
        <w:rPr>
          <w:sz w:val="20"/>
          <w:szCs w:val="20"/>
          <w:color w:val="auto"/>
        </w:rPr>
      </w:pPr>
    </w:p>
    <w:p>
      <w:pPr>
        <w:jc w:val="both"/>
        <w:ind w:left="1420" w:right="559" w:hanging="634"/>
        <w:spacing w:after="0" w:line="264" w:lineRule="auto"/>
        <w:rPr>
          <w:sz w:val="20"/>
          <w:szCs w:val="20"/>
          <w:color w:val="auto"/>
        </w:rPr>
      </w:pPr>
      <w:r>
        <w:rPr>
          <w:rFonts w:ascii="Arial" w:cs="Arial" w:eastAsia="Arial" w:hAnsi="Arial"/>
          <w:sz w:val="18"/>
          <w:szCs w:val="18"/>
          <w:color w:val="auto"/>
        </w:rPr>
        <w:t>Level 2 Valuation is based upon quoted prices for similar assets and liabilities in active markets, as well as inputs that are observable for the asset or liability (other than quoted prices), such as interest rates, foreign exchange rates, and yield curves that are observable at commonly quoted intervals.</w:t>
      </w:r>
    </w:p>
    <w:p>
      <w:pPr>
        <w:spacing w:after="0" w:line="114" w:lineRule="exact"/>
        <w:rPr>
          <w:sz w:val="20"/>
          <w:szCs w:val="20"/>
          <w:color w:val="auto"/>
        </w:rPr>
      </w:pPr>
    </w:p>
    <w:p>
      <w:pPr>
        <w:jc w:val="both"/>
        <w:ind w:left="1420" w:right="559" w:hanging="634"/>
        <w:spacing w:after="0" w:line="291" w:lineRule="auto"/>
        <w:rPr>
          <w:sz w:val="20"/>
          <w:szCs w:val="20"/>
          <w:color w:val="auto"/>
        </w:rPr>
      </w:pPr>
      <w:r>
        <w:rPr>
          <w:rFonts w:ascii="Arial" w:cs="Arial" w:eastAsia="Arial" w:hAnsi="Arial"/>
          <w:sz w:val="16"/>
          <w:szCs w:val="16"/>
          <w:color w:val="auto"/>
        </w:rPr>
        <w:t>Level 3 Valuation is generated from model-based techniques that use at least one significant assumption based on unobservable inputs for the asset or liability, which are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United’s assessment of the significance of a particular input to the fair value measurement in its entirety requires judgment, and considers factors specific to the asset or liability.</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description of valuation methodologies used for assets and liabilities recorded at fair value.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Securities Available for Sale</w:t>
      </w:r>
    </w:p>
    <w:p>
      <w:pPr>
        <w:spacing w:after="0" w:line="189"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Investment securities available-for-sale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mortgage-backed securities issued by government sponsored entities, municipal bonds and corporate debt securities. Securities classified as Level 3 include asset-backed securities in less liquid markets.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Deferred Compensation Plan Assets and Liabilities</w:t>
      </w:r>
    </w:p>
    <w:p>
      <w:pPr>
        <w:spacing w:after="0" w:line="202"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Loans Held for Sale</w:t>
      </w:r>
    </w:p>
    <w:p>
      <w:pPr>
        <w:spacing w:after="0" w:line="189"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Loans held for sale are carried at the lower of cost or market value. The fair value of loans held for sale is based on what secondary markets are currently offering for portfolios with similar characteristics. As such, United classifies loans subjected to nonrecurring fair value adjustments as Level 2.</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Loans</w:t>
      </w:r>
    </w:p>
    <w:p>
      <w:pPr>
        <w:spacing w:after="0" w:line="202"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color w:val="auto"/>
        </w:rPr>
        <w:t xml:space="preserve">United does not record loans at fair value on a recurring basis. However, from time to time, a loan is considered impaired and an allowance for loan losses is established. Loans for which it is probable that payment of interest and principal will not be made in accordance with the contractual terms of the loan agreement are considered impaired. Once a loan is identified as individually impaired, management measures impairment in accordance with SFAS 114, </w:t>
      </w:r>
      <w:r>
        <w:rPr>
          <w:rFonts w:ascii="Arial" w:cs="Arial" w:eastAsia="Arial" w:hAnsi="Arial"/>
          <w:sz w:val="16"/>
          <w:szCs w:val="16"/>
          <w:i w:val="1"/>
          <w:iCs w:val="1"/>
          <w:color w:val="auto"/>
        </w:rPr>
        <w:t>Accounting by Creditors for Impairment</w:t>
      </w:r>
      <w:r>
        <w:rPr>
          <w:rFonts w:ascii="Arial" w:cs="Arial" w:eastAsia="Arial" w:hAnsi="Arial"/>
          <w:sz w:val="16"/>
          <w:szCs w:val="16"/>
          <w:color w:val="auto"/>
        </w:rPr>
        <w:t xml:space="preserve"> </w:t>
      </w:r>
      <w:r>
        <w:rPr>
          <w:rFonts w:ascii="Arial" w:cs="Arial" w:eastAsia="Arial" w:hAnsi="Arial"/>
          <w:sz w:val="16"/>
          <w:szCs w:val="16"/>
          <w:i w:val="1"/>
          <w:iCs w:val="1"/>
          <w:color w:val="auto"/>
        </w:rPr>
        <w:t>of a Loan</w:t>
      </w:r>
      <w:r>
        <w:rPr>
          <w:rFonts w:ascii="Arial" w:cs="Arial" w:eastAsia="Arial" w:hAnsi="Arial"/>
          <w:sz w:val="16"/>
          <w:szCs w:val="16"/>
          <w:color w:val="auto"/>
        </w:rPr>
        <w:t>, (SFAS 114). The fair value of impaired loans is estimated using one of several methods, including collateral value,</w:t>
      </w:r>
      <w:r>
        <w:rPr>
          <w:rFonts w:ascii="Arial" w:cs="Arial" w:eastAsia="Arial" w:hAnsi="Arial"/>
          <w:sz w:val="16"/>
          <w:szCs w:val="16"/>
          <w:i w:val="1"/>
          <w:iCs w:val="1"/>
          <w:color w:val="auto"/>
        </w:rPr>
        <w:t xml:space="preserve"> </w:t>
      </w:r>
      <w:r>
        <w:rPr>
          <w:rFonts w:ascii="Arial" w:cs="Arial" w:eastAsia="Arial" w:hAnsi="Arial"/>
          <w:sz w:val="16"/>
          <w:szCs w:val="16"/>
          <w:color w:val="auto"/>
        </w:rPr>
        <w:t>market value of similar debt, enterprise value, liquidation value and discounted cash flows. Those impaired loans not requiring an allowance represent loans for which the fair value of the expected repayments or collateral exceed the recorded investments in such loans. At June 30, 2008, substantially all of the total impaired loans were evaluated based on the fair value of the collateral. In accordance with SFAS 157, impaired loans where an allowance is established based on the fair value of collateral require classification in the fair value hierarchy.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Foreclosed Assets</w:t>
      </w:r>
    </w:p>
    <w:p>
      <w:pPr>
        <w:spacing w:after="0" w:line="189"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Foreclosed assets are adjusted to fair value upon transfer of the loans to foreclosed assets. Subsequently, foreclosed assets are carried at the lower of carrying value or fair value. Fair value is based upon independent market prices, appraised values of the collateral or management’s estimation of the value of the collateral. When the fair value of the collateral is based on an observable market price or a current appraised value, United records the foreclosed asset as nonrecurring Level 2. When an appraised value is not available or management determines the fair value of the collateral is further impaired below the appraised value and there is no observable market price, United records the foreclosed asset as nonrecurring Level 3.</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Goodwill and Other Intangible Assets</w:t>
      </w:r>
    </w:p>
    <w:p>
      <w:pPr>
        <w:spacing w:after="0" w:line="189"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Goodwill and identified intangible assets are subject to impairment testing. United’s approach to testing goodwill for impairment is to compare the business unit’s carrying value to the implied fair value based on multiples of earnings and tangible book value for recently completed merger transactions. In the event the fair value is determined to be less than the carrying value, the asset is recorded at fair value as determined by the valuation model. As such, United classifies goodwill and other intangible assets subjected to nonrecurring fair value adjustments as Level 3.</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 Financial Instruments</w:t>
      </w:r>
    </w:p>
    <w:p>
      <w:pPr>
        <w:spacing w:after="0" w:line="202"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Currently, United uses interest rate swaps and interest rate floors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w:t>
      </w:r>
    </w:p>
    <w:p>
      <w:pPr>
        <w:spacing w:after="0" w:line="137"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The fair values of interest rate options are determined using the market standard methodology of discounting the future expected cash receipts that would occur if variable interest rates fell below the strike rate of the floors. The variable interest rates used in the calculation of projected receipts on the floor are based on an expectation of future interest rates derived from observable market interest rate curves and volatilities. To comply with the provisions of SFAS No. 157, United incorporates credit valuation adjustments to appropriately reflect both its own nonperformance risk and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mutual puts, and guarantees.</w:t>
      </w:r>
    </w:p>
    <w:p>
      <w:pPr>
        <w:spacing w:after="0" w:line="152"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Although United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June 30, 2008, United has assessed the significance of the effect of the credit valuation adjustments on the overall valuation of its derivative positions and has determined that the credit valuation adjustments are not significant to the overall valuation of its derivatives. As a result, United has determined that its derivative valuations in their entirety are classified in Level 2 of the fair value hierarchy.</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202"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table below presents United’s assets and liabilities measured at fair value on a recurring basis as of June 30, 2008, aggregated by the level in the fair value hierarchy within which those measurements fall.</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0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4"/>
              </w:rPr>
              <w:t>Level 1</w:t>
            </w:r>
          </w:p>
        </w:tc>
        <w:tc>
          <w:tcPr>
            <w:tcW w:w="14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4"/>
              </w:rPr>
              <w:t>Level 2</w:t>
            </w:r>
          </w:p>
        </w:tc>
        <w:tc>
          <w:tcPr>
            <w:tcW w:w="14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June 30, 2008</w:t>
            </w:r>
          </w:p>
        </w:tc>
        <w:tc>
          <w:tcPr>
            <w:tcW w:w="0" w:type="dxa"/>
            <w:vAlign w:val="bottom"/>
          </w:tcPr>
          <w:p>
            <w:pPr>
              <w:spacing w:after="0"/>
              <w:rPr>
                <w:sz w:val="1"/>
                <w:szCs w:val="1"/>
                <w:color w:val="auto"/>
              </w:rPr>
            </w:pPr>
          </w:p>
        </w:tc>
      </w:tr>
      <w:tr>
        <w:trPr>
          <w:trHeight w:val="210"/>
        </w:trPr>
        <w:tc>
          <w:tcPr>
            <w:tcW w:w="4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0"/>
              <w:spacing w:after="0"/>
              <w:rPr>
                <w:sz w:val="20"/>
                <w:szCs w:val="20"/>
                <w:color w:val="auto"/>
              </w:rPr>
            </w:pPr>
            <w:r>
              <w:rPr>
                <w:rFonts w:ascii="Arial" w:cs="Arial" w:eastAsia="Arial" w:hAnsi="Arial"/>
                <w:sz w:val="18"/>
                <w:szCs w:val="18"/>
                <w:color w:val="auto"/>
              </w:rPr>
              <w:t>Securities available for sale</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1,430,588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1,430,588</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 plan assets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4,949</w:t>
            </w:r>
          </w:p>
        </w:tc>
        <w:tc>
          <w:tcPr>
            <w:tcW w:w="0" w:type="dxa"/>
            <w:vAlign w:val="bottom"/>
          </w:tcPr>
          <w:p>
            <w:pPr>
              <w:spacing w:after="0"/>
              <w:rPr>
                <w:sz w:val="1"/>
                <w:szCs w:val="1"/>
                <w:color w:val="auto"/>
              </w:rPr>
            </w:pPr>
          </w:p>
        </w:tc>
      </w:tr>
      <w:tr>
        <w:trPr>
          <w:trHeight w:val="216"/>
        </w:trPr>
        <w:tc>
          <w:tcPr>
            <w:tcW w:w="4080" w:type="dxa"/>
            <w:vAlign w:val="bottom"/>
          </w:tcPr>
          <w:p>
            <w:pPr>
              <w:ind w:left="200"/>
              <w:spacing w:after="0"/>
              <w:rPr>
                <w:sz w:val="20"/>
                <w:szCs w:val="20"/>
                <w:color w:val="auto"/>
              </w:rPr>
            </w:pPr>
            <w:r>
              <w:rPr>
                <w:rFonts w:ascii="Arial" w:cs="Arial" w:eastAsia="Arial" w:hAnsi="Arial"/>
                <w:sz w:val="18"/>
                <w:szCs w:val="18"/>
                <w:color w:val="auto"/>
              </w:rPr>
              <w:t>Derivative financial instruments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28,461</w:t>
            </w:r>
          </w:p>
        </w:tc>
        <w:tc>
          <w:tcPr>
            <w:tcW w:w="140" w:type="dxa"/>
            <w:vAlign w:val="bottom"/>
          </w:tcPr>
          <w:p>
            <w:pPr>
              <w:spacing w:after="0"/>
              <w:rPr>
                <w:sz w:val="18"/>
                <w:szCs w:val="18"/>
                <w:color w:val="auto"/>
              </w:rPr>
            </w:pP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28,461</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1,459,049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1,463,998</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 plan liability</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4,949</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080" w:type="dxa"/>
            <w:vAlign w:val="bottom"/>
          </w:tcPr>
          <w:p>
            <w:pPr>
              <w:spacing w:after="0"/>
              <w:rPr>
                <w:sz w:val="20"/>
                <w:szCs w:val="20"/>
                <w:color w:val="auto"/>
              </w:rPr>
            </w:pPr>
            <w:r>
              <w:rPr>
                <w:rFonts w:ascii="Arial" w:cs="Arial" w:eastAsia="Arial" w:hAnsi="Arial"/>
                <w:sz w:val="18"/>
                <w:szCs w:val="18"/>
                <w:color w:val="auto"/>
              </w:rPr>
              <w:t>Total liabilities</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4,949</w:t>
            </w:r>
          </w:p>
        </w:tc>
        <w:tc>
          <w:tcPr>
            <w:tcW w:w="3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4,949</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Assets and Liabilities Measured at Fair Value on a Nonrecurring Basis</w:t>
      </w:r>
    </w:p>
    <w:p>
      <w:pPr>
        <w:spacing w:after="0" w:line="189"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United may be required, from time to time, to measure certain assets at fair value on a nonrecurring basis in accordance with U.S. Generally Accepted Accounting Principles. These include assets that are measured at the lower of cost or market that were recognized at fair value below cost at the end of the period. The table below presents United’s assets and liabilities measured at fair value on a nonrecurring basis as of June 30, 2008, aggregated by the level in the fair value hierarchy within which those measurements fall.</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0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87"/>
              </w:rPr>
              <w:t>June 30, 2008</w:t>
            </w:r>
          </w:p>
        </w:tc>
        <w:tc>
          <w:tcPr>
            <w:tcW w:w="0" w:type="dxa"/>
            <w:vAlign w:val="bottom"/>
          </w:tcPr>
          <w:p>
            <w:pPr>
              <w:spacing w:after="0"/>
              <w:rPr>
                <w:sz w:val="1"/>
                <w:szCs w:val="1"/>
                <w:color w:val="auto"/>
              </w:rPr>
            </w:pPr>
          </w:p>
        </w:tc>
      </w:tr>
      <w:tr>
        <w:trPr>
          <w:trHeight w:val="210"/>
        </w:trPr>
        <w:tc>
          <w:tcPr>
            <w:tcW w:w="4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0"/>
              <w:spacing w:after="0"/>
              <w:rPr>
                <w:sz w:val="20"/>
                <w:szCs w:val="20"/>
                <w:color w:val="auto"/>
              </w:rPr>
            </w:pPr>
            <w:r>
              <w:rPr>
                <w:rFonts w:ascii="Arial" w:cs="Arial" w:eastAsia="Arial" w:hAnsi="Arial"/>
                <w:sz w:val="18"/>
                <w:szCs w:val="18"/>
                <w:color w:val="auto"/>
              </w:rPr>
              <w:t>Loans</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55,321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55,321</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Foreclosed assets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17,567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17,567</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080" w:type="dxa"/>
            <w:vAlign w:val="bottom"/>
          </w:tcPr>
          <w:p>
            <w:pPr>
              <w:spacing w:after="0"/>
              <w:rPr>
                <w:sz w:val="20"/>
                <w:szCs w:val="20"/>
                <w:color w:val="auto"/>
              </w:rPr>
            </w:pPr>
            <w:r>
              <w:rPr>
                <w:rFonts w:ascii="Arial" w:cs="Arial" w:eastAsia="Arial" w:hAnsi="Arial"/>
                <w:sz w:val="18"/>
                <w:szCs w:val="18"/>
                <w:color w:val="auto"/>
              </w:rPr>
              <w:t>Total</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72,888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72,888</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Note 7 — Recent Accounting Pronouncements</w:t>
            </w: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0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 xml:space="preserve">In February 2008, the Financial Accounting Standards Board (“FASB”) issued FASB Staff Position (“FSP”) 140-3 </w:t>
      </w:r>
      <w:r>
        <w:rPr>
          <w:rFonts w:ascii="Arial" w:cs="Arial" w:eastAsia="Arial" w:hAnsi="Arial"/>
          <w:sz w:val="18"/>
          <w:szCs w:val="18"/>
          <w:i w:val="1"/>
          <w:iCs w:val="1"/>
          <w:color w:val="auto"/>
        </w:rPr>
        <w:t xml:space="preserve">Accounting for Transfers of Financial Assets and Repurchase Financing Transactions. </w:t>
      </w:r>
      <w:r>
        <w:rPr>
          <w:rFonts w:ascii="Arial" w:cs="Arial" w:eastAsia="Arial" w:hAnsi="Arial"/>
          <w:sz w:val="18"/>
          <w:szCs w:val="18"/>
          <w:color w:val="auto"/>
        </w:rPr>
        <w:t>This statement provides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the accounting for a transfer of a financial asset and repurchase financing where the counterparties for both transactions are the same. In these circumstances, certain criteria must be met in order to not account for the transactions as a linked transaction. This FSP becomes effective for fiscal years and interim periods within those fiscal years, beginning on or after November 15, 2008. United does not anticipate that this FSP will have a material effect on United’s financial position, results of operations, or disclosures.</w:t>
      </w:r>
    </w:p>
    <w:p>
      <w:pPr>
        <w:spacing w:after="0" w:line="149"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 xml:space="preserve">In March 2008, the FASB issued Statement of Financial Accounting Standards No. 161 (SFAS No. 161), </w:t>
      </w:r>
      <w:r>
        <w:rPr>
          <w:rFonts w:ascii="Arial" w:cs="Arial" w:eastAsia="Arial" w:hAnsi="Arial"/>
          <w:sz w:val="17"/>
          <w:szCs w:val="17"/>
          <w:i w:val="1"/>
          <w:iCs w:val="1"/>
          <w:color w:val="auto"/>
        </w:rPr>
        <w:t>Disclosures about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Derivative Instruments and Hedging Activities. </w:t>
      </w:r>
      <w:r>
        <w:rPr>
          <w:rFonts w:ascii="Arial" w:cs="Arial" w:eastAsia="Arial" w:hAnsi="Arial"/>
          <w:sz w:val="17"/>
          <w:szCs w:val="17"/>
          <w:color w:val="auto"/>
        </w:rPr>
        <w:t>This statement requires an entity to provide enhanced disclosures about how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why an entity uses derivative instruments, how derivative instruments and related items are accounted for under SFAS 133, </w:t>
      </w:r>
      <w:r>
        <w:rPr>
          <w:rFonts w:ascii="Arial" w:cs="Arial" w:eastAsia="Arial" w:hAnsi="Arial"/>
          <w:sz w:val="17"/>
          <w:szCs w:val="17"/>
          <w:i w:val="1"/>
          <w:iCs w:val="1"/>
          <w:color w:val="auto"/>
        </w:rPr>
        <w:t xml:space="preserve">Accounting for Derivative Instruments and Hedging Activities </w:t>
      </w:r>
      <w:r>
        <w:rPr>
          <w:rFonts w:ascii="Arial" w:cs="Arial" w:eastAsia="Arial" w:hAnsi="Arial"/>
          <w:sz w:val="17"/>
          <w:szCs w:val="17"/>
          <w:color w:val="auto"/>
        </w:rPr>
        <w:t>(“SFAS 133”) and its related interpretations, and how derivative</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and related hedged items affect an entity’s financial position, financial performance, and cash flows. This statement is intended to enhance the current disclosure framework in SFAS 133, by requiring the objectives for using derivative instruments be disclosed in terms of underlying risk and accounting designation. This statement becomes effective for fiscal years and interim periods beginning within those years after November 15, 2008. As this statement is related to disclosures only, United does not anticipate that adoption of this standard will have a material effect on United’s financial position or results of operations.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4" w:name="page15"/>
    <w:bookmarkEnd w:id="14"/>
    <w:p>
      <w:pPr>
        <w:spacing w:after="0" w:line="2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This Form 10-Q contains forward-looking statements regarding United Community Banks, Inc. (“United”), including, without limitation, statements relating to United’s expectations with respect to revenue, credit losses, levels of nonperforming assets, expenses, earnings and other measures of financial performance. Words such as “may”, “could”, “would”, “should”, “believes”, “expects”, “anticipates”, “estimates”, “intends”, “plans”, “targets” or similar expressions are intended to identify forward-looking statements. These forward-looking statements are not guarantees of future performance and involve certain risks and uncertainties that are subject to change based on various factors (many of which are beyond United’s control). The following factors, among others, could cause United’s financial performance to differ materially from the expectations expressed in such forward-looking statements:</w:t>
      </w:r>
    </w:p>
    <w:p>
      <w:pPr>
        <w:spacing w:after="0" w:line="138" w:lineRule="exact"/>
        <w:rPr>
          <w:sz w:val="20"/>
          <w:szCs w:val="20"/>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recent operating results may not be indicative of future operating results;</w:t>
      </w:r>
    </w:p>
    <w:p>
      <w:pPr>
        <w:spacing w:after="0" w:line="198"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business is subject to the success of the local economies in which we operate;</w:t>
      </w:r>
    </w:p>
    <w:p>
      <w:pPr>
        <w:spacing w:after="0" w:line="184" w:lineRule="exact"/>
        <w:rPr>
          <w:rFonts w:ascii="Arial" w:cs="Arial" w:eastAsia="Arial" w:hAnsi="Arial"/>
          <w:sz w:val="18"/>
          <w:szCs w:val="18"/>
          <w:b w:val="1"/>
          <w:bCs w:val="1"/>
          <w:color w:val="auto"/>
        </w:rPr>
      </w:pPr>
    </w:p>
    <w:p>
      <w:pPr>
        <w:ind w:left="1040" w:right="559" w:hanging="343"/>
        <w:spacing w:after="0" w:line="277" w:lineRule="auto"/>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concentration of construction and land development loans is subject to unique risks that could adversely affect our earnings;</w:t>
      </w:r>
    </w:p>
    <w:p>
      <w:pPr>
        <w:spacing w:after="0" w:line="129"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we may face risks with respect to future expansion and acquisitions or mergers;</w:t>
      </w:r>
    </w:p>
    <w:p>
      <w:pPr>
        <w:spacing w:after="0" w:line="198"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changes in prevailing interest rates may negatively affect our net income and the value of our assets;</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if our allowance for loan losses is not sufficient to cover actual loan losses, our earnings would decrease;</w:t>
      </w:r>
    </w:p>
    <w:p>
      <w:pPr>
        <w:spacing w:after="0" w:line="184" w:lineRule="exact"/>
        <w:rPr>
          <w:rFonts w:ascii="Arial" w:cs="Arial" w:eastAsia="Arial" w:hAnsi="Arial"/>
          <w:sz w:val="18"/>
          <w:szCs w:val="18"/>
          <w:b w:val="1"/>
          <w:bCs w:val="1"/>
          <w:color w:val="auto"/>
        </w:rPr>
      </w:pPr>
    </w:p>
    <w:p>
      <w:pPr>
        <w:ind w:left="1040" w:right="559" w:hanging="343"/>
        <w:spacing w:after="0" w:line="277" w:lineRule="auto"/>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we may be subject to losses due to fraudulent and negligent conduct of our loan customers, third party service providers or employees;</w:t>
      </w:r>
    </w:p>
    <w:p>
      <w:pPr>
        <w:spacing w:after="0" w:line="143"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competition from financial institutions and other financial service providers may adversely affect our profitability;</w:t>
      </w:r>
    </w:p>
    <w:p>
      <w:pPr>
        <w:spacing w:after="0" w:line="196" w:lineRule="exact"/>
        <w:rPr>
          <w:rFonts w:ascii="Arial" w:cs="Arial" w:eastAsia="Arial" w:hAnsi="Arial"/>
          <w:sz w:val="17"/>
          <w:szCs w:val="17"/>
          <w:b w:val="1"/>
          <w:bCs w:val="1"/>
          <w:color w:val="auto"/>
        </w:rPr>
      </w:pPr>
    </w:p>
    <w:p>
      <w:pPr>
        <w:ind w:left="1040" w:right="559" w:hanging="343"/>
        <w:spacing w:after="0" w:line="277" w:lineRule="auto"/>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business increases, productivity gains and other investments are lower than expected or do not occur as quickly as anticipated;</w:t>
      </w:r>
    </w:p>
    <w:p>
      <w:pPr>
        <w:spacing w:after="0" w:line="129"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competitive pressures among financial services companies increase significantly;</w:t>
      </w:r>
    </w:p>
    <w:p>
      <w:pPr>
        <w:spacing w:after="0" w:line="198"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success of our business strategy;</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strength of the United States economy in general changes;</w:t>
      </w:r>
    </w:p>
    <w:p>
      <w:pPr>
        <w:spacing w:after="0" w:line="184" w:lineRule="exact"/>
        <w:rPr>
          <w:rFonts w:ascii="Arial" w:cs="Arial" w:eastAsia="Arial" w:hAnsi="Arial"/>
          <w:sz w:val="18"/>
          <w:szCs w:val="18"/>
          <w:b w:val="1"/>
          <w:bCs w:val="1"/>
          <w:color w:val="auto"/>
        </w:rPr>
      </w:pPr>
    </w:p>
    <w:p>
      <w:pPr>
        <w:ind w:left="1040" w:right="559" w:hanging="343"/>
        <w:spacing w:after="0" w:line="277" w:lineRule="auto"/>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change in trade, monetary and fiscal policies and laws, including interest rate policies of the Board of Governors of the Federal Reserve System;</w:t>
      </w:r>
    </w:p>
    <w:p>
      <w:pPr>
        <w:spacing w:after="0" w:line="143"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inflation or market conditions fluctuate;</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conditions in the stock market, the public debt market and other capital markets deteriorate;</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financial services laws and regulations change;</w:t>
      </w:r>
    </w:p>
    <w:p>
      <w:pPr>
        <w:spacing w:after="0" w:line="198"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technology changes and United fails to adapt to those changes;</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consumer spending and saving habits change;</w:t>
      </w:r>
    </w:p>
    <w:p>
      <w:pPr>
        <w:spacing w:after="0" w:line="184"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unanticipated regulatory or judicial proceedings occur; and</w:t>
      </w:r>
    </w:p>
    <w:p>
      <w:pPr>
        <w:spacing w:after="0" w:line="198"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United is unsuccessful at managing the risks involved in the foregoing.</w:t>
      </w:r>
    </w:p>
    <w:p>
      <w:pPr>
        <w:spacing w:after="0" w:line="185"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United cautions that the foregoing list of factors is not exclusive and not to place undue reliance on forward-looking statements. United does not intend to update any forward-looking statement, whether written or oral, relating to the matters discussed in this Form 10-Q.</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The following discussion is intended to provide insight into the results of operations and financial condition of United and its subsidiaries and should be read in conjunction with the consolidated financial statements and accompanying notes.</w:t>
      </w:r>
    </w:p>
    <w:p>
      <w:pPr>
        <w:spacing w:after="0" w:line="106"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United is a bank holding company registered with the Federal Reserve under the Bank Holding Company Act of 1956 that was incorporated under the laws of the state of Georgia in 1987 and commenced operations in 1988. At June 30, 2008, United had total consolidated assets of $8.3 billion, total loans of $5.9 billion, total deposits of $6.7 billion and stockholders’ equity of $837.9 million.</w:t>
      </w:r>
    </w:p>
    <w:p>
      <w:pPr>
        <w:spacing w:after="0" w:line="146"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United activities are primarily conducted by its wholly-owned Georgia banking subsidiary (the “Bank”) and Brintech, Inc., a consulting firm providing professional services to the financial services industry. The Bank operations are conducted under a community bank model that operates 27 “community banks” with local bank presidents and boards in north Georgia, the Atlanta metropolitan statistical area (“MSA”), the Gainesville MSA, coastal Georgia, western North Carolina, and east Tennessee.</w:t>
      </w:r>
    </w:p>
    <w:p>
      <w:pPr>
        <w:sectPr>
          <w:pgSz w:w="11900" w:h="16864" w:orient="portrait"/>
          <w:cols w:equalWidth="0" w:num="1">
            <w:col w:w="10219"/>
          </w:cols>
          <w:pgMar w:left="240" w:top="419" w:right="1440" w:bottom="0" w:gutter="0" w:footer="0" w:header="0"/>
        </w:sectPr>
      </w:pPr>
    </w:p>
    <w:bookmarkStart w:id="15" w:name="page16"/>
    <w:bookmarkEnd w:id="15"/>
    <w:p>
      <w:pPr>
        <w:ind w:left="370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Net income for the second quarter of 2007 included a special $15 million provision for fraud related loan losses involving two failed real estate developments near Spruce Pine, North Carolina. The after-tax effect of this provision was $9.2 million, or $.20 per diluted share. Because management believes these losses are an isolated and non-recurring event, we will highlight operating earnings information, which excludes the special provision to provide a better understanding of our ongoing earnings and credit trends.</w:t>
      </w:r>
    </w:p>
    <w:p>
      <w:pPr>
        <w:spacing w:after="0" w:line="161"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Net operating income was $7.1 million for the second quarter of 2008, a decrease of 66% from the $21.1 million for the second quarter of 2007. Diluted operating earnings per common share was $.15 for the second quarter of 2008, a decrease of 67% from the $.46 for the second quarter of 2007. Operating return on tangible equity for the second quarter of 2008 was 5.86%, compared to 17.52% for the second quarter of 2007. Operating return on assets for the second quarter of 2008 was .34% as compared to 1.12% for the second quarter of 2007.</w:t>
      </w:r>
    </w:p>
    <w:p>
      <w:pPr>
        <w:spacing w:after="0" w:line="148"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Net operating income was $23.2 million for the six months ended June 30, 2008, a decrease of 43% from the $40.4 million for the six months ended June 30, 2007. Diluted operating earnings per common share was $.49 for the six months ended June 30, 2008, a decrease of 46% from the $.90 for the six months ended June 30, 2007. Operating return on tangible equity for the six months ended June 30, 2008 was 9.46%, compared to 17.36% for the six months ended June 30, 2007. Operating return on assets for the six months ended June 30, 2008 was .56% as compared to 1.12% for the six months ended June 30, 2007.</w:t>
      </w:r>
    </w:p>
    <w:p>
      <w:pPr>
        <w:spacing w:after="0" w:line="118"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Earnings decreased primarily as a result of higher credit costs and margin compression due to competitive deposit pricing and higher levels of non-performing assets. Housing starts remain at low levels, leaving a surplus of lot inventory in our footprint, most notably in the Atlanta MSA. This increase in lot inventory negatively affects both the cash flows of our residential construction and land development customers, and the demand for new land development loans.</w:t>
      </w:r>
    </w:p>
    <w:p>
      <w:pPr>
        <w:spacing w:after="0" w:line="144"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Nonperforming assets increased to 1.84% of total assets as of June 30, 2008, a significant increase from .54% as of June 30, 2007. This increase is a reflection of the downstream effects of the lot inventory buildup in the Atlanta MSA, which itself is indicative of the regional economic slowdown that is occurring in much of the Southeast. To date, the rise in nonperforming assets has been mostly confined to the residential construction portfolio and predominantly within the Atlanta MSA.</w:t>
      </w:r>
    </w:p>
    <w:p>
      <w:pPr>
        <w:spacing w:after="0" w:line="114"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Fee revenue decreased $1.4 million, or 9%, from the second quarter of 2007. Although service charges and fees and consulting fees remained near the same level as the second quarter of 2007, mortgage fees and brokerage fees saw declines reflecting the slow housing market and declining conditions in the financial markets. Other fee revenue was down from a year ago, primarily due to gains from the sale of foreclosed properties realized in the second quarter of 2007 and higher income from bank owned life insurance and deferred compensation plan assets in the second quarter of 2007.</w:t>
      </w:r>
    </w:p>
    <w:p>
      <w:pPr>
        <w:spacing w:after="0" w:line="132"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Operating expenses increased $2.1 million, or 4%, from the second quarter of 2007, primarily due to higher expenses and losses on foreclosed real estate properties, higher FDIC insurance premiums and the additional operating expenses related to First Bank of the South. Because the acquisition of First Bank of the South occurred on June 1, 2007, second quarter 2007 expenses include only one month of expenses for the quarter compared to three months for 2008.</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The accounting and reporting policies of United are in accordance with accounting principles generally accepted in the United States of America (“GAAP”) and conform to general practices within the banking industry. The more critical accounting and reporting policies include United’s accounting for the allowance for loan losses and accounting for intangible assets. In particular, United’s accounting policies related to allowance for loan losses and intangibles involve the use of estimates and require significant judgment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Non-GAAP Performance Measures</w:t>
      </w:r>
    </w:p>
    <w:p>
      <w:pPr>
        <w:spacing w:after="0" w:line="202"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presentation of United’s financial results herein include references to operating performance measures, which are measures of performance determined by methods other than GAAP. Management included non-GAAP performance measures because it believes they are useful for evaluating United’s operations and performance over periods of time. Also, United uses operating performance measures in managing and evaluating United’s business and intends to use them in discussions about United’s operations and performance.</w:t>
      </w:r>
    </w:p>
    <w:p>
      <w:pPr>
        <w:spacing w:after="0" w:line="148"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Operating performance measures exclude the effect of a special $15 million fraud related provision for loan losses recorded in the second quarter of 2007 and an additional $3 million provision and $18 million in related charge-offs in the fourth quarter of 2007 involving lot loans near Spruce Pine, North Carolina. Management believes that the circumstances leading to the special provision and subsequent charge-offs were isolated, non-recurring events and do not reflect overall trends in United’s performance. Management also believes that these non-GAAP performance measures provide users of United’s financial information with a meaningful measure for assessing United’s financial results and credit trends and comparing financial results to prior periods.</w:t>
      </w:r>
    </w:p>
    <w:p>
      <w:pPr>
        <w:sectPr>
          <w:pgSz w:w="11900" w:h="16838" w:orient="portrait"/>
          <w:cols w:equalWidth="0" w:num="1">
            <w:col w:w="10219"/>
          </w:cols>
          <w:pgMar w:left="240" w:top="419" w:right="1440" w:bottom="1136"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136"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reconciliation of operating earnings measures to reported earnings measures using GAAP is presented below:</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 — Operating Earnings to GAAP Earnings Reconciliation</w:t>
      </w:r>
    </w:p>
    <w:p>
      <w:pPr>
        <w:spacing w:after="0" w:line="153"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2007</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3"/>
              </w:rPr>
              <w:t>For the Six Months Ended</w:t>
            </w:r>
          </w:p>
        </w:tc>
        <w:tc>
          <w:tcPr>
            <w:tcW w:w="0" w:type="dxa"/>
            <w:vAlign w:val="bottom"/>
          </w:tcPr>
          <w:p>
            <w:pPr>
              <w:spacing w:after="0"/>
              <w:rPr>
                <w:sz w:val="1"/>
                <w:szCs w:val="1"/>
                <w:color w:val="auto"/>
              </w:rPr>
            </w:pPr>
          </w:p>
        </w:tc>
      </w:tr>
      <w:tr>
        <w:trPr>
          <w:trHeight w:val="142"/>
        </w:trPr>
        <w:tc>
          <w:tcPr>
            <w:tcW w:w="2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82"/>
              </w:rPr>
              <w:t>Second</w:t>
            </w:r>
          </w:p>
        </w:tc>
        <w:tc>
          <w:tcPr>
            <w:tcW w:w="120" w:type="dxa"/>
            <w:vAlign w:val="bottom"/>
          </w:tcPr>
          <w:p>
            <w:pPr>
              <w:spacing w:after="0"/>
              <w:rPr>
                <w:sz w:val="12"/>
                <w:szCs w:val="12"/>
                <w:color w:val="auto"/>
              </w:rPr>
            </w:pPr>
          </w:p>
        </w:tc>
        <w:tc>
          <w:tcPr>
            <w:tcW w:w="52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First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94"/>
              </w:rPr>
              <w:t>Fourth</w:t>
            </w:r>
          </w:p>
        </w:tc>
        <w:tc>
          <w:tcPr>
            <w:tcW w:w="120" w:type="dxa"/>
            <w:vAlign w:val="bottom"/>
          </w:tcPr>
          <w:p>
            <w:pPr>
              <w:spacing w:after="0"/>
              <w:rPr>
                <w:sz w:val="12"/>
                <w:szCs w:val="12"/>
                <w:color w:val="auto"/>
              </w:rPr>
            </w:pPr>
          </w:p>
        </w:tc>
        <w:tc>
          <w:tcPr>
            <w:tcW w:w="920" w:type="dxa"/>
            <w:vAlign w:val="bottom"/>
            <w:gridSpan w:val="2"/>
          </w:tcPr>
          <w:p>
            <w:pPr>
              <w:jc w:val="center"/>
              <w:ind w:right="520"/>
              <w:spacing w:after="0" w:line="142" w:lineRule="exact"/>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12"/>
                <w:szCs w:val="12"/>
                <w:color w:val="auto"/>
              </w:rPr>
            </w:pPr>
          </w:p>
        </w:tc>
        <w:tc>
          <w:tcPr>
            <w:tcW w:w="5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6"/>
              </w:rPr>
              <w:t>Second</w:t>
            </w: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ind w:right="8"/>
              <w:spacing w:after="0" w:line="142" w:lineRule="exact"/>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i w:val="1"/>
                <w:iCs w:val="1"/>
                <w:color w:val="auto"/>
                <w:w w:val="91"/>
              </w:rPr>
              <w:t>(in thousands, except per share data)</w:t>
            </w:r>
          </w:p>
        </w:tc>
        <w:tc>
          <w:tcPr>
            <w:tcW w:w="260" w:type="dxa"/>
            <w:vAlign w:val="bottom"/>
          </w:tcPr>
          <w:p>
            <w:pPr>
              <w:spacing w:after="0"/>
              <w:rPr>
                <w:sz w:val="12"/>
                <w:szCs w:val="12"/>
                <w:color w:val="auto"/>
              </w:rPr>
            </w:pPr>
          </w:p>
        </w:tc>
        <w:tc>
          <w:tcPr>
            <w:tcW w:w="6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Quarter</w:t>
            </w:r>
          </w:p>
        </w:tc>
        <w:tc>
          <w:tcPr>
            <w:tcW w:w="400" w:type="dxa"/>
            <w:vAlign w:val="bottom"/>
          </w:tcPr>
          <w:p>
            <w:pPr>
              <w:spacing w:after="0"/>
              <w:rPr>
                <w:sz w:val="12"/>
                <w:szCs w:val="12"/>
                <w:color w:val="auto"/>
              </w:rPr>
            </w:pPr>
          </w:p>
        </w:tc>
        <w:tc>
          <w:tcPr>
            <w:tcW w:w="640" w:type="dxa"/>
            <w:vAlign w:val="bottom"/>
            <w:tcBorders>
              <w:bottom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Quarter</w:t>
            </w:r>
          </w:p>
        </w:tc>
        <w:tc>
          <w:tcPr>
            <w:tcW w:w="380" w:type="dxa"/>
            <w:vAlign w:val="bottom"/>
          </w:tcPr>
          <w:p>
            <w:pPr>
              <w:spacing w:after="0"/>
              <w:rPr>
                <w:sz w:val="12"/>
                <w:szCs w:val="12"/>
                <w:color w:val="auto"/>
              </w:rPr>
            </w:pPr>
          </w:p>
        </w:tc>
        <w:tc>
          <w:tcPr>
            <w:tcW w:w="6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Quarter</w:t>
            </w:r>
          </w:p>
        </w:tc>
        <w:tc>
          <w:tcPr>
            <w:tcW w:w="380" w:type="dxa"/>
            <w:vAlign w:val="bottom"/>
          </w:tcPr>
          <w:p>
            <w:pPr>
              <w:spacing w:after="0"/>
              <w:rPr>
                <w:sz w:val="12"/>
                <w:szCs w:val="12"/>
                <w:color w:val="auto"/>
              </w:rPr>
            </w:pPr>
          </w:p>
        </w:tc>
        <w:tc>
          <w:tcPr>
            <w:tcW w:w="64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8"/>
              </w:rPr>
              <w:t>Quarter</w:t>
            </w:r>
          </w:p>
        </w:tc>
        <w:tc>
          <w:tcPr>
            <w:tcW w:w="400" w:type="dxa"/>
            <w:vAlign w:val="bottom"/>
          </w:tcPr>
          <w:p>
            <w:pPr>
              <w:spacing w:after="0"/>
              <w:rPr>
                <w:sz w:val="12"/>
                <w:szCs w:val="12"/>
                <w:color w:val="auto"/>
              </w:rPr>
            </w:pPr>
          </w:p>
        </w:tc>
        <w:tc>
          <w:tcPr>
            <w:tcW w:w="62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8"/>
              </w:rPr>
              <w:t>Quarter</w:t>
            </w: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40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Special provision for fraud related</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4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loan losses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15,000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37"/>
        </w:trPr>
        <w:tc>
          <w:tcPr>
            <w:tcW w:w="2400" w:type="dxa"/>
            <w:vAlign w:val="bottom"/>
            <w:gridSpan w:val="2"/>
          </w:tcPr>
          <w:p>
            <w:pPr>
              <w:spacing w:after="0" w:line="137" w:lineRule="exact"/>
              <w:rPr>
                <w:sz w:val="20"/>
                <w:szCs w:val="20"/>
                <w:color w:val="auto"/>
              </w:rPr>
            </w:pPr>
            <w:r>
              <w:rPr>
                <w:rFonts w:ascii="Arial" w:cs="Arial" w:eastAsia="Arial" w:hAnsi="Arial"/>
                <w:sz w:val="14"/>
                <w:szCs w:val="14"/>
                <w:color w:val="auto"/>
              </w:rPr>
              <w:t>Income tax effect of special</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400" w:type="dxa"/>
            <w:vAlign w:val="bottom"/>
            <w:gridSpan w:val="2"/>
          </w:tcPr>
          <w:p>
            <w:pPr>
              <w:ind w:left="200"/>
              <w:spacing w:after="0"/>
              <w:rPr>
                <w:sz w:val="20"/>
                <w:szCs w:val="20"/>
                <w:color w:val="auto"/>
              </w:rPr>
            </w:pPr>
            <w:r>
              <w:rPr>
                <w:rFonts w:ascii="Arial" w:cs="Arial" w:eastAsia="Arial" w:hAnsi="Arial"/>
                <w:sz w:val="14"/>
                <w:szCs w:val="14"/>
                <w:color w:val="auto"/>
              </w:rPr>
              <w:t>provision</w:t>
            </w:r>
          </w:p>
        </w:tc>
        <w:tc>
          <w:tcPr>
            <w:tcW w:w="100" w:type="dxa"/>
            <w:vAlign w:val="bottom"/>
          </w:tcPr>
          <w:p>
            <w:pPr>
              <w:spacing w:after="0"/>
              <w:rPr>
                <w:sz w:val="15"/>
                <w:szCs w:val="15"/>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rPr>
              <w:t>1,167</w:t>
            </w:r>
          </w:p>
        </w:tc>
        <w:tc>
          <w:tcPr>
            <w:tcW w:w="12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color w:val="auto"/>
              </w:rPr>
              <w:t>5,835</w:t>
            </w:r>
          </w:p>
        </w:tc>
        <w:tc>
          <w:tcPr>
            <w:tcW w:w="12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5,835</w:t>
            </w:r>
          </w:p>
        </w:tc>
        <w:tc>
          <w:tcPr>
            <w:tcW w:w="0" w:type="dxa"/>
            <w:vAlign w:val="bottom"/>
          </w:tcPr>
          <w:p>
            <w:pPr>
              <w:spacing w:after="0"/>
              <w:rPr>
                <w:sz w:val="1"/>
                <w:szCs w:val="1"/>
                <w:color w:val="auto"/>
              </w:rPr>
            </w:pPr>
          </w:p>
        </w:tc>
      </w:tr>
      <w:tr>
        <w:trPr>
          <w:trHeight w:val="130"/>
        </w:trPr>
        <w:tc>
          <w:tcPr>
            <w:tcW w:w="2400" w:type="dxa"/>
            <w:vAlign w:val="bottom"/>
            <w:gridSpan w:val="2"/>
            <w:shd w:val="clear" w:color="auto" w:fill="CCEEFF"/>
          </w:tcPr>
          <w:p>
            <w:pPr>
              <w:ind w:left="400"/>
              <w:spacing w:after="0" w:line="130" w:lineRule="exact"/>
              <w:rPr>
                <w:sz w:val="20"/>
                <w:szCs w:val="20"/>
                <w:color w:val="auto"/>
              </w:rPr>
            </w:pPr>
            <w:r>
              <w:rPr>
                <w:rFonts w:ascii="Arial" w:cs="Arial" w:eastAsia="Arial" w:hAnsi="Arial"/>
                <w:sz w:val="14"/>
                <w:szCs w:val="14"/>
                <w:color w:val="auto"/>
              </w:rPr>
              <w:t>After-tax effect of special</w:t>
            </w: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provision</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1,833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9,165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9,165</w:t>
            </w:r>
          </w:p>
        </w:tc>
        <w:tc>
          <w:tcPr>
            <w:tcW w:w="0" w:type="dxa"/>
            <w:vAlign w:val="bottom"/>
          </w:tcPr>
          <w:p>
            <w:pPr>
              <w:spacing w:after="0"/>
              <w:rPr>
                <w:sz w:val="1"/>
                <w:szCs w:val="1"/>
                <w:color w:val="auto"/>
              </w:rPr>
            </w:pPr>
          </w:p>
        </w:tc>
      </w:tr>
      <w:tr>
        <w:trPr>
          <w:trHeight w:val="20"/>
        </w:trPr>
        <w:tc>
          <w:tcPr>
            <w:tcW w:w="2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Income Reconciliation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4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net income</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7,093</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16,078</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6,034</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22,536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21,076</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23,171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41,421</w:t>
            </w:r>
          </w:p>
        </w:tc>
        <w:tc>
          <w:tcPr>
            <w:tcW w:w="0" w:type="dxa"/>
            <w:vAlign w:val="bottom"/>
          </w:tcPr>
          <w:p>
            <w:pPr>
              <w:spacing w:after="0"/>
              <w:rPr>
                <w:sz w:val="1"/>
                <w:szCs w:val="1"/>
                <w:color w:val="auto"/>
              </w:rPr>
            </w:pPr>
          </w:p>
        </w:tc>
      </w:tr>
      <w:tr>
        <w:trPr>
          <w:trHeight w:val="130"/>
        </w:trPr>
        <w:tc>
          <w:tcPr>
            <w:tcW w:w="2400" w:type="dxa"/>
            <w:vAlign w:val="bottom"/>
            <w:gridSpan w:val="2"/>
          </w:tcPr>
          <w:p>
            <w:pPr>
              <w:spacing w:after="0" w:line="130" w:lineRule="exact"/>
              <w:rPr>
                <w:sz w:val="20"/>
                <w:szCs w:val="20"/>
                <w:color w:val="auto"/>
              </w:rPr>
            </w:pPr>
            <w:r>
              <w:rPr>
                <w:rFonts w:ascii="Arial" w:cs="Arial" w:eastAsia="Arial" w:hAnsi="Arial"/>
                <w:sz w:val="14"/>
                <w:szCs w:val="14"/>
                <w:color w:val="auto"/>
              </w:rPr>
              <w:t>After-tax effect of special provision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gridSpan w:val="2"/>
          </w:tcPr>
          <w:p>
            <w:pPr>
              <w:ind w:left="200"/>
              <w:spacing w:after="0"/>
              <w:rPr>
                <w:sz w:val="20"/>
                <w:szCs w:val="20"/>
                <w:color w:val="auto"/>
              </w:rPr>
            </w:pPr>
            <w:r>
              <w:rPr>
                <w:rFonts w:ascii="Arial" w:cs="Arial" w:eastAsia="Arial" w:hAnsi="Arial"/>
                <w:sz w:val="14"/>
                <w:szCs w:val="14"/>
                <w:color w:val="auto"/>
              </w:rPr>
              <w:t>and merger-related charges</w:t>
            </w:r>
          </w:p>
        </w:tc>
        <w:tc>
          <w:tcPr>
            <w:tcW w:w="10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(1,833)</w:t>
            </w:r>
          </w:p>
        </w:tc>
        <w:tc>
          <w:tcPr>
            <w:tcW w:w="12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(9,165)</w:t>
            </w:r>
          </w:p>
        </w:tc>
        <w:tc>
          <w:tcPr>
            <w:tcW w:w="12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(9,165)</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 (GAAP)</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7,093</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16,078</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4,201</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22,536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11,911</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23,171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32,256</w:t>
            </w:r>
          </w:p>
        </w:tc>
        <w:tc>
          <w:tcPr>
            <w:tcW w:w="0" w:type="dxa"/>
            <w:vAlign w:val="bottom"/>
          </w:tcPr>
          <w:p>
            <w:pPr>
              <w:spacing w:after="0"/>
              <w:rPr>
                <w:sz w:val="1"/>
                <w:szCs w:val="1"/>
                <w:color w:val="auto"/>
              </w:rPr>
            </w:pPr>
          </w:p>
        </w:tc>
      </w:tr>
      <w:tr>
        <w:trPr>
          <w:trHeight w:val="20"/>
        </w:trPr>
        <w:tc>
          <w:tcPr>
            <w:tcW w:w="2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Basic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40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2400" w:type="dxa"/>
            <w:vAlign w:val="bottom"/>
            <w:gridSpan w:val="2"/>
          </w:tcPr>
          <w:p>
            <w:pPr>
              <w:ind w:left="200"/>
              <w:spacing w:after="0"/>
              <w:rPr>
                <w:sz w:val="20"/>
                <w:szCs w:val="20"/>
                <w:color w:val="auto"/>
              </w:rPr>
            </w:pPr>
            <w:r>
              <w:rPr>
                <w:rFonts w:ascii="Arial" w:cs="Arial" w:eastAsia="Arial" w:hAnsi="Arial"/>
                <w:sz w:val="14"/>
                <w:szCs w:val="14"/>
                <w:b w:val="1"/>
                <w:bCs w:val="1"/>
                <w:color w:val="auto"/>
              </w:rPr>
              <w:t>Reconciliation</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Basic operating earnings per share</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.49</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30"/>
        </w:trPr>
        <w:tc>
          <w:tcPr>
            <w:tcW w:w="2400" w:type="dxa"/>
            <w:vAlign w:val="bottom"/>
            <w:gridSpan w:val="2"/>
          </w:tcPr>
          <w:p>
            <w:pPr>
              <w:spacing w:after="0" w:line="130" w:lineRule="exact"/>
              <w:rPr>
                <w:sz w:val="20"/>
                <w:szCs w:val="20"/>
                <w:color w:val="auto"/>
              </w:rPr>
            </w:pPr>
            <w:r>
              <w:rPr>
                <w:rFonts w:ascii="Arial" w:cs="Arial" w:eastAsia="Arial" w:hAnsi="Arial"/>
                <w:sz w:val="14"/>
                <w:szCs w:val="14"/>
                <w:color w:val="auto"/>
              </w:rPr>
              <w:t>Per share effect of special provision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gridSpan w:val="2"/>
          </w:tcPr>
          <w:p>
            <w:pPr>
              <w:ind w:left="200"/>
              <w:spacing w:after="0"/>
              <w:rPr>
                <w:sz w:val="20"/>
                <w:szCs w:val="20"/>
                <w:color w:val="auto"/>
              </w:rPr>
            </w:pPr>
            <w:r>
              <w:rPr>
                <w:rFonts w:ascii="Arial" w:cs="Arial" w:eastAsia="Arial" w:hAnsi="Arial"/>
                <w:sz w:val="14"/>
                <w:szCs w:val="14"/>
                <w:color w:val="auto"/>
              </w:rPr>
              <w:t>and merger-related charges</w:t>
            </w:r>
          </w:p>
        </w:tc>
        <w:tc>
          <w:tcPr>
            <w:tcW w:w="10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Basic earnings per share (GAAP)</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.49</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
        </w:trPr>
        <w:tc>
          <w:tcPr>
            <w:tcW w:w="2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40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2400" w:type="dxa"/>
            <w:vAlign w:val="bottom"/>
            <w:gridSpan w:val="2"/>
          </w:tcPr>
          <w:p>
            <w:pPr>
              <w:ind w:left="200"/>
              <w:spacing w:after="0"/>
              <w:rPr>
                <w:sz w:val="20"/>
                <w:szCs w:val="20"/>
                <w:color w:val="auto"/>
              </w:rPr>
            </w:pPr>
            <w:r>
              <w:rPr>
                <w:rFonts w:ascii="Arial" w:cs="Arial" w:eastAsia="Arial" w:hAnsi="Arial"/>
                <w:sz w:val="14"/>
                <w:szCs w:val="14"/>
                <w:b w:val="1"/>
                <w:bCs w:val="1"/>
                <w:color w:val="auto"/>
              </w:rPr>
              <w:t>Reconciliation</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Diluted operating earnings per share</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.49</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30"/>
        </w:trPr>
        <w:tc>
          <w:tcPr>
            <w:tcW w:w="2400" w:type="dxa"/>
            <w:vAlign w:val="bottom"/>
            <w:gridSpan w:val="2"/>
          </w:tcPr>
          <w:p>
            <w:pPr>
              <w:spacing w:after="0" w:line="130" w:lineRule="exact"/>
              <w:rPr>
                <w:sz w:val="20"/>
                <w:szCs w:val="20"/>
                <w:color w:val="auto"/>
              </w:rPr>
            </w:pPr>
            <w:r>
              <w:rPr>
                <w:rFonts w:ascii="Arial" w:cs="Arial" w:eastAsia="Arial" w:hAnsi="Arial"/>
                <w:sz w:val="14"/>
                <w:szCs w:val="14"/>
                <w:color w:val="auto"/>
              </w:rPr>
              <w:t>Per share effect of special provision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400" w:type="dxa"/>
            <w:vAlign w:val="bottom"/>
            <w:gridSpan w:val="2"/>
          </w:tcPr>
          <w:p>
            <w:pPr>
              <w:ind w:left="200"/>
              <w:spacing w:after="0"/>
              <w:rPr>
                <w:sz w:val="20"/>
                <w:szCs w:val="20"/>
                <w:color w:val="auto"/>
              </w:rPr>
            </w:pPr>
            <w:r>
              <w:rPr>
                <w:rFonts w:ascii="Arial" w:cs="Arial" w:eastAsia="Arial" w:hAnsi="Arial"/>
                <w:sz w:val="14"/>
                <w:szCs w:val="14"/>
                <w:color w:val="auto"/>
              </w:rPr>
              <w:t>and merger-related charges</w:t>
            </w:r>
          </w:p>
        </w:tc>
        <w:tc>
          <w:tcPr>
            <w:tcW w:w="100" w:type="dxa"/>
            <w:vAlign w:val="bottom"/>
          </w:tcPr>
          <w:p>
            <w:pPr>
              <w:spacing w:after="0"/>
              <w:rPr>
                <w:sz w:val="15"/>
                <w:szCs w:val="15"/>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30"/>
        </w:trPr>
        <w:tc>
          <w:tcPr>
            <w:tcW w:w="240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Diluted earnings per share</w:t>
            </w: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(GAAP)</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.49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
        </w:trPr>
        <w:tc>
          <w:tcPr>
            <w:tcW w:w="2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Provision for Loan Losses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40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2400" w:type="dxa"/>
            <w:vAlign w:val="bottom"/>
            <w:gridSpan w:val="2"/>
          </w:tcPr>
          <w:p>
            <w:pPr>
              <w:ind w:left="200"/>
              <w:spacing w:after="0"/>
              <w:rPr>
                <w:sz w:val="20"/>
                <w:szCs w:val="20"/>
                <w:color w:val="auto"/>
              </w:rPr>
            </w:pPr>
            <w:r>
              <w:rPr>
                <w:rFonts w:ascii="Arial" w:cs="Arial" w:eastAsia="Arial" w:hAnsi="Arial"/>
                <w:sz w:val="14"/>
                <w:szCs w:val="14"/>
                <w:b w:val="1"/>
                <w:bCs w:val="1"/>
                <w:color w:val="auto"/>
              </w:rPr>
              <w:t>Reconciliation</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provision for loan losses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15,500</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7,500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26,500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3,700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3,700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23,000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7,400</w:t>
            </w:r>
          </w:p>
        </w:tc>
        <w:tc>
          <w:tcPr>
            <w:tcW w:w="0" w:type="dxa"/>
            <w:vAlign w:val="bottom"/>
          </w:tcPr>
          <w:p>
            <w:pPr>
              <w:spacing w:after="0"/>
              <w:rPr>
                <w:sz w:val="1"/>
                <w:szCs w:val="1"/>
                <w:color w:val="auto"/>
              </w:rPr>
            </w:pPr>
          </w:p>
        </w:tc>
      </w:tr>
      <w:tr>
        <w:trPr>
          <w:trHeight w:val="130"/>
        </w:trPr>
        <w:tc>
          <w:tcPr>
            <w:tcW w:w="2400" w:type="dxa"/>
            <w:vAlign w:val="bottom"/>
            <w:gridSpan w:val="2"/>
          </w:tcPr>
          <w:p>
            <w:pPr>
              <w:spacing w:after="0" w:line="130" w:lineRule="exact"/>
              <w:rPr>
                <w:sz w:val="20"/>
                <w:szCs w:val="20"/>
                <w:color w:val="auto"/>
              </w:rPr>
            </w:pPr>
            <w:r>
              <w:rPr>
                <w:rFonts w:ascii="Arial" w:cs="Arial" w:eastAsia="Arial" w:hAnsi="Arial"/>
                <w:sz w:val="14"/>
                <w:szCs w:val="14"/>
                <w:color w:val="auto"/>
              </w:rPr>
              <w:t>Special provision for fraud related</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gridSpan w:val="2"/>
          </w:tcPr>
          <w:p>
            <w:pPr>
              <w:ind w:left="200"/>
              <w:spacing w:after="0"/>
              <w:rPr>
                <w:sz w:val="20"/>
                <w:szCs w:val="20"/>
                <w:color w:val="auto"/>
              </w:rPr>
            </w:pPr>
            <w:r>
              <w:rPr>
                <w:rFonts w:ascii="Arial" w:cs="Arial" w:eastAsia="Arial" w:hAnsi="Arial"/>
                <w:sz w:val="14"/>
                <w:szCs w:val="14"/>
                <w:color w:val="auto"/>
              </w:rPr>
              <w:t>loan losses</w:t>
            </w:r>
          </w:p>
        </w:tc>
        <w:tc>
          <w:tcPr>
            <w:tcW w:w="10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rPr>
              <w:t>3,000</w:t>
            </w:r>
          </w:p>
        </w:tc>
        <w:tc>
          <w:tcPr>
            <w:tcW w:w="12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color w:val="auto"/>
              </w:rPr>
              <w:t>15,000</w:t>
            </w:r>
          </w:p>
        </w:tc>
        <w:tc>
          <w:tcPr>
            <w:tcW w:w="12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Provision for loan losses (GAAP)</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15,500</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7,500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29,500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3,700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18,700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23,000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22,400</w:t>
            </w:r>
          </w:p>
        </w:tc>
        <w:tc>
          <w:tcPr>
            <w:tcW w:w="0" w:type="dxa"/>
            <w:vAlign w:val="bottom"/>
          </w:tcPr>
          <w:p>
            <w:pPr>
              <w:spacing w:after="0"/>
              <w:rPr>
                <w:sz w:val="1"/>
                <w:szCs w:val="1"/>
                <w:color w:val="auto"/>
              </w:rPr>
            </w:pPr>
          </w:p>
        </w:tc>
      </w:tr>
      <w:tr>
        <w:trPr>
          <w:trHeight w:val="20"/>
        </w:trPr>
        <w:tc>
          <w:tcPr>
            <w:tcW w:w="2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Nonperforming Assets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40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2400" w:type="dxa"/>
            <w:vAlign w:val="bottom"/>
            <w:gridSpan w:val="2"/>
          </w:tcPr>
          <w:p>
            <w:pPr>
              <w:ind w:left="200"/>
              <w:spacing w:after="0"/>
              <w:rPr>
                <w:sz w:val="20"/>
                <w:szCs w:val="20"/>
                <w:color w:val="auto"/>
              </w:rPr>
            </w:pPr>
            <w:r>
              <w:rPr>
                <w:rFonts w:ascii="Arial" w:cs="Arial" w:eastAsia="Arial" w:hAnsi="Arial"/>
                <w:sz w:val="14"/>
                <w:szCs w:val="14"/>
                <w:b w:val="1"/>
                <w:bCs w:val="1"/>
                <w:color w:val="auto"/>
              </w:rPr>
              <w:t>Reconciliation</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Nonperforming assets excluding</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fraud-related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148,219</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85,182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40,956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39,761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19,968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w w:val="98"/>
              </w:rPr>
              <w:t>148,218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19,968</w:t>
            </w:r>
          </w:p>
        </w:tc>
        <w:tc>
          <w:tcPr>
            <w:tcW w:w="0" w:type="dxa"/>
            <w:vAlign w:val="bottom"/>
          </w:tcPr>
          <w:p>
            <w:pPr>
              <w:spacing w:after="0"/>
              <w:rPr>
                <w:sz w:val="1"/>
                <w:szCs w:val="1"/>
                <w:color w:val="auto"/>
              </w:rPr>
            </w:pPr>
          </w:p>
        </w:tc>
      </w:tr>
      <w:tr>
        <w:trPr>
          <w:trHeight w:val="130"/>
        </w:trPr>
        <w:tc>
          <w:tcPr>
            <w:tcW w:w="2400" w:type="dxa"/>
            <w:vAlign w:val="bottom"/>
            <w:gridSpan w:val="2"/>
          </w:tcPr>
          <w:p>
            <w:pPr>
              <w:spacing w:after="0" w:line="130" w:lineRule="exact"/>
              <w:rPr>
                <w:sz w:val="20"/>
                <w:szCs w:val="20"/>
                <w:color w:val="auto"/>
              </w:rPr>
            </w:pPr>
            <w:r>
              <w:rPr>
                <w:rFonts w:ascii="Arial" w:cs="Arial" w:eastAsia="Arial" w:hAnsi="Arial"/>
                <w:sz w:val="14"/>
                <w:szCs w:val="14"/>
                <w:color w:val="auto"/>
              </w:rPr>
              <w:t>Fraud-related loans and OREO</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gridSpan w:val="2"/>
          </w:tcPr>
          <w:p>
            <w:pPr>
              <w:ind w:left="200"/>
              <w:spacing w:after="0"/>
              <w:rPr>
                <w:sz w:val="20"/>
                <w:szCs w:val="20"/>
                <w:color w:val="auto"/>
              </w:rPr>
            </w:pPr>
            <w:r>
              <w:rPr>
                <w:rFonts w:ascii="Arial" w:cs="Arial" w:eastAsia="Arial" w:hAnsi="Arial"/>
                <w:sz w:val="14"/>
                <w:szCs w:val="14"/>
                <w:color w:val="auto"/>
              </w:rPr>
              <w:t>included in nonperforming assets</w:t>
            </w:r>
          </w:p>
        </w:tc>
        <w:tc>
          <w:tcPr>
            <w:tcW w:w="10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rPr>
              <w:t>3,945</w:t>
            </w:r>
          </w:p>
        </w:tc>
        <w:tc>
          <w:tcPr>
            <w:tcW w:w="12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color w:val="auto"/>
              </w:rPr>
              <w:t>4,682</w:t>
            </w:r>
          </w:p>
        </w:tc>
        <w:tc>
          <w:tcPr>
            <w:tcW w:w="10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rPr>
              <w:t>5,302</w:t>
            </w:r>
          </w:p>
        </w:tc>
        <w:tc>
          <w:tcPr>
            <w:tcW w:w="12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color w:val="auto"/>
              </w:rPr>
              <w:t>23,576</w:t>
            </w:r>
          </w:p>
        </w:tc>
        <w:tc>
          <w:tcPr>
            <w:tcW w:w="8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color w:val="auto"/>
              </w:rPr>
              <w:t>23,633</w:t>
            </w:r>
          </w:p>
        </w:tc>
        <w:tc>
          <w:tcPr>
            <w:tcW w:w="12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color w:val="auto"/>
              </w:rPr>
              <w:t>3,945</w:t>
            </w:r>
          </w:p>
        </w:tc>
        <w:tc>
          <w:tcPr>
            <w:tcW w:w="14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23,633</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Nonperforming assets (GAAP)</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152,164</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89,864</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46,258</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63,337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43,601</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8"/>
              </w:rPr>
              <w:t>152,163</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43,601</w:t>
            </w:r>
          </w:p>
        </w:tc>
        <w:tc>
          <w:tcPr>
            <w:tcW w:w="0" w:type="dxa"/>
            <w:vAlign w:val="bottom"/>
          </w:tcPr>
          <w:p>
            <w:pPr>
              <w:spacing w:after="0"/>
              <w:rPr>
                <w:sz w:val="1"/>
                <w:szCs w:val="1"/>
                <w:color w:val="auto"/>
              </w:rPr>
            </w:pPr>
          </w:p>
        </w:tc>
      </w:tr>
      <w:tr>
        <w:trPr>
          <w:trHeight w:val="20"/>
        </w:trPr>
        <w:tc>
          <w:tcPr>
            <w:tcW w:w="2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Allowance for Loan Losses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40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2400" w:type="dxa"/>
            <w:vAlign w:val="bottom"/>
            <w:gridSpan w:val="2"/>
          </w:tcPr>
          <w:p>
            <w:pPr>
              <w:ind w:left="200"/>
              <w:spacing w:after="0"/>
              <w:rPr>
                <w:sz w:val="20"/>
                <w:szCs w:val="20"/>
                <w:color w:val="auto"/>
              </w:rPr>
            </w:pPr>
            <w:r>
              <w:rPr>
                <w:rFonts w:ascii="Arial" w:cs="Arial" w:eastAsia="Arial" w:hAnsi="Arial"/>
                <w:sz w:val="14"/>
                <w:szCs w:val="14"/>
                <w:b w:val="1"/>
                <w:bCs w:val="1"/>
                <w:color w:val="auto"/>
              </w:rPr>
              <w:t>Reconciliation</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Allowance for loan losses excluding</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special fraud-related allowance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91,035</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89,848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89,423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75,935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77,471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91,035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77,471</w:t>
            </w:r>
          </w:p>
        </w:tc>
        <w:tc>
          <w:tcPr>
            <w:tcW w:w="0" w:type="dxa"/>
            <w:vAlign w:val="bottom"/>
          </w:tcPr>
          <w:p>
            <w:pPr>
              <w:spacing w:after="0"/>
              <w:rPr>
                <w:sz w:val="1"/>
                <w:szCs w:val="1"/>
                <w:color w:val="auto"/>
              </w:rPr>
            </w:pPr>
          </w:p>
        </w:tc>
      </w:tr>
      <w:tr>
        <w:trPr>
          <w:trHeight w:val="130"/>
        </w:trPr>
        <w:tc>
          <w:tcPr>
            <w:tcW w:w="2400" w:type="dxa"/>
            <w:vAlign w:val="bottom"/>
            <w:gridSpan w:val="2"/>
          </w:tcPr>
          <w:p>
            <w:pPr>
              <w:spacing w:after="0" w:line="130" w:lineRule="exact"/>
              <w:rPr>
                <w:sz w:val="20"/>
                <w:szCs w:val="20"/>
                <w:color w:val="auto"/>
              </w:rPr>
            </w:pPr>
            <w:r>
              <w:rPr>
                <w:rFonts w:ascii="Arial" w:cs="Arial" w:eastAsia="Arial" w:hAnsi="Arial"/>
                <w:sz w:val="14"/>
                <w:szCs w:val="14"/>
                <w:color w:val="auto"/>
              </w:rPr>
              <w:t>Fraud-related allowance for loan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400" w:type="dxa"/>
            <w:vAlign w:val="bottom"/>
            <w:gridSpan w:val="2"/>
          </w:tcPr>
          <w:p>
            <w:pPr>
              <w:ind w:left="200"/>
              <w:spacing w:after="0"/>
              <w:rPr>
                <w:sz w:val="20"/>
                <w:szCs w:val="20"/>
                <w:color w:val="auto"/>
              </w:rPr>
            </w:pPr>
            <w:r>
              <w:rPr>
                <w:rFonts w:ascii="Arial" w:cs="Arial" w:eastAsia="Arial" w:hAnsi="Arial"/>
                <w:sz w:val="14"/>
                <w:szCs w:val="14"/>
                <w:color w:val="auto"/>
              </w:rPr>
              <w:t>losses</w:t>
            </w:r>
          </w:p>
        </w:tc>
        <w:tc>
          <w:tcPr>
            <w:tcW w:w="100" w:type="dxa"/>
            <w:vAlign w:val="bottom"/>
          </w:tcPr>
          <w:p>
            <w:pPr>
              <w:spacing w:after="0"/>
              <w:rPr>
                <w:sz w:val="15"/>
                <w:szCs w:val="15"/>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color w:val="auto"/>
              </w:rPr>
              <w:t>15,000</w:t>
            </w:r>
          </w:p>
        </w:tc>
        <w:tc>
          <w:tcPr>
            <w:tcW w:w="8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color w:val="auto"/>
              </w:rPr>
              <w:t>15,000</w:t>
            </w:r>
          </w:p>
        </w:tc>
        <w:tc>
          <w:tcPr>
            <w:tcW w:w="12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30"/>
        </w:trPr>
        <w:tc>
          <w:tcPr>
            <w:tcW w:w="240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Allowance for loan losses</w:t>
            </w: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(GAAP)</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91,035</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89,848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89,423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90,935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92,471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91,035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92,471</w:t>
            </w:r>
          </w:p>
        </w:tc>
        <w:tc>
          <w:tcPr>
            <w:tcW w:w="0" w:type="dxa"/>
            <w:vAlign w:val="bottom"/>
          </w:tcPr>
          <w:p>
            <w:pPr>
              <w:spacing w:after="0"/>
              <w:rPr>
                <w:sz w:val="1"/>
                <w:szCs w:val="1"/>
                <w:color w:val="auto"/>
              </w:rPr>
            </w:pPr>
          </w:p>
        </w:tc>
      </w:tr>
      <w:tr>
        <w:trPr>
          <w:trHeight w:val="20"/>
        </w:trPr>
        <w:tc>
          <w:tcPr>
            <w:tcW w:w="2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Charge Offs Reconciliation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4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4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Net charge offs excluding charge off</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of fraud-related loans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14,313</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7,075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13,012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5,236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2,124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21,388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3,586</w:t>
            </w:r>
          </w:p>
        </w:tc>
        <w:tc>
          <w:tcPr>
            <w:tcW w:w="0" w:type="dxa"/>
            <w:vAlign w:val="bottom"/>
          </w:tcPr>
          <w:p>
            <w:pPr>
              <w:spacing w:after="0"/>
              <w:rPr>
                <w:sz w:val="1"/>
                <w:szCs w:val="1"/>
                <w:color w:val="auto"/>
              </w:rPr>
            </w:pPr>
          </w:p>
        </w:tc>
      </w:tr>
      <w:tr>
        <w:trPr>
          <w:trHeight w:val="149"/>
        </w:trPr>
        <w:tc>
          <w:tcPr>
            <w:tcW w:w="2400" w:type="dxa"/>
            <w:vAlign w:val="bottom"/>
            <w:gridSpan w:val="2"/>
          </w:tcPr>
          <w:p>
            <w:pPr>
              <w:spacing w:after="0" w:line="149" w:lineRule="exact"/>
              <w:rPr>
                <w:sz w:val="20"/>
                <w:szCs w:val="20"/>
                <w:color w:val="auto"/>
              </w:rPr>
            </w:pPr>
            <w:r>
              <w:rPr>
                <w:rFonts w:ascii="Arial" w:cs="Arial" w:eastAsia="Arial" w:hAnsi="Arial"/>
                <w:sz w:val="14"/>
                <w:szCs w:val="14"/>
                <w:color w:val="auto"/>
              </w:rPr>
              <w:t>Fraud-related loans charged off</w:t>
            </w:r>
          </w:p>
        </w:tc>
        <w:tc>
          <w:tcPr>
            <w:tcW w:w="10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18,000</w:t>
            </w:r>
          </w:p>
        </w:tc>
        <w:tc>
          <w:tcPr>
            <w:tcW w:w="12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Net charge offs (GAAP)</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14,313</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7,075</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31,012</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5,236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2,124</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21,388</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3,586</w:t>
            </w:r>
          </w:p>
        </w:tc>
        <w:tc>
          <w:tcPr>
            <w:tcW w:w="0" w:type="dxa"/>
            <w:vAlign w:val="bottom"/>
          </w:tcPr>
          <w:p>
            <w:pPr>
              <w:spacing w:after="0"/>
              <w:rPr>
                <w:sz w:val="1"/>
                <w:szCs w:val="1"/>
                <w:color w:val="auto"/>
              </w:rPr>
            </w:pPr>
          </w:p>
        </w:tc>
      </w:tr>
      <w:tr>
        <w:trPr>
          <w:trHeight w:val="20"/>
        </w:trPr>
        <w:tc>
          <w:tcPr>
            <w:tcW w:w="2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Allowance for Loan Losses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40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2400" w:type="dxa"/>
            <w:vAlign w:val="bottom"/>
            <w:gridSpan w:val="2"/>
          </w:tcPr>
          <w:p>
            <w:pPr>
              <w:ind w:left="200"/>
              <w:spacing w:after="0"/>
              <w:rPr>
                <w:sz w:val="20"/>
                <w:szCs w:val="20"/>
                <w:color w:val="auto"/>
              </w:rPr>
            </w:pPr>
            <w:r>
              <w:rPr>
                <w:rFonts w:ascii="Arial" w:cs="Arial" w:eastAsia="Arial" w:hAnsi="Arial"/>
                <w:sz w:val="14"/>
                <w:szCs w:val="14"/>
                <w:b w:val="1"/>
                <w:bCs w:val="1"/>
                <w:color w:val="auto"/>
              </w:rPr>
              <w:t>Loans Ratio Reconciliation</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Allowance for loan losses to loans</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ratio excluding fraud-related</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allowance</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1.28%</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1.53%</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30"/>
        </w:trPr>
        <w:tc>
          <w:tcPr>
            <w:tcW w:w="2400" w:type="dxa"/>
            <w:vAlign w:val="bottom"/>
            <w:gridSpan w:val="2"/>
          </w:tcPr>
          <w:p>
            <w:pPr>
              <w:spacing w:after="0" w:line="130" w:lineRule="exact"/>
              <w:rPr>
                <w:sz w:val="20"/>
                <w:szCs w:val="20"/>
                <w:color w:val="auto"/>
              </w:rPr>
            </w:pPr>
            <w:r>
              <w:rPr>
                <w:rFonts w:ascii="Arial" w:cs="Arial" w:eastAsia="Arial" w:hAnsi="Arial"/>
                <w:sz w:val="14"/>
                <w:szCs w:val="14"/>
                <w:color w:val="auto"/>
              </w:rPr>
              <w:t>Portion of allowance assigned to</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400" w:type="dxa"/>
            <w:vAlign w:val="bottom"/>
            <w:gridSpan w:val="2"/>
          </w:tcPr>
          <w:p>
            <w:pPr>
              <w:ind w:left="200"/>
              <w:spacing w:after="0"/>
              <w:rPr>
                <w:sz w:val="20"/>
                <w:szCs w:val="20"/>
                <w:color w:val="auto"/>
              </w:rPr>
            </w:pPr>
            <w:r>
              <w:rPr>
                <w:rFonts w:ascii="Arial" w:cs="Arial" w:eastAsia="Arial" w:hAnsi="Arial"/>
                <w:sz w:val="14"/>
                <w:szCs w:val="14"/>
                <w:color w:val="auto"/>
              </w:rPr>
              <w:t>fraud-related loans</w:t>
            </w:r>
          </w:p>
        </w:tc>
        <w:tc>
          <w:tcPr>
            <w:tcW w:w="100" w:type="dxa"/>
            <w:vAlign w:val="bottom"/>
          </w:tcPr>
          <w:p>
            <w:pPr>
              <w:spacing w:after="0"/>
              <w:rPr>
                <w:sz w:val="15"/>
                <w:szCs w:val="15"/>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30"/>
        </w:trPr>
        <w:tc>
          <w:tcPr>
            <w:tcW w:w="240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Allowance for loan losses to</w:t>
            </w: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loans ratio (GAAP)</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1.53%</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1.53%</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0"/>
        </w:trPr>
        <w:tc>
          <w:tcPr>
            <w:tcW w:w="2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Nonperforming Assets to Total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40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2400" w:type="dxa"/>
            <w:vAlign w:val="bottom"/>
            <w:gridSpan w:val="2"/>
          </w:tcPr>
          <w:p>
            <w:pPr>
              <w:ind w:left="200"/>
              <w:spacing w:after="0"/>
              <w:rPr>
                <w:sz w:val="20"/>
                <w:szCs w:val="20"/>
                <w:color w:val="auto"/>
              </w:rPr>
            </w:pPr>
            <w:r>
              <w:rPr>
                <w:rFonts w:ascii="Arial" w:cs="Arial" w:eastAsia="Arial" w:hAnsi="Arial"/>
                <w:sz w:val="14"/>
                <w:szCs w:val="14"/>
                <w:b w:val="1"/>
                <w:bCs w:val="1"/>
                <w:color w:val="auto"/>
              </w:rPr>
              <w:t>Assets Ratio Reconciliation</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Nonperforming assets to total assets</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ratio excluding fraud-related</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1.79%</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56"/>
        </w:trPr>
        <w:tc>
          <w:tcPr>
            <w:tcW w:w="2400" w:type="dxa"/>
            <w:vAlign w:val="bottom"/>
            <w:gridSpan w:val="2"/>
          </w:tcPr>
          <w:p>
            <w:pPr>
              <w:spacing w:after="0" w:line="149" w:lineRule="exact"/>
              <w:rPr>
                <w:sz w:val="20"/>
                <w:szCs w:val="20"/>
                <w:color w:val="auto"/>
              </w:rPr>
            </w:pPr>
            <w:r>
              <w:rPr>
                <w:rFonts w:ascii="Arial" w:cs="Arial" w:eastAsia="Arial" w:hAnsi="Arial"/>
                <w:sz w:val="14"/>
                <w:szCs w:val="14"/>
                <w:color w:val="auto"/>
              </w:rPr>
              <w:t>Fraud-related nonperforming assets</w:t>
            </w:r>
          </w:p>
        </w:tc>
        <w:tc>
          <w:tcPr>
            <w:tcW w:w="100" w:type="dxa"/>
            <w:vAlign w:val="bottom"/>
          </w:tcPr>
          <w:p>
            <w:pPr>
              <w:spacing w:after="0"/>
              <w:rPr>
                <w:sz w:val="13"/>
                <w:szCs w:val="13"/>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.05</w:t>
            </w:r>
          </w:p>
        </w:tc>
        <w:tc>
          <w:tcPr>
            <w:tcW w:w="120" w:type="dxa"/>
            <w:vAlign w:val="bottom"/>
          </w:tcPr>
          <w:p>
            <w:pPr>
              <w:spacing w:after="0"/>
              <w:rPr>
                <w:sz w:val="13"/>
                <w:szCs w:val="13"/>
                <w:color w:val="auto"/>
              </w:rPr>
            </w:pP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.05</w:t>
            </w:r>
          </w:p>
        </w:tc>
        <w:tc>
          <w:tcPr>
            <w:tcW w:w="100" w:type="dxa"/>
            <w:vAlign w:val="bottom"/>
          </w:tcPr>
          <w:p>
            <w:pPr>
              <w:spacing w:after="0"/>
              <w:rPr>
                <w:sz w:val="13"/>
                <w:szCs w:val="13"/>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.06</w:t>
            </w:r>
          </w:p>
        </w:tc>
        <w:tc>
          <w:tcPr>
            <w:tcW w:w="120" w:type="dxa"/>
            <w:vAlign w:val="bottom"/>
          </w:tcPr>
          <w:p>
            <w:pPr>
              <w:spacing w:after="0"/>
              <w:rPr>
                <w:sz w:val="13"/>
                <w:szCs w:val="13"/>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.28</w:t>
            </w:r>
          </w:p>
        </w:tc>
        <w:tc>
          <w:tcPr>
            <w:tcW w:w="80" w:type="dxa"/>
            <w:vAlign w:val="bottom"/>
          </w:tcPr>
          <w:p>
            <w:pPr>
              <w:spacing w:after="0"/>
              <w:rPr>
                <w:sz w:val="13"/>
                <w:szCs w:val="13"/>
                <w:color w:val="auto"/>
              </w:rPr>
            </w:pP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.29</w:t>
            </w:r>
          </w:p>
        </w:tc>
        <w:tc>
          <w:tcPr>
            <w:tcW w:w="120" w:type="dxa"/>
            <w:vAlign w:val="bottom"/>
          </w:tcPr>
          <w:p>
            <w:pPr>
              <w:spacing w:after="0"/>
              <w:rPr>
                <w:sz w:val="13"/>
                <w:szCs w:val="13"/>
                <w:color w:val="auto"/>
              </w:rPr>
            </w:pP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.05</w:t>
            </w:r>
          </w:p>
        </w:tc>
        <w:tc>
          <w:tcPr>
            <w:tcW w:w="140" w:type="dxa"/>
            <w:vAlign w:val="bottom"/>
          </w:tcPr>
          <w:p>
            <w:pPr>
              <w:spacing w:after="0"/>
              <w:rPr>
                <w:sz w:val="13"/>
                <w:szCs w:val="13"/>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30"/>
        </w:trPr>
        <w:tc>
          <w:tcPr>
            <w:tcW w:w="240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Nonperforming assets to total</w:t>
            </w: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assets ratio (GAAP)</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.77%</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1.84%</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
        </w:trPr>
        <w:tc>
          <w:tcPr>
            <w:tcW w:w="2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Charge Offs to Average Loans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40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2400" w:type="dxa"/>
            <w:vAlign w:val="bottom"/>
            <w:gridSpan w:val="2"/>
          </w:tcPr>
          <w:p>
            <w:pPr>
              <w:ind w:left="200"/>
              <w:spacing w:after="0"/>
              <w:rPr>
                <w:sz w:val="20"/>
                <w:szCs w:val="20"/>
                <w:color w:val="auto"/>
              </w:rPr>
            </w:pPr>
            <w:r>
              <w:rPr>
                <w:rFonts w:ascii="Arial" w:cs="Arial" w:eastAsia="Arial" w:hAnsi="Arial"/>
                <w:sz w:val="14"/>
                <w:szCs w:val="14"/>
                <w:b w:val="1"/>
                <w:bCs w:val="1"/>
                <w:color w:val="auto"/>
              </w:rPr>
              <w:t>Ratio Reconciliation</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Net charge offs to average loans</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ratio excluding fraud-related</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loans</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.97%</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6"/>
        </w:trPr>
        <w:tc>
          <w:tcPr>
            <w:tcW w:w="2400" w:type="dxa"/>
            <w:vAlign w:val="bottom"/>
            <w:gridSpan w:val="2"/>
          </w:tcPr>
          <w:p>
            <w:pPr>
              <w:spacing w:after="0" w:line="149" w:lineRule="exact"/>
              <w:rPr>
                <w:sz w:val="20"/>
                <w:szCs w:val="20"/>
                <w:color w:val="auto"/>
              </w:rPr>
            </w:pPr>
            <w:r>
              <w:rPr>
                <w:rFonts w:ascii="Arial" w:cs="Arial" w:eastAsia="Arial" w:hAnsi="Arial"/>
                <w:sz w:val="14"/>
                <w:szCs w:val="14"/>
                <w:color w:val="auto"/>
              </w:rPr>
              <w:t>Charge offs of fraud-related loans</w:t>
            </w:r>
          </w:p>
        </w:tc>
        <w:tc>
          <w:tcPr>
            <w:tcW w:w="100" w:type="dxa"/>
            <w:vAlign w:val="bottom"/>
          </w:tcPr>
          <w:p>
            <w:pPr>
              <w:spacing w:after="0"/>
              <w:rPr>
                <w:sz w:val="13"/>
                <w:szCs w:val="13"/>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1.20</w:t>
            </w:r>
          </w:p>
        </w:tc>
        <w:tc>
          <w:tcPr>
            <w:tcW w:w="120" w:type="dxa"/>
            <w:vAlign w:val="bottom"/>
          </w:tcPr>
          <w:p>
            <w:pPr>
              <w:spacing w:after="0"/>
              <w:rPr>
                <w:sz w:val="13"/>
                <w:szCs w:val="13"/>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40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Net charge offs to average loans</w:t>
            </w: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ratio (GAAP)</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.97%</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0" w:gutter="0" w:footer="0" w:header="0"/>
        </w:sectPr>
      </w:pP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219"/>
          </w:cols>
          <w:pgMar w:left="240" w:top="419" w:right="1440" w:bottom="0" w:gutter="0" w:footer="0" w:header="0"/>
          <w:type w:val="continuous"/>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2 — Financial Highlights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Selected Financial Information</w:t>
      </w:r>
    </w:p>
    <w:p>
      <w:pPr>
        <w:spacing w:after="0" w:line="125"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2008</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89"/>
              </w:rPr>
              <w:t>2007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0"/>
              </w:rPr>
              <w:t>Second</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300"/>
              <w:spacing w:after="0" w:line="140" w:lineRule="exact"/>
              <w:rPr>
                <w:sz w:val="20"/>
                <w:szCs w:val="20"/>
                <w:color w:val="auto"/>
              </w:rPr>
            </w:pPr>
            <w:r>
              <w:rPr>
                <w:rFonts w:ascii="Arial" w:cs="Arial" w:eastAsia="Arial" w:hAnsi="Arial"/>
                <w:sz w:val="13"/>
                <w:szCs w:val="13"/>
                <w:b w:val="1"/>
                <w:bCs w:val="1"/>
                <w:color w:val="auto"/>
                <w:w w:val="93"/>
              </w:rPr>
              <w:t>Quarter</w:t>
            </w:r>
          </w:p>
        </w:tc>
        <w:tc>
          <w:tcPr>
            <w:tcW w:w="80" w:type="dxa"/>
            <w:vAlign w:val="bottom"/>
          </w:tcPr>
          <w:p>
            <w:pPr>
              <w:spacing w:after="0"/>
              <w:rPr>
                <w:sz w:val="12"/>
                <w:szCs w:val="12"/>
                <w:color w:val="auto"/>
              </w:rPr>
            </w:pPr>
          </w:p>
        </w:tc>
        <w:tc>
          <w:tcPr>
            <w:tcW w:w="1600" w:type="dxa"/>
            <w:vAlign w:val="bottom"/>
            <w:gridSpan w:val="5"/>
          </w:tcPr>
          <w:p>
            <w:pPr>
              <w:jc w:val="right"/>
              <w:ind w:right="660"/>
              <w:spacing w:after="0" w:line="140" w:lineRule="exact"/>
              <w:rPr>
                <w:sz w:val="20"/>
                <w:szCs w:val="20"/>
                <w:color w:val="auto"/>
              </w:rPr>
            </w:pPr>
            <w:r>
              <w:rPr>
                <w:rFonts w:ascii="Arial" w:cs="Arial" w:eastAsia="Arial" w:hAnsi="Arial"/>
                <w:sz w:val="13"/>
                <w:szCs w:val="13"/>
                <w:b w:val="1"/>
                <w:bCs w:val="1"/>
                <w:color w:val="auto"/>
              </w:rPr>
              <w:t>For the Six</w:t>
            </w:r>
          </w:p>
        </w:tc>
        <w:tc>
          <w:tcPr>
            <w:tcW w:w="680" w:type="dxa"/>
            <w:vAlign w:val="bottom"/>
            <w:gridSpan w:val="2"/>
          </w:tcPr>
          <w:p>
            <w:pPr>
              <w:jc w:val="right"/>
              <w:ind w:right="280"/>
              <w:spacing w:after="0" w:line="140" w:lineRule="exact"/>
              <w:rPr>
                <w:sz w:val="20"/>
                <w:szCs w:val="20"/>
                <w:color w:val="auto"/>
              </w:rPr>
            </w:pPr>
            <w:r>
              <w:rPr>
                <w:rFonts w:ascii="Arial" w:cs="Arial" w:eastAsia="Arial" w:hAnsi="Arial"/>
                <w:sz w:val="13"/>
                <w:szCs w:val="13"/>
                <w:b w:val="1"/>
                <w:bCs w:val="1"/>
                <w:color w:val="auto"/>
              </w:rPr>
              <w:t>YTD</w:t>
            </w:r>
          </w:p>
        </w:tc>
        <w:tc>
          <w:tcPr>
            <w:tcW w:w="0" w:type="dxa"/>
            <w:vAlign w:val="bottom"/>
          </w:tcPr>
          <w:p>
            <w:pPr>
              <w:spacing w:after="0"/>
              <w:rPr>
                <w:sz w:val="1"/>
                <w:szCs w:val="1"/>
                <w:color w:val="auto"/>
              </w:rPr>
            </w:pPr>
          </w:p>
        </w:tc>
      </w:tr>
      <w:tr>
        <w:trPr>
          <w:trHeight w:val="129"/>
        </w:trPr>
        <w:tc>
          <w:tcPr>
            <w:tcW w:w="2000" w:type="dxa"/>
            <w:vAlign w:val="bottom"/>
            <w:gridSpan w:val="2"/>
          </w:tcPr>
          <w:p>
            <w:pPr>
              <w:spacing w:after="0" w:line="129" w:lineRule="exact"/>
              <w:rPr>
                <w:sz w:val="20"/>
                <w:szCs w:val="20"/>
                <w:color w:val="auto"/>
              </w:rPr>
            </w:pPr>
            <w:r>
              <w:rPr>
                <w:rFonts w:ascii="Arial" w:cs="Arial" w:eastAsia="Arial" w:hAnsi="Arial"/>
                <w:sz w:val="13"/>
                <w:szCs w:val="13"/>
                <w:i w:val="1"/>
                <w:iCs w:val="1"/>
                <w:color w:val="auto"/>
              </w:rPr>
              <w:t>(in thousands, except per share</w:t>
            </w:r>
          </w:p>
        </w:tc>
        <w:tc>
          <w:tcPr>
            <w:tcW w:w="80" w:type="dxa"/>
            <w:vAlign w:val="bottom"/>
          </w:tcPr>
          <w:p>
            <w:pPr>
              <w:spacing w:after="0"/>
              <w:rPr>
                <w:sz w:val="11"/>
                <w:szCs w:val="11"/>
                <w:color w:val="auto"/>
              </w:rPr>
            </w:pPr>
          </w:p>
        </w:tc>
        <w:tc>
          <w:tcPr>
            <w:tcW w:w="740" w:type="dxa"/>
            <w:vAlign w:val="bottom"/>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w w:val="85"/>
              </w:rPr>
              <w:t>Second</w:t>
            </w:r>
          </w:p>
        </w:tc>
        <w:tc>
          <w:tcPr>
            <w:tcW w:w="80" w:type="dxa"/>
            <w:vAlign w:val="bottom"/>
          </w:tcPr>
          <w:p>
            <w:pPr>
              <w:spacing w:after="0"/>
              <w:rPr>
                <w:sz w:val="11"/>
                <w:szCs w:val="11"/>
                <w:color w:val="auto"/>
              </w:rPr>
            </w:pPr>
          </w:p>
        </w:tc>
        <w:tc>
          <w:tcPr>
            <w:tcW w:w="520" w:type="dxa"/>
            <w:vAlign w:val="bottom"/>
          </w:tcPr>
          <w:p>
            <w:pPr>
              <w:jc w:val="right"/>
              <w:ind w:right="97"/>
              <w:spacing w:after="0" w:line="129" w:lineRule="exact"/>
              <w:rPr>
                <w:sz w:val="20"/>
                <w:szCs w:val="20"/>
                <w:color w:val="auto"/>
              </w:rPr>
            </w:pPr>
            <w:r>
              <w:rPr>
                <w:rFonts w:ascii="Arial" w:cs="Arial" w:eastAsia="Arial" w:hAnsi="Arial"/>
                <w:sz w:val="13"/>
                <w:szCs w:val="13"/>
                <w:b w:val="1"/>
                <w:bCs w:val="1"/>
                <w:color w:val="auto"/>
              </w:rPr>
              <w:t>First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340"/>
              <w:spacing w:after="0" w:line="129" w:lineRule="exact"/>
              <w:rPr>
                <w:sz w:val="20"/>
                <w:szCs w:val="20"/>
                <w:color w:val="auto"/>
              </w:rPr>
            </w:pPr>
            <w:r>
              <w:rPr>
                <w:rFonts w:ascii="Arial" w:cs="Arial" w:eastAsia="Arial" w:hAnsi="Arial"/>
                <w:sz w:val="13"/>
                <w:szCs w:val="13"/>
                <w:b w:val="1"/>
                <w:bCs w:val="1"/>
                <w:color w:val="auto"/>
                <w:w w:val="97"/>
              </w:rPr>
              <w:t>Fourth</w:t>
            </w:r>
          </w:p>
        </w:tc>
        <w:tc>
          <w:tcPr>
            <w:tcW w:w="60" w:type="dxa"/>
            <w:vAlign w:val="bottom"/>
          </w:tcPr>
          <w:p>
            <w:pPr>
              <w:spacing w:after="0"/>
              <w:rPr>
                <w:sz w:val="11"/>
                <w:szCs w:val="11"/>
                <w:color w:val="auto"/>
              </w:rPr>
            </w:pPr>
          </w:p>
        </w:tc>
        <w:tc>
          <w:tcPr>
            <w:tcW w:w="760" w:type="dxa"/>
            <w:vAlign w:val="bottom"/>
            <w:gridSpan w:val="2"/>
          </w:tcPr>
          <w:p>
            <w:pPr>
              <w:jc w:val="center"/>
              <w:ind w:right="280"/>
              <w:spacing w:after="0" w:line="129" w:lineRule="exact"/>
              <w:rPr>
                <w:sz w:val="20"/>
                <w:szCs w:val="20"/>
                <w:color w:val="auto"/>
              </w:rPr>
            </w:pPr>
            <w:r>
              <w:rPr>
                <w:rFonts w:ascii="Arial" w:cs="Arial" w:eastAsia="Arial" w:hAnsi="Arial"/>
                <w:sz w:val="13"/>
                <w:szCs w:val="13"/>
                <w:b w:val="1"/>
                <w:bCs w:val="1"/>
                <w:color w:val="auto"/>
                <w:w w:val="98"/>
              </w:rPr>
              <w:t>Third</w:t>
            </w:r>
          </w:p>
        </w:tc>
        <w:tc>
          <w:tcPr>
            <w:tcW w:w="80" w:type="dxa"/>
            <w:vAlign w:val="bottom"/>
          </w:tcPr>
          <w:p>
            <w:pPr>
              <w:spacing w:after="0"/>
              <w:rPr>
                <w:sz w:val="11"/>
                <w:szCs w:val="11"/>
                <w:color w:val="auto"/>
              </w:rPr>
            </w:pPr>
          </w:p>
        </w:tc>
        <w:tc>
          <w:tcPr>
            <w:tcW w:w="520" w:type="dxa"/>
            <w:vAlign w:val="bottom"/>
          </w:tcPr>
          <w:p>
            <w:pPr>
              <w:jc w:val="right"/>
              <w:ind w:right="37"/>
              <w:spacing w:after="0" w:line="129" w:lineRule="exact"/>
              <w:rPr>
                <w:sz w:val="20"/>
                <w:szCs w:val="20"/>
                <w:color w:val="auto"/>
              </w:rPr>
            </w:pPr>
            <w:r>
              <w:rPr>
                <w:rFonts w:ascii="Arial" w:cs="Arial" w:eastAsia="Arial" w:hAnsi="Arial"/>
                <w:sz w:val="13"/>
                <w:szCs w:val="13"/>
                <w:b w:val="1"/>
                <w:bCs w:val="1"/>
                <w:color w:val="auto"/>
                <w:w w:val="85"/>
              </w:rPr>
              <w:t>Second</w:t>
            </w:r>
          </w:p>
        </w:tc>
        <w:tc>
          <w:tcPr>
            <w:tcW w:w="240" w:type="dxa"/>
            <w:vAlign w:val="bottom"/>
          </w:tcPr>
          <w:p>
            <w:pPr>
              <w:spacing w:after="0"/>
              <w:rPr>
                <w:sz w:val="11"/>
                <w:szCs w:val="11"/>
                <w:color w:val="auto"/>
              </w:rPr>
            </w:pPr>
          </w:p>
        </w:tc>
        <w:tc>
          <w:tcPr>
            <w:tcW w:w="820" w:type="dxa"/>
            <w:vAlign w:val="bottom"/>
            <w:gridSpan w:val="2"/>
          </w:tcPr>
          <w:p>
            <w:pPr>
              <w:jc w:val="right"/>
              <w:ind w:right="280"/>
              <w:spacing w:after="0" w:line="129" w:lineRule="exact"/>
              <w:rPr>
                <w:sz w:val="20"/>
                <w:szCs w:val="20"/>
                <w:color w:val="auto"/>
              </w:rPr>
            </w:pPr>
            <w:r>
              <w:rPr>
                <w:rFonts w:ascii="Arial" w:cs="Arial" w:eastAsia="Arial" w:hAnsi="Arial"/>
                <w:sz w:val="13"/>
                <w:szCs w:val="13"/>
                <w:b w:val="1"/>
                <w:bCs w:val="1"/>
                <w:color w:val="auto"/>
                <w:w w:val="83"/>
              </w:rPr>
              <w:t>2008-2007</w:t>
            </w:r>
          </w:p>
        </w:tc>
        <w:tc>
          <w:tcPr>
            <w:tcW w:w="80" w:type="dxa"/>
            <w:vAlign w:val="bottom"/>
          </w:tcPr>
          <w:p>
            <w:pPr>
              <w:spacing w:after="0"/>
              <w:rPr>
                <w:sz w:val="11"/>
                <w:szCs w:val="11"/>
                <w:color w:val="auto"/>
              </w:rPr>
            </w:pPr>
          </w:p>
        </w:tc>
        <w:tc>
          <w:tcPr>
            <w:tcW w:w="1600" w:type="dxa"/>
            <w:vAlign w:val="bottom"/>
            <w:gridSpan w:val="5"/>
          </w:tcPr>
          <w:p>
            <w:pPr>
              <w:jc w:val="right"/>
              <w:ind w:right="560"/>
              <w:spacing w:after="0" w:line="129" w:lineRule="exact"/>
              <w:rPr>
                <w:sz w:val="20"/>
                <w:szCs w:val="20"/>
                <w:color w:val="auto"/>
              </w:rPr>
            </w:pPr>
            <w:r>
              <w:rPr>
                <w:rFonts w:ascii="Arial" w:cs="Arial" w:eastAsia="Arial" w:hAnsi="Arial"/>
                <w:sz w:val="13"/>
                <w:szCs w:val="13"/>
                <w:b w:val="1"/>
                <w:bCs w:val="1"/>
                <w:color w:val="auto"/>
              </w:rPr>
              <w:t>Months Ended</w:t>
            </w:r>
          </w:p>
        </w:tc>
        <w:tc>
          <w:tcPr>
            <w:tcW w:w="680" w:type="dxa"/>
            <w:vAlign w:val="bottom"/>
            <w:gridSpan w:val="2"/>
          </w:tcPr>
          <w:p>
            <w:pPr>
              <w:jc w:val="right"/>
              <w:ind w:right="140"/>
              <w:spacing w:after="0" w:line="129" w:lineRule="exact"/>
              <w:rPr>
                <w:sz w:val="20"/>
                <w:szCs w:val="20"/>
                <w:color w:val="auto"/>
              </w:rPr>
            </w:pPr>
            <w:r>
              <w:rPr>
                <w:rFonts w:ascii="Arial" w:cs="Arial" w:eastAsia="Arial" w:hAnsi="Arial"/>
                <w:sz w:val="13"/>
                <w:szCs w:val="13"/>
                <w:b w:val="1"/>
                <w:bCs w:val="1"/>
                <w:color w:val="auto"/>
                <w:w w:val="83"/>
              </w:rPr>
              <w:t>2008-2007</w:t>
            </w:r>
          </w:p>
        </w:tc>
        <w:tc>
          <w:tcPr>
            <w:tcW w:w="0" w:type="dxa"/>
            <w:vAlign w:val="bottom"/>
          </w:tcPr>
          <w:p>
            <w:pPr>
              <w:spacing w:after="0"/>
              <w:rPr>
                <w:sz w:val="1"/>
                <w:szCs w:val="1"/>
                <w:color w:val="auto"/>
              </w:rPr>
            </w:pPr>
          </w:p>
        </w:tc>
      </w:tr>
      <w:tr>
        <w:trPr>
          <w:trHeight w:val="129"/>
        </w:trPr>
        <w:tc>
          <w:tcPr>
            <w:tcW w:w="18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i w:val="1"/>
                <w:iCs w:val="1"/>
                <w:color w:val="auto"/>
              </w:rPr>
              <w:t>data; taxable equivalent)</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w w:val="89"/>
              </w:rPr>
              <w:t>Quarter</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w w:val="89"/>
              </w:rPr>
              <w:t>Quarter</w:t>
            </w:r>
          </w:p>
        </w:tc>
        <w:tc>
          <w:tcPr>
            <w:tcW w:w="2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3"/>
              </w:rPr>
              <w:t>Quarter</w:t>
            </w:r>
          </w:p>
        </w:tc>
        <w:tc>
          <w:tcPr>
            <w:tcW w:w="2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3"/>
              </w:rPr>
              <w:t>Quarter</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w w:val="89"/>
              </w:rPr>
              <w:t>Quarter</w:t>
            </w:r>
          </w:p>
        </w:tc>
        <w:tc>
          <w:tcPr>
            <w:tcW w:w="240" w:type="dxa"/>
            <w:vAlign w:val="bottom"/>
          </w:tcPr>
          <w:p>
            <w:pPr>
              <w:spacing w:after="0"/>
              <w:rPr>
                <w:sz w:val="11"/>
                <w:szCs w:val="11"/>
                <w:color w:val="auto"/>
              </w:rPr>
            </w:pPr>
          </w:p>
        </w:tc>
        <w:tc>
          <w:tcPr>
            <w:tcW w:w="5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8"/>
              </w:rPr>
              <w:t>Change</w:t>
            </w:r>
          </w:p>
        </w:tc>
        <w:tc>
          <w:tcPr>
            <w:tcW w:w="2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2008</w:t>
            </w: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2007</w:t>
            </w:r>
          </w:p>
        </w:tc>
        <w:tc>
          <w:tcPr>
            <w:tcW w:w="240" w:type="dxa"/>
            <w:vAlign w:val="bottom"/>
          </w:tcPr>
          <w:p>
            <w:pPr>
              <w:spacing w:after="0"/>
              <w:rPr>
                <w:sz w:val="11"/>
                <w:szCs w:val="11"/>
                <w:color w:val="auto"/>
              </w:rPr>
            </w:pP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6"/>
              </w:rPr>
              <w:t>Change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0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INCOME SUMMARY</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Interest revenue</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116,984</w:t>
            </w: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129,041</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140,768</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144,884</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136,237</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246,025</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265,265</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Interest expense</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55,231</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62,754</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71,038</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73,203</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68,270</w:t>
            </w: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117,985</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132,193</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00" w:type="dxa"/>
            <w:vAlign w:val="bottom"/>
            <w:gridSpan w:val="2"/>
          </w:tcPr>
          <w:p>
            <w:pPr>
              <w:ind w:left="400"/>
              <w:spacing w:after="0" w:line="143" w:lineRule="exact"/>
              <w:rPr>
                <w:sz w:val="20"/>
                <w:szCs w:val="20"/>
                <w:color w:val="auto"/>
              </w:rPr>
            </w:pPr>
            <w:r>
              <w:rPr>
                <w:rFonts w:ascii="Arial" w:cs="Arial" w:eastAsia="Arial" w:hAnsi="Arial"/>
                <w:sz w:val="13"/>
                <w:szCs w:val="13"/>
                <w:color w:val="auto"/>
              </w:rPr>
              <w:t>Net interest revenue</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61,753</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66,287</w:t>
            </w: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69,730</w:t>
            </w: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71,681</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67,967</w:t>
            </w:r>
          </w:p>
        </w:tc>
        <w:tc>
          <w:tcPr>
            <w:tcW w:w="240" w:type="dxa"/>
            <w:vAlign w:val="bottom"/>
          </w:tcPr>
          <w:p>
            <w:pPr>
              <w:spacing w:after="0"/>
              <w:rPr>
                <w:sz w:val="12"/>
                <w:szCs w:val="12"/>
                <w:color w:val="auto"/>
              </w:rPr>
            </w:pPr>
          </w:p>
        </w:tc>
        <w:tc>
          <w:tcPr>
            <w:tcW w:w="82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(9)%</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128,040</w:t>
            </w: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133,072</w:t>
            </w:r>
          </w:p>
        </w:tc>
        <w:tc>
          <w:tcPr>
            <w:tcW w:w="240" w:type="dxa"/>
            <w:vAlign w:val="bottom"/>
          </w:tcPr>
          <w:p>
            <w:pPr>
              <w:spacing w:after="0"/>
              <w:rPr>
                <w:sz w:val="12"/>
                <w:szCs w:val="12"/>
                <w:color w:val="auto"/>
              </w:rPr>
            </w:pPr>
          </w:p>
        </w:tc>
        <w:tc>
          <w:tcPr>
            <w:tcW w:w="6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5"/>
        </w:trPr>
        <w:tc>
          <w:tcPr>
            <w:tcW w:w="200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 xml:space="preserve">Provision for loan losses </w:t>
            </w:r>
            <w:r>
              <w:rPr>
                <w:rFonts w:ascii="Arial" w:cs="Arial" w:eastAsia="Arial" w:hAnsi="Arial"/>
                <w:sz w:val="10"/>
                <w:szCs w:val="10"/>
                <w:color w:val="auto"/>
              </w:rPr>
              <w:t>(1)</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15,500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7,500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26,500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3,700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3,700</w:t>
            </w: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23,000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7,400</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Fee revenue</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15,105</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14,197</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16,100</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15,615</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16,554</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29,302</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30,936</w:t>
            </w: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b w:val="1"/>
                <w:bCs w:val="1"/>
                <w:color w:val="auto"/>
              </w:rPr>
              <w:t>Total operating revenue</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61,358</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72,984</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59,330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83,596</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80,821</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134,342</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156,608</w:t>
            </w: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35"/>
        </w:trPr>
        <w:tc>
          <w:tcPr>
            <w:tcW w:w="200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Operating expenses</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49,761</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47,529</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49,336</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48,182</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47,702</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4</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97,290</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92,543</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Income before taxes</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11,597</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25,455</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9,994</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35,414</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33,119</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(65)</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37,052</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64,065</w:t>
            </w: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35"/>
        </w:trPr>
        <w:tc>
          <w:tcPr>
            <w:tcW w:w="200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Income taxes</w:t>
            </w: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4,504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9,377</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3,960</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12,878</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12,043</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13,881</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23,644</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b w:val="1"/>
                <w:bCs w:val="1"/>
                <w:color w:val="auto"/>
              </w:rPr>
              <w:t>Net operating income</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7,093</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16,078</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6,034</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22,536</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21,076</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(66)</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23,171</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40,421</w:t>
            </w: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26"/>
        </w:trPr>
        <w:tc>
          <w:tcPr>
            <w:tcW w:w="2000" w:type="dxa"/>
            <w:vAlign w:val="bottom"/>
            <w:gridSpan w:val="2"/>
          </w:tcPr>
          <w:p>
            <w:pPr>
              <w:ind w:left="200"/>
              <w:spacing w:after="0" w:line="126" w:lineRule="exact"/>
              <w:rPr>
                <w:sz w:val="20"/>
                <w:szCs w:val="20"/>
                <w:color w:val="auto"/>
              </w:rPr>
            </w:pPr>
            <w:r>
              <w:rPr>
                <w:rFonts w:ascii="Arial" w:cs="Arial" w:eastAsia="Arial" w:hAnsi="Arial"/>
                <w:sz w:val="13"/>
                <w:szCs w:val="13"/>
                <w:color w:val="auto"/>
              </w:rPr>
              <w:t>Fraud loss provision, net of tax</w:t>
            </w: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1,833</w:t>
            </w:r>
          </w:p>
        </w:tc>
        <w:tc>
          <w:tcPr>
            <w:tcW w:w="60" w:type="dxa"/>
            <w:vAlign w:val="bottom"/>
          </w:tcPr>
          <w:p>
            <w:pPr>
              <w:spacing w:after="0"/>
              <w:rPr>
                <w:sz w:val="10"/>
                <w:szCs w:val="10"/>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9,165</w:t>
            </w: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9,165</w:t>
            </w: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880" w:type="dxa"/>
            <w:vAlign w:val="bottom"/>
          </w:tcPr>
          <w:p>
            <w:pPr>
              <w:ind w:left="400"/>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b w:val="1"/>
                <w:bCs w:val="1"/>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7,093</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16,078</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4,201</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22,536</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11,911</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23,171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31,256</w:t>
            </w: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20"/>
        </w:trPr>
        <w:tc>
          <w:tcPr>
            <w:tcW w:w="20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OPERATING PERFORMANCE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0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1880" w:type="dxa"/>
            <w:vAlign w:val="bottom"/>
          </w:tcPr>
          <w:p>
            <w:pPr>
              <w:ind w:left="200"/>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Earnings per common share:</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Basic</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.15</w:t>
            </w: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.34</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.13</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.47</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.47</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(68)</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.92</w:t>
            </w: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35"/>
        </w:trPr>
        <w:tc>
          <w:tcPr>
            <w:tcW w:w="20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Diluted</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.34</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.13</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.46</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(67)</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.49</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.90</w:t>
            </w: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35"/>
        </w:trPr>
        <w:tc>
          <w:tcPr>
            <w:tcW w:w="200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 xml:space="preserve">Return on equity </w:t>
            </w:r>
            <w:r>
              <w:rPr>
                <w:rFonts w:ascii="Arial" w:cs="Arial" w:eastAsia="Arial" w:hAnsi="Arial"/>
                <w:sz w:val="10"/>
                <w:szCs w:val="10"/>
                <w:color w:val="auto"/>
              </w:rPr>
              <w:t>(2)</w:t>
            </w: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3.41%</w:t>
            </w:r>
          </w:p>
        </w:tc>
        <w:tc>
          <w:tcPr>
            <w:tcW w:w="8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7.85%</w:t>
            </w:r>
          </w:p>
        </w:tc>
        <w:tc>
          <w:tcPr>
            <w:tcW w:w="6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2.89%</w:t>
            </w:r>
          </w:p>
        </w:tc>
        <w:tc>
          <w:tcPr>
            <w:tcW w:w="6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10.66%</w:t>
            </w:r>
          </w:p>
        </w:tc>
        <w:tc>
          <w:tcPr>
            <w:tcW w:w="8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12.47%</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5.61%</w:t>
            </w:r>
          </w:p>
        </w:tc>
        <w:tc>
          <w:tcPr>
            <w:tcW w:w="8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9.64%</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00" w:type="dxa"/>
            <w:vAlign w:val="bottom"/>
            <w:gridSpan w:val="2"/>
            <w:shd w:val="clear" w:color="auto" w:fill="CCEEFF"/>
          </w:tcPr>
          <w:p>
            <w:pPr>
              <w:ind w:left="200"/>
              <w:spacing w:after="0" w:line="126" w:lineRule="exact"/>
              <w:rPr>
                <w:sz w:val="20"/>
                <w:szCs w:val="20"/>
                <w:color w:val="auto"/>
              </w:rPr>
            </w:pPr>
            <w:r>
              <w:rPr>
                <w:rFonts w:ascii="Arial" w:cs="Arial" w:eastAsia="Arial" w:hAnsi="Arial"/>
                <w:sz w:val="13"/>
                <w:szCs w:val="13"/>
                <w:color w:val="auto"/>
              </w:rPr>
              <w:t xml:space="preserve">Return on tangible equity </w:t>
            </w:r>
            <w:r>
              <w:rPr>
                <w:rFonts w:ascii="Arial" w:cs="Arial" w:eastAsia="Arial" w:hAnsi="Arial"/>
                <w:sz w:val="10"/>
                <w:szCs w:val="10"/>
                <w:color w:val="auto"/>
              </w:rPr>
              <w:t>(2)(3)</w:t>
            </w: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5.86</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13.16</w:t>
            </w:r>
          </w:p>
        </w:tc>
        <w:tc>
          <w:tcPr>
            <w:tcW w:w="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5.06</w:t>
            </w:r>
          </w:p>
        </w:tc>
        <w:tc>
          <w:tcPr>
            <w:tcW w:w="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17.54</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17.52</w:t>
            </w: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9.46</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17.36</w:t>
            </w: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880" w:type="dxa"/>
            <w:vAlign w:val="bottom"/>
            <w:shd w:val="clear" w:color="auto" w:fill="CCEEFF"/>
          </w:tcPr>
          <w:p>
            <w:pPr>
              <w:ind w:left="400"/>
              <w:spacing w:after="0"/>
              <w:rPr>
                <w:sz w:val="20"/>
                <w:szCs w:val="20"/>
                <w:color w:val="auto"/>
              </w:rPr>
            </w:pPr>
            <w:r>
              <w:rPr>
                <w:rFonts w:ascii="Arial" w:cs="Arial" w:eastAsia="Arial" w:hAnsi="Arial"/>
                <w:sz w:val="11"/>
                <w:szCs w:val="11"/>
                <w:color w:val="auto"/>
              </w:rPr>
              <w:t>(4)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 xml:space="preserve">Return on assets </w:t>
            </w:r>
            <w:r>
              <w:rPr>
                <w:rFonts w:ascii="Arial" w:cs="Arial" w:eastAsia="Arial" w:hAnsi="Arial"/>
                <w:sz w:val="10"/>
                <w:szCs w:val="10"/>
                <w:color w:val="auto"/>
              </w:rPr>
              <w:t>(4)</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.34</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.78</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.29</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1.11</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1.12</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.56</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1.12</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Dividend payout ratio</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60.00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26.47</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69.23</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19.15</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19.15</w:t>
            </w: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36.73</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19.57</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00" w:type="dxa"/>
            <w:vAlign w:val="bottom"/>
            <w:gridSpan w:val="2"/>
          </w:tcPr>
          <w:p>
            <w:pPr>
              <w:spacing w:after="0"/>
              <w:rPr>
                <w:sz w:val="20"/>
                <w:szCs w:val="20"/>
                <w:color w:val="auto"/>
              </w:rPr>
            </w:pPr>
            <w:r>
              <w:rPr>
                <w:rFonts w:ascii="Arial" w:cs="Arial" w:eastAsia="Arial" w:hAnsi="Arial"/>
                <w:sz w:val="13"/>
                <w:szCs w:val="13"/>
                <w:b w:val="1"/>
                <w:bCs w:val="1"/>
                <w:color w:val="auto"/>
              </w:rPr>
              <w:t>GAAP PERFORMANCE</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00" w:type="dxa"/>
            <w:vAlign w:val="bottom"/>
            <w:gridSpan w:val="2"/>
          </w:tcPr>
          <w:p>
            <w:pPr>
              <w:ind w:left="200"/>
              <w:spacing w:after="0"/>
              <w:rPr>
                <w:sz w:val="20"/>
                <w:szCs w:val="20"/>
                <w:color w:val="auto"/>
              </w:rPr>
            </w:pPr>
            <w:r>
              <w:rPr>
                <w:rFonts w:ascii="Arial" w:cs="Arial" w:eastAsia="Arial" w:hAnsi="Arial"/>
                <w:sz w:val="13"/>
                <w:szCs w:val="13"/>
                <w:b w:val="1"/>
                <w:bCs w:val="1"/>
                <w:color w:val="auto"/>
              </w:rPr>
              <w:t>MEASURES</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0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Per common share:</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Basic earnings</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.15</w:t>
            </w: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.34</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.09</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.47</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.26</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(42)</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.71</w:t>
            </w:r>
          </w:p>
        </w:tc>
        <w:tc>
          <w:tcPr>
            <w:tcW w:w="6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35"/>
        </w:trPr>
        <w:tc>
          <w:tcPr>
            <w:tcW w:w="20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Diluted earnings</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.34</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.09</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.26</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(42)</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.49</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.70</w:t>
            </w: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35"/>
        </w:trPr>
        <w:tc>
          <w:tcPr>
            <w:tcW w:w="200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Cash dividends declared</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.09</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.09</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.09</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.09</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.09</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.18</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.18</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Book value</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17.75</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18.50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17.70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17.51</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16.96</w:t>
            </w:r>
          </w:p>
        </w:tc>
        <w:tc>
          <w:tcPr>
            <w:tcW w:w="8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17.75</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16.96</w:t>
            </w: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0"/>
        </w:trPr>
        <w:tc>
          <w:tcPr>
            <w:tcW w:w="2000" w:type="dxa"/>
            <w:vAlign w:val="bottom"/>
            <w:gridSpan w:val="2"/>
          </w:tcPr>
          <w:p>
            <w:pPr>
              <w:ind w:left="400"/>
              <w:spacing w:after="0"/>
              <w:rPr>
                <w:sz w:val="20"/>
                <w:szCs w:val="20"/>
                <w:color w:val="auto"/>
              </w:rPr>
            </w:pPr>
            <w:r>
              <w:rPr>
                <w:rFonts w:ascii="Arial" w:cs="Arial" w:eastAsia="Arial" w:hAnsi="Arial"/>
                <w:sz w:val="13"/>
                <w:szCs w:val="13"/>
                <w:color w:val="auto"/>
              </w:rPr>
              <w:t xml:space="preserve">Tangible book value </w:t>
            </w:r>
            <w:r>
              <w:rPr>
                <w:rFonts w:ascii="Arial" w:cs="Arial" w:eastAsia="Arial" w:hAnsi="Arial"/>
                <w:sz w:val="10"/>
                <w:szCs w:val="10"/>
                <w:color w:val="auto"/>
              </w:rPr>
              <w:t>(3)</w:t>
            </w:r>
          </w:p>
        </w:tc>
        <w:tc>
          <w:tcPr>
            <w:tcW w:w="8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11.03</w:t>
            </w:r>
          </w:p>
        </w:tc>
        <w:tc>
          <w:tcPr>
            <w:tcW w:w="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11.76</w:t>
            </w:r>
          </w:p>
        </w:tc>
        <w:tc>
          <w:tcPr>
            <w:tcW w:w="6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10.92</w:t>
            </w:r>
          </w:p>
        </w:tc>
        <w:tc>
          <w:tcPr>
            <w:tcW w:w="6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10.81</w:t>
            </w:r>
          </w:p>
        </w:tc>
        <w:tc>
          <w:tcPr>
            <w:tcW w:w="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10.43</w:t>
            </w: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11.03</w:t>
            </w:r>
          </w:p>
        </w:tc>
        <w:tc>
          <w:tcPr>
            <w:tcW w:w="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10.43</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10"/>
        </w:trPr>
        <w:tc>
          <w:tcPr>
            <w:tcW w:w="1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0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Key performance ratios:</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 xml:space="preserve">Return on equity </w:t>
            </w:r>
            <w:r>
              <w:rPr>
                <w:rFonts w:ascii="Arial" w:cs="Arial" w:eastAsia="Arial" w:hAnsi="Arial"/>
                <w:sz w:val="10"/>
                <w:szCs w:val="10"/>
                <w:color w:val="auto"/>
              </w:rPr>
              <w:t>(2)(4)</w:t>
            </w: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3.41%</w:t>
            </w:r>
          </w:p>
        </w:tc>
        <w:tc>
          <w:tcPr>
            <w:tcW w:w="8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7.85%</w:t>
            </w:r>
          </w:p>
        </w:tc>
        <w:tc>
          <w:tcPr>
            <w:tcW w:w="6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2.01%</w:t>
            </w:r>
          </w:p>
        </w:tc>
        <w:tc>
          <w:tcPr>
            <w:tcW w:w="6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10.66%</w:t>
            </w:r>
          </w:p>
        </w:tc>
        <w:tc>
          <w:tcPr>
            <w:tcW w:w="8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7.05%</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5.61%</w:t>
            </w:r>
          </w:p>
        </w:tc>
        <w:tc>
          <w:tcPr>
            <w:tcW w:w="8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9.64%</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Return on assets</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.34</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.78</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1.11</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.64</w:t>
            </w: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.56</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.86</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 xml:space="preserve">Net interest margin </w:t>
            </w:r>
            <w:r>
              <w:rPr>
                <w:rFonts w:ascii="Arial" w:cs="Arial" w:eastAsia="Arial" w:hAnsi="Arial"/>
                <w:sz w:val="10"/>
                <w:szCs w:val="10"/>
                <w:color w:val="auto"/>
              </w:rPr>
              <w:t>(4)</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3.32</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3.55</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3.73</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3.89</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3.94</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3.43</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3.96</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Efficiency Ratio</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65.05</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59.05</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57.67</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55.34</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56.59</w:t>
            </w: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61.97</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56.57</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Dividend payout ratio</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60.00</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26.47</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100.00</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19.15</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34.62</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36.73</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25.35</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Equity to assets</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10.33</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10.30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10.20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10.32</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8.94</w:t>
            </w: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10.31</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8.87</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00" w:type="dxa"/>
            <w:vAlign w:val="bottom"/>
            <w:gridSpan w:val="2"/>
          </w:tcPr>
          <w:p>
            <w:pPr>
              <w:ind w:left="400"/>
              <w:spacing w:after="0"/>
              <w:rPr>
                <w:sz w:val="20"/>
                <w:szCs w:val="20"/>
                <w:color w:val="auto"/>
              </w:rPr>
            </w:pPr>
            <w:r>
              <w:rPr>
                <w:rFonts w:ascii="Arial" w:cs="Arial" w:eastAsia="Arial" w:hAnsi="Arial"/>
                <w:sz w:val="13"/>
                <w:szCs w:val="13"/>
                <w:color w:val="auto"/>
                <w:w w:val="98"/>
              </w:rPr>
              <w:t xml:space="preserve">Tangible equity to assets </w:t>
            </w:r>
            <w:r>
              <w:rPr>
                <w:rFonts w:ascii="Arial" w:cs="Arial" w:eastAsia="Arial" w:hAnsi="Arial"/>
                <w:sz w:val="10"/>
                <w:szCs w:val="10"/>
                <w:color w:val="auto"/>
                <w:w w:val="98"/>
              </w:rPr>
              <w:t>(3)</w:t>
            </w:r>
          </w:p>
        </w:tc>
        <w:tc>
          <w:tcPr>
            <w:tcW w:w="8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6.77</w:t>
            </w:r>
          </w:p>
        </w:tc>
        <w:tc>
          <w:tcPr>
            <w:tcW w:w="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6.73</w:t>
            </w:r>
          </w:p>
        </w:tc>
        <w:tc>
          <w:tcPr>
            <w:tcW w:w="6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6.58</w:t>
            </w:r>
          </w:p>
        </w:tc>
        <w:tc>
          <w:tcPr>
            <w:tcW w:w="6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6.65</w:t>
            </w:r>
          </w:p>
        </w:tc>
        <w:tc>
          <w:tcPr>
            <w:tcW w:w="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6.65</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6.75</w:t>
            </w:r>
          </w:p>
        </w:tc>
        <w:tc>
          <w:tcPr>
            <w:tcW w:w="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6.65</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ASSET QUALITY</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Allowance for loan losses</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91,035</w:t>
            </w: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89,848</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89,423</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90,935</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92,471</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91,035</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92,471</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 xml:space="preserve">Net charge-offs </w:t>
            </w:r>
            <w:r>
              <w:rPr>
                <w:rFonts w:ascii="Arial" w:cs="Arial" w:eastAsia="Arial" w:hAnsi="Arial"/>
                <w:sz w:val="10"/>
                <w:szCs w:val="10"/>
                <w:color w:val="auto"/>
              </w:rPr>
              <w:t>(1)</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14,313</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7,075</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13,012</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5,236</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2,124</w:t>
            </w: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21,388</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3,586</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Non-performing loans</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123,786</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67,728</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28,219</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46,783</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30,849</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123,786</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30,849</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OREO</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28,378</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22,136</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18,039</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16,554</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12,752</w:t>
            </w: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28,378</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12,752</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00" w:type="dxa"/>
            <w:vAlign w:val="bottom"/>
            <w:gridSpan w:val="2"/>
          </w:tcPr>
          <w:p>
            <w:pPr>
              <w:ind w:left="400"/>
              <w:spacing w:after="0" w:line="143" w:lineRule="exact"/>
              <w:rPr>
                <w:sz w:val="20"/>
                <w:szCs w:val="20"/>
                <w:color w:val="auto"/>
              </w:rPr>
            </w:pPr>
            <w:r>
              <w:rPr>
                <w:rFonts w:ascii="Arial" w:cs="Arial" w:eastAsia="Arial" w:hAnsi="Arial"/>
                <w:sz w:val="13"/>
                <w:szCs w:val="13"/>
                <w:color w:val="auto"/>
                <w:w w:val="97"/>
              </w:rPr>
              <w:t>Total non-performing assets</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152,164</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89,864</w:t>
            </w: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46,258</w:t>
            </w: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63,337</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43,601</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152,164</w:t>
            </w: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43,601</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00" w:type="dxa"/>
            <w:vAlign w:val="bottom"/>
            <w:gridSpan w:val="2"/>
            <w:shd w:val="clear" w:color="auto" w:fill="CCEEFF"/>
          </w:tcPr>
          <w:p>
            <w:pPr>
              <w:ind w:left="200"/>
              <w:spacing w:after="0" w:line="121" w:lineRule="exact"/>
              <w:rPr>
                <w:sz w:val="20"/>
                <w:szCs w:val="20"/>
                <w:color w:val="auto"/>
              </w:rPr>
            </w:pPr>
            <w:r>
              <w:rPr>
                <w:rFonts w:ascii="Arial" w:cs="Arial" w:eastAsia="Arial" w:hAnsi="Arial"/>
                <w:sz w:val="13"/>
                <w:szCs w:val="13"/>
                <w:color w:val="auto"/>
              </w:rPr>
              <w:t>Allowance for loan losses to</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 xml:space="preserve">loans </w:t>
            </w:r>
            <w:r>
              <w:rPr>
                <w:rFonts w:ascii="Arial" w:cs="Arial" w:eastAsia="Arial" w:hAnsi="Arial"/>
                <w:sz w:val="10"/>
                <w:szCs w:val="10"/>
                <w:color w:val="auto"/>
              </w:rPr>
              <w:t>(1)</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1.53%</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1.51%</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1.51%</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1.28%</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1.29%</w:t>
            </w: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1.53%</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1.29%</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00" w:type="dxa"/>
            <w:vAlign w:val="bottom"/>
            <w:gridSpan w:val="2"/>
          </w:tcPr>
          <w:p>
            <w:pPr>
              <w:ind w:left="200"/>
              <w:spacing w:after="0" w:line="126" w:lineRule="exact"/>
              <w:rPr>
                <w:sz w:val="20"/>
                <w:szCs w:val="20"/>
                <w:color w:val="auto"/>
              </w:rPr>
            </w:pPr>
            <w:r>
              <w:rPr>
                <w:rFonts w:ascii="Arial" w:cs="Arial" w:eastAsia="Arial" w:hAnsi="Arial"/>
                <w:sz w:val="13"/>
                <w:szCs w:val="13"/>
                <w:color w:val="auto"/>
                <w:w w:val="94"/>
              </w:rPr>
              <w:t>Net charge-offs to average loans</w:t>
            </w:r>
          </w:p>
        </w:tc>
        <w:tc>
          <w:tcPr>
            <w:tcW w:w="80" w:type="dxa"/>
            <w:vAlign w:val="bottom"/>
          </w:tcPr>
          <w:p>
            <w:pPr>
              <w:spacing w:after="0"/>
              <w:rPr>
                <w:sz w:val="10"/>
                <w:szCs w:val="10"/>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.97</w:t>
            </w:r>
          </w:p>
        </w:tc>
        <w:tc>
          <w:tcPr>
            <w:tcW w:w="80" w:type="dxa"/>
            <w:vAlign w:val="bottom"/>
          </w:tcPr>
          <w:p>
            <w:pPr>
              <w:spacing w:after="0"/>
              <w:rPr>
                <w:sz w:val="10"/>
                <w:szCs w:val="10"/>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.48</w:t>
            </w:r>
          </w:p>
        </w:tc>
        <w:tc>
          <w:tcPr>
            <w:tcW w:w="60" w:type="dxa"/>
            <w:vAlign w:val="bottom"/>
          </w:tcPr>
          <w:p>
            <w:pPr>
              <w:spacing w:after="0"/>
              <w:rPr>
                <w:sz w:val="10"/>
                <w:szCs w:val="10"/>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.87</w:t>
            </w:r>
          </w:p>
        </w:tc>
        <w:tc>
          <w:tcPr>
            <w:tcW w:w="60" w:type="dxa"/>
            <w:vAlign w:val="bottom"/>
          </w:tcPr>
          <w:p>
            <w:pPr>
              <w:spacing w:after="0"/>
              <w:rPr>
                <w:sz w:val="10"/>
                <w:szCs w:val="10"/>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.35</w:t>
            </w:r>
          </w:p>
        </w:tc>
        <w:tc>
          <w:tcPr>
            <w:tcW w:w="80" w:type="dxa"/>
            <w:vAlign w:val="bottom"/>
          </w:tcPr>
          <w:p>
            <w:pPr>
              <w:spacing w:after="0"/>
              <w:rPr>
                <w:sz w:val="10"/>
                <w:szCs w:val="10"/>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.15</w:t>
            </w: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.72</w:t>
            </w:r>
          </w:p>
        </w:tc>
        <w:tc>
          <w:tcPr>
            <w:tcW w:w="80" w:type="dxa"/>
            <w:vAlign w:val="bottom"/>
          </w:tcPr>
          <w:p>
            <w:pPr>
              <w:spacing w:after="0"/>
              <w:rPr>
                <w:sz w:val="10"/>
                <w:szCs w:val="10"/>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.13</w:t>
            </w: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880" w:type="dxa"/>
            <w:vAlign w:val="bottom"/>
          </w:tcPr>
          <w:p>
            <w:pPr>
              <w:ind w:left="400"/>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00" w:type="dxa"/>
            <w:vAlign w:val="bottom"/>
            <w:gridSpan w:val="2"/>
            <w:shd w:val="clear" w:color="auto" w:fill="CCEEFF"/>
          </w:tcPr>
          <w:p>
            <w:pPr>
              <w:ind w:left="200"/>
              <w:spacing w:after="0" w:line="121" w:lineRule="exact"/>
              <w:rPr>
                <w:sz w:val="20"/>
                <w:szCs w:val="20"/>
                <w:color w:val="auto"/>
              </w:rPr>
            </w:pPr>
            <w:r>
              <w:rPr>
                <w:rFonts w:ascii="Arial" w:cs="Arial" w:eastAsia="Arial" w:hAnsi="Arial"/>
                <w:sz w:val="13"/>
                <w:szCs w:val="13"/>
                <w:color w:val="auto"/>
                <w:w w:val="98"/>
              </w:rPr>
              <w:t>Non-performing assets to loans</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and OREO</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2.55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1.50</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.78</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1.06</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.73</w:t>
            </w: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2.55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.73</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00" w:type="dxa"/>
            <w:vAlign w:val="bottom"/>
            <w:gridSpan w:val="2"/>
          </w:tcPr>
          <w:p>
            <w:pPr>
              <w:ind w:left="200"/>
              <w:spacing w:after="0" w:line="121" w:lineRule="exact"/>
              <w:rPr>
                <w:sz w:val="20"/>
                <w:szCs w:val="20"/>
                <w:color w:val="auto"/>
              </w:rPr>
            </w:pPr>
            <w:r>
              <w:rPr>
                <w:rFonts w:ascii="Arial" w:cs="Arial" w:eastAsia="Arial" w:hAnsi="Arial"/>
                <w:sz w:val="13"/>
                <w:szCs w:val="13"/>
                <w:color w:val="auto"/>
              </w:rPr>
              <w:t>Non-performing assets to total</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00" w:type="dxa"/>
            <w:vAlign w:val="bottom"/>
            <w:gridSpan w:val="2"/>
          </w:tcPr>
          <w:p>
            <w:pPr>
              <w:ind w:left="400"/>
              <w:spacing w:after="0"/>
              <w:rPr>
                <w:sz w:val="20"/>
                <w:szCs w:val="20"/>
                <w:color w:val="auto"/>
              </w:rPr>
            </w:pPr>
            <w:r>
              <w:rPr>
                <w:rFonts w:ascii="Arial" w:cs="Arial" w:eastAsia="Arial" w:hAnsi="Arial"/>
                <w:sz w:val="13"/>
                <w:szCs w:val="13"/>
                <w:color w:val="auto"/>
              </w:rPr>
              <w:t>assets</w:t>
            </w:r>
          </w:p>
        </w:tc>
        <w:tc>
          <w:tcPr>
            <w:tcW w:w="8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1.84</w:t>
            </w:r>
          </w:p>
        </w:tc>
        <w:tc>
          <w:tcPr>
            <w:tcW w:w="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1.07</w:t>
            </w:r>
          </w:p>
        </w:tc>
        <w:tc>
          <w:tcPr>
            <w:tcW w:w="6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.56</w:t>
            </w:r>
          </w:p>
        </w:tc>
        <w:tc>
          <w:tcPr>
            <w:tcW w:w="6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.77</w:t>
            </w:r>
          </w:p>
        </w:tc>
        <w:tc>
          <w:tcPr>
            <w:tcW w:w="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.54</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1.84</w:t>
            </w:r>
          </w:p>
        </w:tc>
        <w:tc>
          <w:tcPr>
            <w:tcW w:w="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.54</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AVERAGE BALANCES</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Loans</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6"/>
              </w:rPr>
              <w:t>5,933,143</w:t>
            </w: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5,958,296</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5,940,230</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9"/>
              </w:rPr>
              <w:t>5,966,933</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5,619,950</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6</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5,945,720</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5,512,005</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35"/>
        </w:trPr>
        <w:tc>
          <w:tcPr>
            <w:tcW w:w="200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Investment securities</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6"/>
              </w:rPr>
              <w:t>1,507,240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1,485,515</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1,404,796</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9"/>
              </w:rPr>
              <w:t>1,308,192</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1,242,448</w:t>
            </w:r>
          </w:p>
        </w:tc>
        <w:tc>
          <w:tcPr>
            <w:tcW w:w="8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1,496,377</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1,198,075</w:t>
            </w: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35"/>
        </w:trPr>
        <w:tc>
          <w:tcPr>
            <w:tcW w:w="200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Earning assets</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6"/>
              </w:rPr>
              <w:t>7,478,018</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7,491,480</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7,424,992</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9"/>
              </w:rPr>
              <w:t>7,332,492</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6,915,134</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8</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7,484,749</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6,757,959</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35"/>
        </w:trPr>
        <w:tc>
          <w:tcPr>
            <w:tcW w:w="200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Total assets</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6"/>
              </w:rPr>
              <w:t>8,295,748</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8,305,621</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8,210,120</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9"/>
              </w:rPr>
              <w:t>8,083,739</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7,519,392</w:t>
            </w:r>
          </w:p>
        </w:tc>
        <w:tc>
          <w:tcPr>
            <w:tcW w:w="8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8,300,686</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7,307,231</w:t>
            </w: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35"/>
        </w:trPr>
        <w:tc>
          <w:tcPr>
            <w:tcW w:w="200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Deposits</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6"/>
              </w:rPr>
              <w:t>6,461,361</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6,051,069</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6,151,476</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9"/>
              </w:rPr>
              <w:t>6,246,319</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5,945,633</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9</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6,256,217</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5,855,530</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35"/>
        </w:trPr>
        <w:tc>
          <w:tcPr>
            <w:tcW w:w="200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Shareholders’ equity</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856,727</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855,659</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837,195</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834,094</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672,348</w:t>
            </w:r>
          </w:p>
        </w:tc>
        <w:tc>
          <w:tcPr>
            <w:tcW w:w="8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856,193</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648,358</w:t>
            </w: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35"/>
        </w:trPr>
        <w:tc>
          <w:tcPr>
            <w:tcW w:w="200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Common shares — basic</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47,060</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46,966</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47,203</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48,348</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44,949</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47,013</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43,980</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Common shares — diluted</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47,249</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47,272</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47,652</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48,977</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45,761</w:t>
            </w: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47,260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44,842</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000" w:type="dxa"/>
            <w:vAlign w:val="bottom"/>
            <w:gridSpan w:val="2"/>
          </w:tcPr>
          <w:p>
            <w:pPr>
              <w:spacing w:after="0"/>
              <w:rPr>
                <w:sz w:val="20"/>
                <w:szCs w:val="20"/>
                <w:color w:val="auto"/>
              </w:rPr>
            </w:pPr>
            <w:r>
              <w:rPr>
                <w:rFonts w:ascii="Arial" w:cs="Arial" w:eastAsia="Arial" w:hAnsi="Arial"/>
                <w:sz w:val="13"/>
                <w:szCs w:val="13"/>
                <w:b w:val="1"/>
                <w:bCs w:val="1"/>
                <w:color w:val="auto"/>
              </w:rPr>
              <w:t>AT PERIOD END</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00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Loans</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6"/>
              </w:rPr>
              <w:t>5,933,141</w:t>
            </w: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5,967,839</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5,929,263</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9"/>
              </w:rPr>
              <w:t>5,952,749</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5,999,093</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5,933,141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5,999,093</w:t>
            </w:r>
          </w:p>
        </w:tc>
        <w:tc>
          <w:tcPr>
            <w:tcW w:w="6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200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Investment securities</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6"/>
              </w:rPr>
              <w:t>1,430,588</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1,508,402</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1,356,846</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9"/>
              </w:rPr>
              <w:t>1,296,826</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1,213,659</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18</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1,430,588</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1,213,659</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35"/>
        </w:trPr>
        <w:tc>
          <w:tcPr>
            <w:tcW w:w="200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Total assets</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6"/>
              </w:rPr>
              <w:t>8,264,051</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8,386,255</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8,207,302</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9"/>
              </w:rPr>
              <w:t>8,180,600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8,087,667</w:t>
            </w:r>
          </w:p>
        </w:tc>
        <w:tc>
          <w:tcPr>
            <w:tcW w:w="8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8,264,051</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6"/>
              </w:rPr>
              <w:t>8,087,667</w:t>
            </w: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00" w:type="dxa"/>
            <w:vAlign w:val="bottom"/>
            <w:gridSpan w:val="2"/>
          </w:tcPr>
          <w:p>
            <w:pPr>
              <w:ind w:left="200"/>
              <w:spacing w:after="0" w:line="135" w:lineRule="exact"/>
              <w:rPr>
                <w:sz w:val="20"/>
                <w:szCs w:val="20"/>
                <w:color w:val="auto"/>
              </w:rPr>
            </w:pPr>
            <w:r>
              <w:rPr>
                <w:rFonts w:ascii="Arial" w:cs="Arial" w:eastAsia="Arial" w:hAnsi="Arial"/>
                <w:sz w:val="13"/>
                <w:szCs w:val="13"/>
                <w:color w:val="auto"/>
              </w:rPr>
              <w:t>Deposits</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6"/>
              </w:rPr>
              <w:t>6,696,456</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6,175,769</w:t>
            </w:r>
          </w:p>
        </w:tc>
        <w:tc>
          <w:tcPr>
            <w:tcW w:w="6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6,075,951</w:t>
            </w:r>
          </w:p>
        </w:tc>
        <w:tc>
          <w:tcPr>
            <w:tcW w:w="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9"/>
              </w:rPr>
              <w:t>6,154,308</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6,361,269</w:t>
            </w:r>
          </w:p>
        </w:tc>
        <w:tc>
          <w:tcPr>
            <w:tcW w:w="8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5</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6,696,456</w:t>
            </w:r>
          </w:p>
        </w:tc>
        <w:tc>
          <w:tcPr>
            <w:tcW w:w="8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6"/>
              </w:rPr>
              <w:t>6,361,269</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00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3"/>
                <w:szCs w:val="13"/>
                <w:color w:val="auto"/>
              </w:rPr>
              <w:t>Shareholders’ equity</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837,890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871,452</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831,902</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833,761</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828,731</w:t>
            </w:r>
          </w:p>
        </w:tc>
        <w:tc>
          <w:tcPr>
            <w:tcW w:w="8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837,890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828,731</w:t>
            </w: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0"/>
        </w:trPr>
        <w:tc>
          <w:tcPr>
            <w:tcW w:w="2000" w:type="dxa"/>
            <w:vAlign w:val="bottom"/>
            <w:gridSpan w:val="2"/>
          </w:tcPr>
          <w:p>
            <w:pPr>
              <w:ind w:left="200"/>
              <w:spacing w:after="0"/>
              <w:rPr>
                <w:sz w:val="20"/>
                <w:szCs w:val="20"/>
                <w:color w:val="auto"/>
              </w:rPr>
            </w:pPr>
            <w:r>
              <w:rPr>
                <w:rFonts w:ascii="Arial" w:cs="Arial" w:eastAsia="Arial" w:hAnsi="Arial"/>
                <w:sz w:val="13"/>
                <w:szCs w:val="13"/>
                <w:color w:val="auto"/>
              </w:rPr>
              <w:t>Common shares outstanding</w:t>
            </w:r>
          </w:p>
        </w:tc>
        <w:tc>
          <w:tcPr>
            <w:tcW w:w="8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47,096</w:t>
            </w:r>
          </w:p>
        </w:tc>
        <w:tc>
          <w:tcPr>
            <w:tcW w:w="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47,004</w:t>
            </w:r>
          </w:p>
        </w:tc>
        <w:tc>
          <w:tcPr>
            <w:tcW w:w="6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46,903</w:t>
            </w:r>
          </w:p>
        </w:tc>
        <w:tc>
          <w:tcPr>
            <w:tcW w:w="6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47,542</w:t>
            </w:r>
          </w:p>
        </w:tc>
        <w:tc>
          <w:tcPr>
            <w:tcW w:w="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48,781</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47,096</w:t>
            </w:r>
          </w:p>
        </w:tc>
        <w:tc>
          <w:tcPr>
            <w:tcW w:w="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48,781</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jc w:val="both"/>
        <w:ind w:left="680" w:right="559" w:hanging="348"/>
        <w:spacing w:after="0" w:line="264" w:lineRule="auto"/>
        <w:tabs>
          <w:tab w:leader="none" w:pos="680" w:val="left"/>
        </w:tabs>
        <w:numPr>
          <w:ilvl w:val="0"/>
          <w:numId w:val="4"/>
        </w:numPr>
        <w:rPr>
          <w:rFonts w:ascii="Arial" w:cs="Arial" w:eastAsia="Arial" w:hAnsi="Arial"/>
          <w:sz w:val="15"/>
          <w:szCs w:val="15"/>
          <w:color w:val="auto"/>
        </w:rPr>
      </w:pPr>
      <w:r>
        <w:rPr>
          <w:rFonts w:ascii="Arial" w:cs="Arial" w:eastAsia="Arial" w:hAnsi="Arial"/>
          <w:sz w:val="18"/>
          <w:szCs w:val="18"/>
          <w:color w:val="auto"/>
        </w:rPr>
        <w:t>Excludes effect of special $15 million fraud related provision for loan losses recorded in the second quarter of 2007, an additional $3 million provision in the fourth quarter of 2007, and $18 million of related loan charge-offs recorded in the fourth quarter of 2007.</w:t>
      </w:r>
    </w:p>
    <w:p>
      <w:pPr>
        <w:spacing w:after="0" w:line="32" w:lineRule="exact"/>
        <w:rPr>
          <w:rFonts w:ascii="Arial" w:cs="Arial" w:eastAsia="Arial" w:hAnsi="Arial"/>
          <w:sz w:val="15"/>
          <w:szCs w:val="15"/>
          <w:color w:val="auto"/>
        </w:rPr>
      </w:pPr>
    </w:p>
    <w:p>
      <w:pPr>
        <w:ind w:left="680" w:right="559" w:hanging="348"/>
        <w:spacing w:after="0" w:line="277" w:lineRule="auto"/>
        <w:tabs>
          <w:tab w:leader="none" w:pos="680" w:val="left"/>
        </w:tabs>
        <w:numPr>
          <w:ilvl w:val="0"/>
          <w:numId w:val="4"/>
        </w:numPr>
        <w:rPr>
          <w:rFonts w:ascii="Arial" w:cs="Arial" w:eastAsia="Arial" w:hAnsi="Arial"/>
          <w:sz w:val="15"/>
          <w:szCs w:val="15"/>
          <w:color w:val="auto"/>
        </w:rPr>
      </w:pPr>
      <w:r>
        <w:rPr>
          <w:rFonts w:ascii="Arial" w:cs="Arial" w:eastAsia="Arial" w:hAnsi="Arial"/>
          <w:sz w:val="18"/>
          <w:szCs w:val="18"/>
          <w:color w:val="auto"/>
        </w:rPr>
        <w:t>Net income available to common shareholders, which excludes preferred stock dividends, divided by average realized common equity, which excludes accumulated other comprehensive income (loss).</w:t>
      </w:r>
    </w:p>
    <w:p>
      <w:pPr>
        <w:spacing w:after="0" w:line="21" w:lineRule="exact"/>
        <w:rPr>
          <w:rFonts w:ascii="Arial" w:cs="Arial" w:eastAsia="Arial" w:hAnsi="Arial"/>
          <w:sz w:val="15"/>
          <w:szCs w:val="15"/>
          <w:color w:val="auto"/>
        </w:rPr>
      </w:pPr>
    </w:p>
    <w:p>
      <w:pPr>
        <w:ind w:left="680" w:hanging="348"/>
        <w:spacing w:after="0"/>
        <w:tabs>
          <w:tab w:leader="none" w:pos="680" w:val="left"/>
        </w:tabs>
        <w:numPr>
          <w:ilvl w:val="0"/>
          <w:numId w:val="4"/>
        </w:numPr>
        <w:rPr>
          <w:rFonts w:ascii="Arial" w:cs="Arial" w:eastAsia="Arial" w:hAnsi="Arial"/>
          <w:sz w:val="15"/>
          <w:szCs w:val="15"/>
          <w:color w:val="auto"/>
        </w:rPr>
      </w:pPr>
      <w:r>
        <w:rPr>
          <w:rFonts w:ascii="Arial" w:cs="Arial" w:eastAsia="Arial" w:hAnsi="Arial"/>
          <w:sz w:val="18"/>
          <w:szCs w:val="18"/>
          <w:color w:val="auto"/>
        </w:rPr>
        <w:t>Excludes effect of acquisition related intangibles and associated amortization.</w:t>
      </w:r>
    </w:p>
    <w:p>
      <w:pPr>
        <w:spacing w:after="0" w:line="76" w:lineRule="exact"/>
        <w:rPr>
          <w:rFonts w:ascii="Arial" w:cs="Arial" w:eastAsia="Arial" w:hAnsi="Arial"/>
          <w:sz w:val="15"/>
          <w:szCs w:val="15"/>
          <w:color w:val="auto"/>
        </w:rPr>
      </w:pPr>
    </w:p>
    <w:p>
      <w:pPr>
        <w:ind w:left="680" w:hanging="348"/>
        <w:spacing w:after="0"/>
        <w:tabs>
          <w:tab w:leader="none" w:pos="680" w:val="left"/>
        </w:tabs>
        <w:numPr>
          <w:ilvl w:val="0"/>
          <w:numId w:val="4"/>
        </w:numPr>
        <w:rPr>
          <w:rFonts w:ascii="Arial" w:cs="Arial" w:eastAsia="Arial" w:hAnsi="Arial"/>
          <w:sz w:val="15"/>
          <w:szCs w:val="15"/>
          <w:color w:val="auto"/>
        </w:rPr>
      </w:pPr>
      <w:r>
        <w:rPr>
          <w:rFonts w:ascii="Arial" w:cs="Arial" w:eastAsia="Arial" w:hAnsi="Arial"/>
          <w:sz w:val="18"/>
          <w:szCs w:val="18"/>
          <w:color w:val="auto"/>
        </w:rPr>
        <w:t>Annualized.</w:t>
      </w:r>
    </w:p>
    <w:p>
      <w:pPr>
        <w:sectPr>
          <w:pgSz w:w="11900" w:h="16838" w:orient="portrait"/>
          <w:cols w:equalWidth="0" w:num="1">
            <w:col w:w="10219"/>
          </w:cols>
          <w:pgMar w:left="240" w:top="419" w:right="1440" w:bottom="1163"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163"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Net operating income was $7.1 million for the second quarter of 2008, a decrease of $14.0 million, from the same period in 2007. Diluted operating earnings per share was $.15 for the second quarter of 2008, compared to $.46 for the second quarter of</w:t>
      </w:r>
    </w:p>
    <w:p>
      <w:pPr>
        <w:jc w:val="both"/>
        <w:ind w:left="340" w:right="559"/>
        <w:spacing w:after="0" w:line="323" w:lineRule="auto"/>
        <w:rPr>
          <w:sz w:val="20"/>
          <w:szCs w:val="20"/>
          <w:color w:val="auto"/>
        </w:rPr>
      </w:pPr>
      <w:r>
        <w:rPr>
          <w:rFonts w:ascii="Arial" w:cs="Arial" w:eastAsia="Arial" w:hAnsi="Arial"/>
          <w:sz w:val="16"/>
          <w:szCs w:val="16"/>
          <w:color w:val="auto"/>
        </w:rPr>
        <w:t>2007. Operating return on tangible equity for the second quarter of 2008 was 5.86%, compared to 17.52% for the second quarter of 2007. Operating return on assets for the second quarter of 2008 was .34% compared to 1.12% for the second quarter of 2007.</w:t>
      </w:r>
    </w:p>
    <w:p>
      <w:pPr>
        <w:spacing w:after="0" w:line="98"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Net operating income was $23.2 million for the six months ending June 30, 2008, a decrease of $17.3 million, from the same period in 2007. Diluted operating earnings per share was $.49 for the six months ending June 30, 2008, compared to $.90 for the six months ending June 30, 2007. Operating return on tangible equity for the six months ending June 30, 2008 was 9.46%, compared to 17.36% for the six months ending June 30, 2007. Operating return on assets for the six months ending June 30, 2008 was .56% compared to 1.12% for the six months ending June 30, 2007.</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Interest Revenue (Taxable Equivalent)</w:t>
      </w:r>
    </w:p>
    <w:p>
      <w:pPr>
        <w:spacing w:after="0" w:line="202"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Net interest revenue (the difference between the interest earned on assets and the interest paid on deposits and borrowed funds) is the single largest component of total revenue. United actively manages this revenue source to provide optimal levels of revenue while balancing interest rate, credit and liquidity risks. Net interest revenue for the three months ended June 30, 2008 was $61.1 million, down $6.2 million, or 9%, from last year. Average loans increased $313.2 million, or 6%, from the second quarter last year. The increase over the second quarter of 2007 was driven primarily by assets acquired in the acquisition of First Bank of the South (“Gwinnett Acquisition”) in June 2007. Overall, United’s loan portfolio decreased slightly, which was the result of a slowdown in the housing market in the Atlanta MSA and management reducing the exposure to residential construction, where period-end loans decreased $199.7 million from June 30, 2007. In contrast, period-end loans in north Georgia increased $33.0 million, western North Carolina increased $3.1 million, coastal Georgia increased $40.2 million, the Gainesville MSA increased $37.7 million and east Tennessee increased $19.7 million.</w:t>
      </w:r>
    </w:p>
    <w:p>
      <w:pPr>
        <w:spacing w:after="0" w:line="137"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Average interest-earning assets for the second quarter 2008 increased $562.9 million, or 8%, over the same period in 2007. This increase is largely the result of the Gwinnett Acquisition, and adding to the securities portfolio. These increases in interest-earning assets were funded by interest-bearing sources, resulting in increases in average interest-bearing liabilities of $619.2 million compared to the same period in 2007.</w:t>
      </w:r>
    </w:p>
    <w:p>
      <w:pPr>
        <w:spacing w:after="0" w:line="146"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The banking industry uses two ratios to measure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defined as net interest revenue as a percent of average total interest-earning assets and takes into account the positive effect of investing non-interest-bearing deposits and capital.</w:t>
      </w:r>
    </w:p>
    <w:p>
      <w:pPr>
        <w:spacing w:after="0" w:line="131"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For the three months ended June 30, 2008 and 2007, the net interest spread was 2.96% and 3.38%, respectively, while the net interest margin was 3.32% and 3.94%, respectively. The compression of the spread and margin was primarily due to the 325 basis point lowering of the prime rate initiated by actions of the Federal Reserve beginning in September 2007 and competitive deposit pricing. Also contributing to the lower spread and net interest margin was the higher level of non-performing assets, a shift in earning-asset mix resulting from growth in the securities portfolio, and a general tightening of new business spreads between loans and certificates of deposit.</w:t>
      </w:r>
    </w:p>
    <w:p>
      <w:pPr>
        <w:spacing w:after="0" w:line="153"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At June 30, 2008 and 2007, United had receive-fixed swap contracts with a total notional value of $730 million and $530 million respectively, which are used to reduce United’s exposure to changes in interest rates that were accounted for as cash flow hedges of prime-based loans. United also had receive-fixed swap contracts with a total notional amount of $70 million and $90 million that are being accounted for as fair value hedges of brokered time deposits and fixed rate Federal Home Loan Bank advances. In addition to the swap contracts, United has purchased interest rate floors having a total notional amount of $500 million for which it paid premiums totaling $13 million that are being accounted for as cash flow hedges of daily repricing, prime-based loans. The use of swap and floor contracts is more fully explained in the Interest Rate Sensitivity Management section of this report beginning on page 25</w:t>
      </w:r>
      <w:r>
        <w:rPr>
          <w:rFonts w:ascii="Arial" w:cs="Arial" w:eastAsia="Arial" w:hAnsi="Arial"/>
          <w:sz w:val="17"/>
          <w:szCs w:val="17"/>
          <w:b w:val="1"/>
          <w:bCs w:val="1"/>
          <w:color w:val="auto"/>
        </w:rPr>
        <w:t>.</w:t>
      </w:r>
    </w:p>
    <w:p>
      <w:pPr>
        <w:spacing w:after="0" w:line="13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average yield on interest-earning assets for the second quarter of 2008 was 6.29%, compared with 7.90% in the second quarter of 2007. Loan yields were down 195 basis points compared with the second quarter of 2007, primarily due to the 325 basis point decrease in the prime rate since September 2007.</w:t>
      </w:r>
    </w:p>
    <w:p>
      <w:pPr>
        <w:spacing w:after="0" w:line="154"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average cost of interest-bearing liabilities for the second quarter was 3.33%, compared to 4.52% from the same period of 2007. Even as the cost of borrowed funds decreased 244 basis points compared with the second quarter of 2007, the cost of interest-bearing deposits only decreased 100 basis points in the same timeframe. Deposit pricing decreased less than borrowed funds because at the same time index interest rates were dropping, increasing competition for deposits kept deposit pricing at higher levels in relation to the cost to borrow funds.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The following table shows the relationship between interest revenue and expense, and the average amounts of interest-earning assets and interest-bearing liabilities for the three months ended June 30, 2008 and 2007.</w:t>
      </w:r>
    </w:p>
    <w:p>
      <w:pPr>
        <w:spacing w:after="0" w:line="139" w:lineRule="exact"/>
        <w:rPr>
          <w:sz w:val="20"/>
          <w:szCs w:val="20"/>
          <w:color w:val="auto"/>
        </w:rPr>
      </w:pPr>
    </w:p>
    <w:p>
      <w:pPr>
        <w:ind w:left="340" w:right="4199"/>
        <w:spacing w:after="0" w:line="282" w:lineRule="auto"/>
        <w:rPr>
          <w:sz w:val="20"/>
          <w:szCs w:val="20"/>
          <w:color w:val="auto"/>
        </w:rPr>
      </w:pPr>
      <w:r>
        <w:rPr>
          <w:rFonts w:ascii="Arial" w:cs="Arial" w:eastAsia="Arial" w:hAnsi="Arial"/>
          <w:sz w:val="18"/>
          <w:szCs w:val="18"/>
          <w:b w:val="1"/>
          <w:bCs w:val="1"/>
          <w:color w:val="auto"/>
        </w:rPr>
        <w:t xml:space="preserve">Table 3 — Average Consolidated Balance Sheets and Net Interest Analysis </w:t>
      </w:r>
      <w:r>
        <w:rPr>
          <w:rFonts w:ascii="Arial" w:cs="Arial" w:eastAsia="Arial" w:hAnsi="Arial"/>
          <w:sz w:val="18"/>
          <w:szCs w:val="18"/>
          <w:color w:val="auto"/>
        </w:rPr>
        <w:t>For the Three Months Ended June 30,</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4"/>
              </w:rPr>
              <w:t>2008</w:t>
            </w: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4"/>
              </w:rPr>
              <w:t>2007</w:t>
            </w: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8"/>
              </w:rPr>
              <w:t>Average</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rPr>
              <w:t>Avg.</w:t>
            </w:r>
          </w:p>
        </w:tc>
        <w:tc>
          <w:tcPr>
            <w:tcW w:w="380" w:type="dxa"/>
            <w:vAlign w:val="bottom"/>
          </w:tcPr>
          <w:p>
            <w:pPr>
              <w:spacing w:after="0"/>
              <w:rPr>
                <w:sz w:val="16"/>
                <w:szCs w:val="16"/>
                <w:color w:val="auto"/>
              </w:rPr>
            </w:pPr>
          </w:p>
        </w:tc>
        <w:tc>
          <w:tcPr>
            <w:tcW w:w="112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w w:val="98"/>
              </w:rPr>
              <w:t>Average</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ind w:left="160"/>
              <w:spacing w:after="0" w:line="191" w:lineRule="exact"/>
              <w:rPr>
                <w:sz w:val="20"/>
                <w:szCs w:val="20"/>
                <w:color w:val="auto"/>
              </w:rPr>
            </w:pPr>
            <w:r>
              <w:rPr>
                <w:rFonts w:ascii="Arial" w:cs="Arial" w:eastAsia="Arial" w:hAnsi="Arial"/>
                <w:sz w:val="18"/>
                <w:szCs w:val="18"/>
                <w:b w:val="1"/>
                <w:bCs w:val="1"/>
                <w:color w:val="auto"/>
              </w:rPr>
              <w:t>Avg.</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(dollars in thousands, taxable equivalent)</w:t>
            </w:r>
          </w:p>
        </w:tc>
        <w:tc>
          <w:tcPr>
            <w:tcW w:w="200" w:type="dxa"/>
            <w:vAlign w:val="bottom"/>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28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Interest</w:t>
            </w:r>
          </w:p>
        </w:tc>
        <w:tc>
          <w:tcPr>
            <w:tcW w:w="300" w:type="dxa"/>
            <w:vAlign w:val="bottom"/>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Rate</w:t>
            </w:r>
          </w:p>
        </w:tc>
        <w:tc>
          <w:tcPr>
            <w:tcW w:w="380" w:type="dxa"/>
            <w:vAlign w:val="bottom"/>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30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Interest</w:t>
            </w:r>
          </w:p>
        </w:tc>
        <w:tc>
          <w:tcPr>
            <w:tcW w:w="300" w:type="dxa"/>
            <w:vAlign w:val="bottom"/>
          </w:tcPr>
          <w:p>
            <w:pPr>
              <w:spacing w:after="0"/>
              <w:rPr>
                <w:sz w:val="20"/>
                <w:szCs w:val="20"/>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Interest-earning assets: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15"/>
                <w:szCs w:val="15"/>
                <w:color w:val="auto"/>
              </w:rPr>
              <w:t>(1)(2)</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$5,933,143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97,080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6.58%</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$5,619,950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119,569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6"/>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15"/>
                <w:szCs w:val="15"/>
                <w:color w:val="auto"/>
              </w:rPr>
              <w:t>(3)</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1,471,958</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18,879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5.13</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1,200,268</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15,476</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15"/>
                <w:szCs w:val="15"/>
                <w:color w:val="auto"/>
              </w:rPr>
              <w:t>(1)(3)</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35,282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7.43</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42,180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02"/>
        </w:trPr>
        <w:tc>
          <w:tcPr>
            <w:tcW w:w="320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9"/>
              </w:rPr>
              <w:t>Federal funds sold and other interest-</w:t>
            </w: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earning assets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37,635</w:t>
            </w: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370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3.93</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52,736</w:t>
            </w:r>
          </w:p>
        </w:tc>
        <w:tc>
          <w:tcPr>
            <w:tcW w:w="1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471</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Total interest-earning assets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7,478,018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116,984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6.29</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6,915,134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136,237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23"/>
        </w:trPr>
        <w:tc>
          <w:tcPr>
            <w:tcW w:w="3200" w:type="dxa"/>
            <w:vAlign w:val="bottom"/>
            <w:gridSpan w:val="2"/>
          </w:tcPr>
          <w:p>
            <w:pPr>
              <w:spacing w:after="0"/>
              <w:rPr>
                <w:sz w:val="20"/>
                <w:szCs w:val="20"/>
                <w:color w:val="auto"/>
              </w:rPr>
            </w:pPr>
            <w:r>
              <w:rPr>
                <w:rFonts w:ascii="Arial" w:cs="Arial" w:eastAsia="Arial" w:hAnsi="Arial"/>
                <w:sz w:val="18"/>
                <w:szCs w:val="18"/>
                <w:color w:val="auto"/>
              </w:rPr>
              <w:t>Non-interest-earning assets:</w:t>
            </w: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Allowance for loan losses</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(93,776)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(73,323)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Cash and due from banks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144,589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130,046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Premises and equipment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181,454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158,290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 xml:space="preserve">Other assets </w:t>
            </w:r>
            <w:r>
              <w:rPr>
                <w:rFonts w:ascii="Arial" w:cs="Arial" w:eastAsia="Arial" w:hAnsi="Arial"/>
                <w:sz w:val="15"/>
                <w:szCs w:val="15"/>
                <w:color w:val="auto"/>
              </w:rPr>
              <w:t>(3)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585,463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389,245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Total assets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8,295,748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7,519,392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0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Interest-bearing deposits: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NOW</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$1,505,280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7,216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1.93</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$1,379,423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11,470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Money market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422,419</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2,310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2.20</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354,815</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3,540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Savings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186,826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186,490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374</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Time less than $100,000</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1,642,677</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17,285</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4.23</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1,627,708</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19,978</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Time greater than $100,000</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1,484,032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16,135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4.37</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1,372,410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17,892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Brokered</w:t>
            </w:r>
          </w:p>
        </w:tc>
        <w:tc>
          <w:tcPr>
            <w:tcW w:w="820" w:type="dxa"/>
            <w:vAlign w:val="bottom"/>
          </w:tcPr>
          <w:p>
            <w:pPr>
              <w:jc w:val="right"/>
              <w:spacing w:after="0"/>
              <w:rPr>
                <w:sz w:val="20"/>
                <w:szCs w:val="20"/>
                <w:color w:val="auto"/>
              </w:rPr>
            </w:pPr>
            <w:r>
              <w:rPr>
                <w:rFonts w:ascii="Arial" w:cs="Arial" w:eastAsia="Arial" w:hAnsi="Arial"/>
                <w:sz w:val="18"/>
                <w:szCs w:val="18"/>
                <w:color w:val="auto"/>
              </w:rPr>
              <w:t>535,898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5,408</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4.06</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332,857</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4,109</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interest-bearing deposits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5,777,132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48,534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3.38</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5,253,703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57,363</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425"/>
        </w:trPr>
        <w:tc>
          <w:tcPr>
            <w:tcW w:w="3200" w:type="dxa"/>
            <w:vAlign w:val="bottom"/>
            <w:gridSpan w:val="2"/>
          </w:tcPr>
          <w:p>
            <w:pPr>
              <w:ind w:left="400"/>
              <w:spacing w:after="0"/>
              <w:rPr>
                <w:sz w:val="20"/>
                <w:szCs w:val="20"/>
                <w:color w:val="auto"/>
              </w:rPr>
            </w:pPr>
            <w:r>
              <w:rPr>
                <w:rFonts w:ascii="Arial" w:cs="Arial" w:eastAsia="Arial" w:hAnsi="Arial"/>
                <w:sz w:val="18"/>
                <w:szCs w:val="18"/>
                <w:color w:val="auto"/>
                <w:w w:val="99"/>
              </w:rPr>
              <w:t>Federal funds purchased and other</w:t>
            </w:r>
          </w:p>
        </w:tc>
        <w:tc>
          <w:tcPr>
            <w:tcW w:w="8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600"/>
              <w:spacing w:after="0"/>
              <w:rPr>
                <w:sz w:val="20"/>
                <w:szCs w:val="20"/>
                <w:color w:val="auto"/>
              </w:rPr>
            </w:pPr>
            <w:r>
              <w:rPr>
                <w:rFonts w:ascii="Arial" w:cs="Arial" w:eastAsia="Arial" w:hAnsi="Arial"/>
                <w:sz w:val="18"/>
                <w:szCs w:val="18"/>
                <w:color w:val="auto"/>
              </w:rPr>
              <w:t>borrowings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383,378</w:t>
            </w: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1,820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1.91</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275,319</w:t>
            </w:r>
          </w:p>
        </w:tc>
        <w:tc>
          <w:tcPr>
            <w:tcW w:w="1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3,671</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6"/>
              </w:rPr>
              <w:t>Federal Home Loan Bank advances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412,268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2.75</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419,287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5,035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Long-term debt</w:t>
            </w:r>
          </w:p>
        </w:tc>
        <w:tc>
          <w:tcPr>
            <w:tcW w:w="820" w:type="dxa"/>
            <w:vAlign w:val="bottom"/>
          </w:tcPr>
          <w:p>
            <w:pPr>
              <w:jc w:val="right"/>
              <w:spacing w:after="0"/>
              <w:rPr>
                <w:sz w:val="20"/>
                <w:szCs w:val="20"/>
                <w:color w:val="auto"/>
              </w:rPr>
            </w:pPr>
            <w:r>
              <w:rPr>
                <w:rFonts w:ascii="Arial" w:cs="Arial" w:eastAsia="Arial" w:hAnsi="Arial"/>
                <w:sz w:val="18"/>
                <w:szCs w:val="18"/>
                <w:color w:val="auto"/>
              </w:rPr>
              <w:t>107,996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2,059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7.67</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113,270</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2,201</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borrowed funds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6,697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2.98</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807,876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10,907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421"/>
        </w:trPr>
        <w:tc>
          <w:tcPr>
            <w:tcW w:w="3200" w:type="dxa"/>
            <w:vAlign w:val="bottom"/>
            <w:gridSpan w:val="2"/>
          </w:tcPr>
          <w:p>
            <w:pPr>
              <w:ind w:left="600"/>
              <w:spacing w:after="0"/>
              <w:rPr>
                <w:sz w:val="20"/>
                <w:szCs w:val="20"/>
                <w:color w:val="auto"/>
              </w:rPr>
            </w:pPr>
            <w:r>
              <w:rPr>
                <w:rFonts w:ascii="Arial" w:cs="Arial" w:eastAsia="Arial" w:hAnsi="Arial"/>
                <w:sz w:val="18"/>
                <w:szCs w:val="18"/>
                <w:b w:val="1"/>
                <w:bCs w:val="1"/>
                <w:color w:val="auto"/>
              </w:rPr>
              <w:t>Total interest-bearing</w:t>
            </w:r>
          </w:p>
        </w:tc>
        <w:tc>
          <w:tcPr>
            <w:tcW w:w="8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200" w:type="dxa"/>
            <w:vAlign w:val="bottom"/>
            <w:gridSpan w:val="2"/>
          </w:tcPr>
          <w:p>
            <w:pPr>
              <w:ind w:left="800"/>
              <w:spacing w:after="0"/>
              <w:rPr>
                <w:sz w:val="20"/>
                <w:szCs w:val="20"/>
                <w:color w:val="auto"/>
              </w:rPr>
            </w:pPr>
            <w:r>
              <w:rPr>
                <w:rFonts w:ascii="Arial" w:cs="Arial" w:eastAsia="Arial" w:hAnsi="Arial"/>
                <w:sz w:val="18"/>
                <w:szCs w:val="18"/>
                <w:b w:val="1"/>
                <w:bCs w:val="1"/>
                <w:color w:val="auto"/>
              </w:rPr>
              <w:t>liabilities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6,680,774</w:t>
            </w: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55,231</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3.33</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6,061,579</w:t>
            </w:r>
          </w:p>
        </w:tc>
        <w:tc>
          <w:tcPr>
            <w:tcW w:w="1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68,270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liabilities: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Non-interest-bearing deposits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684,229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691,930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74,018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93,535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Total liabilities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7,439,021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6,847,044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856,727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672,348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00" w:type="dxa"/>
            <w:vAlign w:val="bottom"/>
            <w:gridSpan w:val="2"/>
          </w:tcPr>
          <w:p>
            <w:pPr>
              <w:ind w:left="400"/>
              <w:spacing w:after="0" w:line="205" w:lineRule="exact"/>
              <w:rPr>
                <w:sz w:val="20"/>
                <w:szCs w:val="20"/>
                <w:color w:val="auto"/>
              </w:rPr>
            </w:pPr>
            <w:r>
              <w:rPr>
                <w:rFonts w:ascii="Arial" w:cs="Arial" w:eastAsia="Arial" w:hAnsi="Arial"/>
                <w:sz w:val="18"/>
                <w:szCs w:val="18"/>
                <w:b w:val="1"/>
                <w:bCs w:val="1"/>
                <w:color w:val="auto"/>
                <w:w w:val="97"/>
              </w:rPr>
              <w:t>Total liabilities and shareholders’</w:t>
            </w:r>
          </w:p>
        </w:tc>
        <w:tc>
          <w:tcPr>
            <w:tcW w:w="8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gridSpan w:val="2"/>
          </w:tcPr>
          <w:p>
            <w:pPr>
              <w:ind w:left="600"/>
              <w:spacing w:after="0"/>
              <w:rPr>
                <w:sz w:val="20"/>
                <w:szCs w:val="20"/>
                <w:color w:val="auto"/>
              </w:rPr>
            </w:pPr>
            <w:r>
              <w:rPr>
                <w:rFonts w:ascii="Arial" w:cs="Arial" w:eastAsia="Arial" w:hAnsi="Arial"/>
                <w:sz w:val="18"/>
                <w:szCs w:val="18"/>
                <w:b w:val="1"/>
                <w:bCs w:val="1"/>
                <w:color w:val="auto"/>
              </w:rPr>
              <w:t>equity</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8,295,748</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7,519,392</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interest revenue</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61,753</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67,967</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Net interest-rate spread</w:t>
            </w: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2.96%</w:t>
            </w: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line="20" w:lineRule="exact"/>
              <w:rPr>
                <w:sz w:val="1"/>
                <w:szCs w:val="1"/>
                <w:color w:val="auto"/>
              </w:rPr>
            </w:pPr>
          </w:p>
        </w:tc>
      </w:tr>
      <w:tr>
        <w:trPr>
          <w:trHeight w:val="210"/>
        </w:trPr>
        <w:tc>
          <w:tcPr>
            <w:tcW w:w="320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15"/>
                <w:szCs w:val="15"/>
                <w:color w:val="auto"/>
              </w:rPr>
              <w:t>(4)</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3.32%</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680" w:right="559" w:hanging="348"/>
        <w:spacing w:after="0" w:line="264" w:lineRule="auto"/>
        <w:tabs>
          <w:tab w:leader="none" w:pos="680" w:val="left"/>
        </w:tabs>
        <w:numPr>
          <w:ilvl w:val="0"/>
          <w:numId w:val="5"/>
        </w:numPr>
        <w:rPr>
          <w:rFonts w:ascii="Arial" w:cs="Arial" w:eastAsia="Arial" w:hAnsi="Arial"/>
          <w:sz w:val="15"/>
          <w:szCs w:val="15"/>
          <w:color w:val="auto"/>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32" w:lineRule="exact"/>
        <w:rPr>
          <w:rFonts w:ascii="Arial" w:cs="Arial" w:eastAsia="Arial" w:hAnsi="Arial"/>
          <w:sz w:val="15"/>
          <w:szCs w:val="15"/>
          <w:color w:val="auto"/>
        </w:rPr>
      </w:pPr>
    </w:p>
    <w:p>
      <w:pPr>
        <w:ind w:left="680" w:hanging="348"/>
        <w:spacing w:after="0"/>
        <w:tabs>
          <w:tab w:leader="none" w:pos="680" w:val="left"/>
        </w:tabs>
        <w:numPr>
          <w:ilvl w:val="0"/>
          <w:numId w:val="5"/>
        </w:numPr>
        <w:rPr>
          <w:rFonts w:ascii="Arial" w:cs="Arial" w:eastAsia="Arial" w:hAnsi="Arial"/>
          <w:sz w:val="14"/>
          <w:szCs w:val="14"/>
          <w:color w:val="auto"/>
        </w:rPr>
      </w:pPr>
      <w:r>
        <w:rPr>
          <w:rFonts w:ascii="Arial" w:cs="Arial" w:eastAsia="Arial" w:hAnsi="Arial"/>
          <w:sz w:val="17"/>
          <w:szCs w:val="17"/>
          <w:color w:val="auto"/>
        </w:rPr>
        <w:t>Included in the average balance of loans outstanding are loans where the accrual of interest has been discontinued.</w:t>
      </w:r>
    </w:p>
    <w:p>
      <w:pPr>
        <w:spacing w:after="0" w:line="88" w:lineRule="exact"/>
        <w:rPr>
          <w:rFonts w:ascii="Arial" w:cs="Arial" w:eastAsia="Arial" w:hAnsi="Arial"/>
          <w:sz w:val="14"/>
          <w:szCs w:val="14"/>
          <w:color w:val="auto"/>
        </w:rPr>
      </w:pPr>
    </w:p>
    <w:p>
      <w:pPr>
        <w:ind w:left="680" w:right="559" w:hanging="348"/>
        <w:spacing w:after="0" w:line="277" w:lineRule="auto"/>
        <w:tabs>
          <w:tab w:leader="none" w:pos="680" w:val="left"/>
        </w:tabs>
        <w:numPr>
          <w:ilvl w:val="0"/>
          <w:numId w:val="5"/>
        </w:numPr>
        <w:rPr>
          <w:rFonts w:ascii="Arial" w:cs="Arial" w:eastAsia="Arial" w:hAnsi="Arial"/>
          <w:sz w:val="15"/>
          <w:szCs w:val="15"/>
          <w:color w:val="auto"/>
        </w:rPr>
      </w:pPr>
      <w:r>
        <w:rPr>
          <w:rFonts w:ascii="Arial" w:cs="Arial" w:eastAsia="Arial" w:hAnsi="Arial"/>
          <w:sz w:val="18"/>
          <w:szCs w:val="18"/>
          <w:color w:val="auto"/>
        </w:rPr>
        <w:t>Securities available for sale are shown at amortized cost. Pretax unrealized gains of $13.0 million in 2008 and pretax unrealized losses of $7.8 million in 2007 are included in other assets for purposes of this presentation.</w:t>
      </w:r>
    </w:p>
    <w:p>
      <w:pPr>
        <w:spacing w:after="0" w:line="21" w:lineRule="exact"/>
        <w:rPr>
          <w:rFonts w:ascii="Arial" w:cs="Arial" w:eastAsia="Arial" w:hAnsi="Arial"/>
          <w:sz w:val="15"/>
          <w:szCs w:val="15"/>
          <w:color w:val="auto"/>
        </w:rPr>
      </w:pPr>
    </w:p>
    <w:p>
      <w:pPr>
        <w:ind w:left="680" w:hanging="348"/>
        <w:spacing w:after="0"/>
        <w:tabs>
          <w:tab w:leader="none" w:pos="680" w:val="left"/>
        </w:tabs>
        <w:numPr>
          <w:ilvl w:val="0"/>
          <w:numId w:val="5"/>
        </w:numPr>
        <w:rPr>
          <w:rFonts w:ascii="Arial" w:cs="Arial" w:eastAsia="Arial" w:hAnsi="Arial"/>
          <w:sz w:val="15"/>
          <w:szCs w:val="15"/>
          <w:color w:val="auto"/>
        </w:rPr>
      </w:pPr>
      <w:r>
        <w:rPr>
          <w:rFonts w:ascii="Arial" w:cs="Arial" w:eastAsia="Arial" w:hAnsi="Arial"/>
          <w:sz w:val="18"/>
          <w:szCs w:val="18"/>
          <w:color w:val="auto"/>
        </w:rPr>
        <w:t>Net interest margin is taxable equivalent net-interest revenue divided by average interest-earning assets.</w:t>
      </w:r>
    </w:p>
    <w:p>
      <w:pPr>
        <w:sectPr>
          <w:pgSz w:w="11900" w:h="16838" w:orient="portrait"/>
          <w:cols w:equalWidth="0" w:num="1">
            <w:col w:w="10219"/>
          </w:cols>
          <w:pgMar w:left="240" w:top="419" w:right="1440" w:bottom="136"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36"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The following table shows the relationship between interest revenue and expense, and the average amounts of interest-earning assets and interest-bearing liabilities for the six months ended June 30, 2008 and 2007.</w:t>
      </w:r>
    </w:p>
    <w:p>
      <w:pPr>
        <w:spacing w:after="0" w:line="139" w:lineRule="exact"/>
        <w:rPr>
          <w:sz w:val="20"/>
          <w:szCs w:val="20"/>
          <w:color w:val="auto"/>
        </w:rPr>
      </w:pPr>
    </w:p>
    <w:p>
      <w:pPr>
        <w:ind w:left="340" w:right="4199"/>
        <w:spacing w:after="0" w:line="282" w:lineRule="auto"/>
        <w:rPr>
          <w:sz w:val="20"/>
          <w:szCs w:val="20"/>
          <w:color w:val="auto"/>
        </w:rPr>
      </w:pPr>
      <w:r>
        <w:rPr>
          <w:rFonts w:ascii="Arial" w:cs="Arial" w:eastAsia="Arial" w:hAnsi="Arial"/>
          <w:sz w:val="18"/>
          <w:szCs w:val="18"/>
          <w:b w:val="1"/>
          <w:bCs w:val="1"/>
          <w:color w:val="auto"/>
        </w:rPr>
        <w:t xml:space="preserve">Table 4 — Average Consolidated Balance Sheets and Net Interest Analysis </w:t>
      </w:r>
      <w:r>
        <w:rPr>
          <w:rFonts w:ascii="Arial" w:cs="Arial" w:eastAsia="Arial" w:hAnsi="Arial"/>
          <w:sz w:val="18"/>
          <w:szCs w:val="18"/>
          <w:color w:val="auto"/>
        </w:rPr>
        <w:t>For the Six Months Ended June 30,</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4"/>
              </w:rPr>
              <w:t>2008</w:t>
            </w: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4"/>
              </w:rPr>
              <w:t>2007</w:t>
            </w: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8"/>
              </w:rPr>
              <w:t>Average</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rPr>
              <w:t>Avg.</w:t>
            </w:r>
          </w:p>
        </w:tc>
        <w:tc>
          <w:tcPr>
            <w:tcW w:w="380" w:type="dxa"/>
            <w:vAlign w:val="bottom"/>
          </w:tcPr>
          <w:p>
            <w:pPr>
              <w:spacing w:after="0"/>
              <w:rPr>
                <w:sz w:val="16"/>
                <w:szCs w:val="16"/>
                <w:color w:val="auto"/>
              </w:rPr>
            </w:pPr>
          </w:p>
        </w:tc>
        <w:tc>
          <w:tcPr>
            <w:tcW w:w="112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w w:val="98"/>
              </w:rPr>
              <w:t>Average</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ind w:left="160"/>
              <w:spacing w:after="0" w:line="191" w:lineRule="exact"/>
              <w:rPr>
                <w:sz w:val="20"/>
                <w:szCs w:val="20"/>
                <w:color w:val="auto"/>
              </w:rPr>
            </w:pPr>
            <w:r>
              <w:rPr>
                <w:rFonts w:ascii="Arial" w:cs="Arial" w:eastAsia="Arial" w:hAnsi="Arial"/>
                <w:sz w:val="18"/>
                <w:szCs w:val="18"/>
                <w:b w:val="1"/>
                <w:bCs w:val="1"/>
                <w:color w:val="auto"/>
              </w:rPr>
              <w:t>Avg.</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1"/>
              </w:rPr>
              <w:t>(dollars in thousands, taxable equivalent)</w:t>
            </w:r>
          </w:p>
        </w:tc>
        <w:tc>
          <w:tcPr>
            <w:tcW w:w="200" w:type="dxa"/>
            <w:vAlign w:val="bottom"/>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28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Interest</w:t>
            </w:r>
          </w:p>
        </w:tc>
        <w:tc>
          <w:tcPr>
            <w:tcW w:w="300" w:type="dxa"/>
            <w:vAlign w:val="bottom"/>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Rate</w:t>
            </w:r>
          </w:p>
        </w:tc>
        <w:tc>
          <w:tcPr>
            <w:tcW w:w="380" w:type="dxa"/>
            <w:vAlign w:val="bottom"/>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300" w:type="dxa"/>
            <w:vAlign w:val="bottom"/>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Interest</w:t>
            </w:r>
          </w:p>
        </w:tc>
        <w:tc>
          <w:tcPr>
            <w:tcW w:w="300" w:type="dxa"/>
            <w:vAlign w:val="bottom"/>
          </w:tcPr>
          <w:p>
            <w:pPr>
              <w:spacing w:after="0"/>
              <w:rPr>
                <w:sz w:val="20"/>
                <w:szCs w:val="20"/>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Interest-earning assets: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15"/>
                <w:szCs w:val="15"/>
                <w:color w:val="auto"/>
              </w:rPr>
              <w:t>(1)(2)</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$5,945,720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206,332</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6.98%</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$5,512,005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233,437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15"/>
                <w:szCs w:val="15"/>
                <w:color w:val="auto"/>
              </w:rPr>
              <w:t>(3)</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1,460,090</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37,507</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5.14</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1,155,308</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29,444</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15"/>
                <w:szCs w:val="15"/>
                <w:color w:val="auto"/>
              </w:rPr>
              <w:t>(1)(3)</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36,287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1,303</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7.18</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42,767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02"/>
        </w:trPr>
        <w:tc>
          <w:tcPr>
            <w:tcW w:w="320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9"/>
              </w:rPr>
              <w:t>Federal funds sold and other interest-</w:t>
            </w: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earning assets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42,652</w:t>
            </w: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883</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4.14</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47,879</w:t>
            </w:r>
          </w:p>
        </w:tc>
        <w:tc>
          <w:tcPr>
            <w:tcW w:w="1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928</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Total interest-earning assets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7,484,749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246,025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6.60</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6,757,959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265,265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23"/>
        </w:trPr>
        <w:tc>
          <w:tcPr>
            <w:tcW w:w="3200" w:type="dxa"/>
            <w:vAlign w:val="bottom"/>
            <w:gridSpan w:val="2"/>
          </w:tcPr>
          <w:p>
            <w:pPr>
              <w:spacing w:after="0"/>
              <w:rPr>
                <w:sz w:val="20"/>
                <w:szCs w:val="20"/>
                <w:color w:val="auto"/>
              </w:rPr>
            </w:pPr>
            <w:r>
              <w:rPr>
                <w:rFonts w:ascii="Arial" w:cs="Arial" w:eastAsia="Arial" w:hAnsi="Arial"/>
                <w:sz w:val="18"/>
                <w:szCs w:val="18"/>
                <w:color w:val="auto"/>
              </w:rPr>
              <w:t>Non-interest-earning assets:</w:t>
            </w: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Allowance for loan losses</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(92,901)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(70,769)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Cash and due from banks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149,648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125,367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Premises and equipment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181,405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152,593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 xml:space="preserve">Other assets </w:t>
            </w:r>
            <w:r>
              <w:rPr>
                <w:rFonts w:ascii="Arial" w:cs="Arial" w:eastAsia="Arial" w:hAnsi="Arial"/>
                <w:sz w:val="15"/>
                <w:szCs w:val="15"/>
                <w:color w:val="auto"/>
              </w:rPr>
              <w:t>(3)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577,785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342,081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Total assets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8,300,686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7,307,231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0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Interest-bearing deposits: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NOW</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$1,483,699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15,803</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2.14</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$1,351,277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22,097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Money market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430,734</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5,223</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2.44</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308,541</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6,080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Savings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185,819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180,913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683</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Time less than $100,000</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1,597,995</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35,508</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4.47</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1,634,569</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39,774</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Time greater than $100,000</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1,424,670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32,505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4.59</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1,378,870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35,808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Brokered</w:t>
            </w:r>
          </w:p>
        </w:tc>
        <w:tc>
          <w:tcPr>
            <w:tcW w:w="820" w:type="dxa"/>
            <w:vAlign w:val="bottom"/>
          </w:tcPr>
          <w:p>
            <w:pPr>
              <w:jc w:val="right"/>
              <w:spacing w:after="0"/>
              <w:rPr>
                <w:sz w:val="20"/>
                <w:szCs w:val="20"/>
                <w:color w:val="auto"/>
              </w:rPr>
            </w:pPr>
            <w:r>
              <w:rPr>
                <w:rFonts w:ascii="Arial" w:cs="Arial" w:eastAsia="Arial" w:hAnsi="Arial"/>
                <w:sz w:val="18"/>
                <w:szCs w:val="18"/>
                <w:color w:val="auto"/>
              </w:rPr>
              <w:t>455,150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9,699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4.29</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333,800</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8,022</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interest-bearing deposits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5,578,067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99,145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3.57</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5,187,970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112,464</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425"/>
        </w:trPr>
        <w:tc>
          <w:tcPr>
            <w:tcW w:w="3200" w:type="dxa"/>
            <w:vAlign w:val="bottom"/>
            <w:gridSpan w:val="2"/>
          </w:tcPr>
          <w:p>
            <w:pPr>
              <w:ind w:left="400"/>
              <w:spacing w:after="0"/>
              <w:rPr>
                <w:sz w:val="20"/>
                <w:szCs w:val="20"/>
                <w:color w:val="auto"/>
              </w:rPr>
            </w:pPr>
            <w:r>
              <w:rPr>
                <w:rFonts w:ascii="Arial" w:cs="Arial" w:eastAsia="Arial" w:hAnsi="Arial"/>
                <w:sz w:val="18"/>
                <w:szCs w:val="18"/>
                <w:color w:val="auto"/>
                <w:w w:val="99"/>
              </w:rPr>
              <w:t>Federal funds purchased and other</w:t>
            </w:r>
          </w:p>
        </w:tc>
        <w:tc>
          <w:tcPr>
            <w:tcW w:w="8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ind w:left="600"/>
              <w:spacing w:after="0"/>
              <w:rPr>
                <w:sz w:val="20"/>
                <w:szCs w:val="20"/>
                <w:color w:val="auto"/>
              </w:rPr>
            </w:pPr>
            <w:r>
              <w:rPr>
                <w:rFonts w:ascii="Arial" w:cs="Arial" w:eastAsia="Arial" w:hAnsi="Arial"/>
                <w:sz w:val="18"/>
                <w:szCs w:val="18"/>
                <w:color w:val="auto"/>
              </w:rPr>
              <w:t>borrowings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467,596</w:t>
            </w: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6,138</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2.64</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207,663</w:t>
            </w:r>
          </w:p>
        </w:tc>
        <w:tc>
          <w:tcPr>
            <w:tcW w:w="1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5,488</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6"/>
              </w:rPr>
              <w:t>Federal Home Loan Bank advances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536,883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8,563</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3.21</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407,583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9,836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Long-term debt</w:t>
            </w:r>
          </w:p>
        </w:tc>
        <w:tc>
          <w:tcPr>
            <w:tcW w:w="820" w:type="dxa"/>
            <w:vAlign w:val="bottom"/>
          </w:tcPr>
          <w:p>
            <w:pPr>
              <w:jc w:val="right"/>
              <w:spacing w:after="0"/>
              <w:rPr>
                <w:sz w:val="20"/>
                <w:szCs w:val="20"/>
                <w:color w:val="auto"/>
              </w:rPr>
            </w:pPr>
            <w:r>
              <w:rPr>
                <w:rFonts w:ascii="Arial" w:cs="Arial" w:eastAsia="Arial" w:hAnsi="Arial"/>
                <w:sz w:val="18"/>
                <w:szCs w:val="18"/>
                <w:color w:val="auto"/>
              </w:rPr>
              <w:t>107,995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4,139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7.71</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113,251</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4,405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borrowed funds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1,112,474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18,840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3.41</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728,497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19,729</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421"/>
        </w:trPr>
        <w:tc>
          <w:tcPr>
            <w:tcW w:w="3200" w:type="dxa"/>
            <w:vAlign w:val="bottom"/>
            <w:gridSpan w:val="2"/>
          </w:tcPr>
          <w:p>
            <w:pPr>
              <w:ind w:left="600"/>
              <w:spacing w:after="0"/>
              <w:rPr>
                <w:sz w:val="20"/>
                <w:szCs w:val="20"/>
                <w:color w:val="auto"/>
              </w:rPr>
            </w:pPr>
            <w:r>
              <w:rPr>
                <w:rFonts w:ascii="Arial" w:cs="Arial" w:eastAsia="Arial" w:hAnsi="Arial"/>
                <w:sz w:val="18"/>
                <w:szCs w:val="18"/>
                <w:b w:val="1"/>
                <w:bCs w:val="1"/>
                <w:color w:val="auto"/>
              </w:rPr>
              <w:t>Total interest-bearing</w:t>
            </w:r>
          </w:p>
        </w:tc>
        <w:tc>
          <w:tcPr>
            <w:tcW w:w="8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200" w:type="dxa"/>
            <w:vAlign w:val="bottom"/>
            <w:gridSpan w:val="2"/>
          </w:tcPr>
          <w:p>
            <w:pPr>
              <w:ind w:left="800"/>
              <w:spacing w:after="0"/>
              <w:rPr>
                <w:sz w:val="20"/>
                <w:szCs w:val="20"/>
                <w:color w:val="auto"/>
              </w:rPr>
            </w:pPr>
            <w:r>
              <w:rPr>
                <w:rFonts w:ascii="Arial" w:cs="Arial" w:eastAsia="Arial" w:hAnsi="Arial"/>
                <w:sz w:val="18"/>
                <w:szCs w:val="18"/>
                <w:b w:val="1"/>
                <w:bCs w:val="1"/>
                <w:color w:val="auto"/>
              </w:rPr>
              <w:t>liabilities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6,690,541</w:t>
            </w: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117,985</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3.55</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5,916,467</w:t>
            </w:r>
          </w:p>
        </w:tc>
        <w:tc>
          <w:tcPr>
            <w:tcW w:w="1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132,193</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liabilities:</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200"/>
              <w:spacing w:after="0"/>
              <w:rPr>
                <w:sz w:val="20"/>
                <w:szCs w:val="20"/>
                <w:color w:val="auto"/>
              </w:rPr>
            </w:pPr>
            <w:r>
              <w:rPr>
                <w:rFonts w:ascii="Arial" w:cs="Arial" w:eastAsia="Arial" w:hAnsi="Arial"/>
                <w:sz w:val="18"/>
                <w:szCs w:val="18"/>
                <w:color w:val="auto"/>
              </w:rPr>
              <w:t>Non-interest-bearing deposits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678,150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667,560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75,802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74,846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ind w:left="400"/>
              <w:spacing w:after="0"/>
              <w:rPr>
                <w:sz w:val="20"/>
                <w:szCs w:val="20"/>
                <w:color w:val="auto"/>
              </w:rPr>
            </w:pPr>
            <w:r>
              <w:rPr>
                <w:rFonts w:ascii="Arial" w:cs="Arial" w:eastAsia="Arial" w:hAnsi="Arial"/>
                <w:sz w:val="18"/>
                <w:szCs w:val="18"/>
                <w:color w:val="auto"/>
              </w:rPr>
              <w:t>Total liabilities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7,444,493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6,658,873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856,193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648,358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00" w:type="dxa"/>
            <w:vAlign w:val="bottom"/>
            <w:gridSpan w:val="2"/>
          </w:tcPr>
          <w:p>
            <w:pPr>
              <w:ind w:left="400"/>
              <w:spacing w:after="0" w:line="205" w:lineRule="exact"/>
              <w:rPr>
                <w:sz w:val="20"/>
                <w:szCs w:val="20"/>
                <w:color w:val="auto"/>
              </w:rPr>
            </w:pPr>
            <w:r>
              <w:rPr>
                <w:rFonts w:ascii="Arial" w:cs="Arial" w:eastAsia="Arial" w:hAnsi="Arial"/>
                <w:sz w:val="18"/>
                <w:szCs w:val="18"/>
                <w:b w:val="1"/>
                <w:bCs w:val="1"/>
                <w:color w:val="auto"/>
                <w:w w:val="97"/>
              </w:rPr>
              <w:t>Total liabilities and shareholders’</w:t>
            </w:r>
          </w:p>
        </w:tc>
        <w:tc>
          <w:tcPr>
            <w:tcW w:w="8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gridSpan w:val="2"/>
          </w:tcPr>
          <w:p>
            <w:pPr>
              <w:ind w:left="600"/>
              <w:spacing w:after="0"/>
              <w:rPr>
                <w:sz w:val="20"/>
                <w:szCs w:val="20"/>
                <w:color w:val="auto"/>
              </w:rPr>
            </w:pPr>
            <w:r>
              <w:rPr>
                <w:rFonts w:ascii="Arial" w:cs="Arial" w:eastAsia="Arial" w:hAnsi="Arial"/>
                <w:sz w:val="18"/>
                <w:szCs w:val="18"/>
                <w:b w:val="1"/>
                <w:bCs w:val="1"/>
                <w:color w:val="auto"/>
              </w:rPr>
              <w:t>equity</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8,300,686</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7,307,231</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interest revenue</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128,040</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133,072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Net interest-rate spread</w:t>
            </w: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3.05%</w:t>
            </w: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line="20" w:lineRule="exact"/>
              <w:rPr>
                <w:sz w:val="1"/>
                <w:szCs w:val="1"/>
                <w:color w:val="auto"/>
              </w:rPr>
            </w:pPr>
          </w:p>
        </w:tc>
      </w:tr>
      <w:tr>
        <w:trPr>
          <w:trHeight w:val="210"/>
        </w:trPr>
        <w:tc>
          <w:tcPr>
            <w:tcW w:w="320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15"/>
                <w:szCs w:val="15"/>
                <w:color w:val="auto"/>
              </w:rPr>
              <w:t>(4)</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3.43%</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680" w:right="559" w:hanging="348"/>
        <w:spacing w:after="0" w:line="264" w:lineRule="auto"/>
        <w:tabs>
          <w:tab w:leader="none" w:pos="680" w:val="left"/>
        </w:tabs>
        <w:numPr>
          <w:ilvl w:val="0"/>
          <w:numId w:val="6"/>
        </w:numPr>
        <w:rPr>
          <w:rFonts w:ascii="Arial" w:cs="Arial" w:eastAsia="Arial" w:hAnsi="Arial"/>
          <w:sz w:val="15"/>
          <w:szCs w:val="15"/>
          <w:color w:val="auto"/>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32" w:lineRule="exact"/>
        <w:rPr>
          <w:rFonts w:ascii="Arial" w:cs="Arial" w:eastAsia="Arial" w:hAnsi="Arial"/>
          <w:sz w:val="15"/>
          <w:szCs w:val="15"/>
          <w:color w:val="auto"/>
        </w:rPr>
      </w:pPr>
    </w:p>
    <w:p>
      <w:pPr>
        <w:ind w:left="680" w:hanging="348"/>
        <w:spacing w:after="0"/>
        <w:tabs>
          <w:tab w:leader="none" w:pos="680" w:val="left"/>
        </w:tabs>
        <w:numPr>
          <w:ilvl w:val="0"/>
          <w:numId w:val="6"/>
        </w:numPr>
        <w:rPr>
          <w:rFonts w:ascii="Arial" w:cs="Arial" w:eastAsia="Arial" w:hAnsi="Arial"/>
          <w:sz w:val="14"/>
          <w:szCs w:val="14"/>
          <w:color w:val="auto"/>
        </w:rPr>
      </w:pPr>
      <w:r>
        <w:rPr>
          <w:rFonts w:ascii="Arial" w:cs="Arial" w:eastAsia="Arial" w:hAnsi="Arial"/>
          <w:sz w:val="17"/>
          <w:szCs w:val="17"/>
          <w:color w:val="auto"/>
        </w:rPr>
        <w:t>Included in the average balance of loans outstanding are loans where the accrual of interest has been discontinued.</w:t>
      </w:r>
    </w:p>
    <w:p>
      <w:pPr>
        <w:spacing w:after="0" w:line="88" w:lineRule="exact"/>
        <w:rPr>
          <w:rFonts w:ascii="Arial" w:cs="Arial" w:eastAsia="Arial" w:hAnsi="Arial"/>
          <w:sz w:val="14"/>
          <w:szCs w:val="14"/>
          <w:color w:val="auto"/>
        </w:rPr>
      </w:pPr>
    </w:p>
    <w:p>
      <w:pPr>
        <w:ind w:left="680" w:right="559" w:hanging="348"/>
        <w:spacing w:after="0" w:line="277" w:lineRule="auto"/>
        <w:tabs>
          <w:tab w:leader="none" w:pos="680" w:val="left"/>
        </w:tabs>
        <w:numPr>
          <w:ilvl w:val="0"/>
          <w:numId w:val="6"/>
        </w:numPr>
        <w:rPr>
          <w:rFonts w:ascii="Arial" w:cs="Arial" w:eastAsia="Arial" w:hAnsi="Arial"/>
          <w:sz w:val="15"/>
          <w:szCs w:val="15"/>
          <w:color w:val="auto"/>
        </w:rPr>
      </w:pPr>
      <w:r>
        <w:rPr>
          <w:rFonts w:ascii="Arial" w:cs="Arial" w:eastAsia="Arial" w:hAnsi="Arial"/>
          <w:sz w:val="18"/>
          <w:szCs w:val="18"/>
          <w:color w:val="auto"/>
        </w:rPr>
        <w:t>Securities available for sale are shown at amortized cost. Pretax unrealized gains of $14.5 million in 2008 and pretax unrealized losses of $8.9 million in 2007 are included in other assets for purposes of this presentation.</w:t>
      </w:r>
    </w:p>
    <w:p>
      <w:pPr>
        <w:spacing w:after="0" w:line="21" w:lineRule="exact"/>
        <w:rPr>
          <w:rFonts w:ascii="Arial" w:cs="Arial" w:eastAsia="Arial" w:hAnsi="Arial"/>
          <w:sz w:val="15"/>
          <w:szCs w:val="15"/>
          <w:color w:val="auto"/>
        </w:rPr>
      </w:pPr>
    </w:p>
    <w:p>
      <w:pPr>
        <w:ind w:left="680" w:hanging="348"/>
        <w:spacing w:after="0"/>
        <w:tabs>
          <w:tab w:leader="none" w:pos="680" w:val="left"/>
        </w:tabs>
        <w:numPr>
          <w:ilvl w:val="0"/>
          <w:numId w:val="6"/>
        </w:numPr>
        <w:rPr>
          <w:rFonts w:ascii="Arial" w:cs="Arial" w:eastAsia="Arial" w:hAnsi="Arial"/>
          <w:sz w:val="15"/>
          <w:szCs w:val="15"/>
          <w:color w:val="auto"/>
        </w:rPr>
      </w:pPr>
      <w:r>
        <w:rPr>
          <w:rFonts w:ascii="Arial" w:cs="Arial" w:eastAsia="Arial" w:hAnsi="Arial"/>
          <w:sz w:val="18"/>
          <w:szCs w:val="18"/>
          <w:color w:val="auto"/>
        </w:rPr>
        <w:t>Net interest margin is taxable equivalent net-interest revenue divided by average interest-earning assets.</w:t>
      </w:r>
    </w:p>
    <w:p>
      <w:pPr>
        <w:sectPr>
          <w:pgSz w:w="11900" w:h="16838" w:orient="portrait"/>
          <w:cols w:equalWidth="0" w:num="1">
            <w:col w:w="10219"/>
          </w:cols>
          <w:pgMar w:left="240" w:top="419" w:right="1440" w:bottom="136"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36"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5 — Change in Interest Revenue and Expense on a Taxable Equivalent Basis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gridSpan w:val="10"/>
          </w:tcPr>
          <w:p>
            <w:pPr>
              <w:jc w:val="center"/>
              <w:ind w:right="440"/>
              <w:spacing w:after="0"/>
              <w:rPr>
                <w:sz w:val="20"/>
                <w:szCs w:val="20"/>
                <w:color w:val="auto"/>
              </w:rPr>
            </w:pPr>
            <w:r>
              <w:rPr>
                <w:rFonts w:ascii="Arial" w:cs="Arial" w:eastAsia="Arial" w:hAnsi="Arial"/>
                <w:sz w:val="18"/>
                <w:szCs w:val="18"/>
                <w:b w:val="1"/>
                <w:bCs w:val="1"/>
                <w:color w:val="auto"/>
                <w:w w:val="91"/>
              </w:rPr>
              <w:t>Three Months Ended June 30, 2008</w:t>
            </w:r>
          </w:p>
        </w:tc>
        <w:tc>
          <w:tcPr>
            <w:tcW w:w="140" w:type="dxa"/>
            <w:vAlign w:val="bottom"/>
          </w:tcPr>
          <w:p>
            <w:pPr>
              <w:spacing w:after="0"/>
              <w:rPr>
                <w:sz w:val="18"/>
                <w:szCs w:val="18"/>
                <w:color w:val="auto"/>
              </w:rPr>
            </w:pPr>
          </w:p>
        </w:tc>
        <w:tc>
          <w:tcPr>
            <w:tcW w:w="286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90"/>
              </w:rPr>
              <w:t>Six Months Ended June 30, 2008</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0"/>
              </w:rPr>
              <w:t>Compared to 2007</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Compared to 2007</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86"/>
              </w:rPr>
              <w:t>Increase (decrease)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6"/>
          </w:tcPr>
          <w:p>
            <w:pPr>
              <w:jc w:val="center"/>
              <w:ind w:left="370"/>
              <w:spacing w:after="0"/>
              <w:rPr>
                <w:sz w:val="20"/>
                <w:szCs w:val="20"/>
                <w:color w:val="auto"/>
              </w:rPr>
            </w:pPr>
            <w:r>
              <w:rPr>
                <w:rFonts w:ascii="Arial" w:cs="Arial" w:eastAsia="Arial" w:hAnsi="Arial"/>
                <w:sz w:val="18"/>
                <w:szCs w:val="18"/>
                <w:b w:val="1"/>
                <w:bCs w:val="1"/>
                <w:color w:val="auto"/>
                <w:w w:val="88"/>
              </w:rPr>
              <w:t>Increase (decrease)</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vMerge w:val="restart"/>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89"/>
              </w:rPr>
              <w:t>Due to Changes in</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Due to Changes in</w:t>
            </w: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620" w:type="dxa"/>
            <w:vAlign w:val="bottom"/>
            <w:tcBorders>
              <w:bottom w:val="single" w:sz="8" w:color="auto"/>
            </w:tcBorders>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Volume</w:t>
            </w:r>
          </w:p>
        </w:tc>
        <w:tc>
          <w:tcPr>
            <w:tcW w:w="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Rate</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Total</w:t>
            </w:r>
          </w:p>
        </w:tc>
        <w:tc>
          <w:tcPr>
            <w:tcW w:w="360" w:type="dxa"/>
            <w:vAlign w:val="bottom"/>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Volume</w:t>
            </w: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Rate</w:t>
            </w: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7"/>
              </w:rPr>
              <w:t>Total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Interest-earning assets: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Loans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6,364</w:t>
            </w:r>
          </w:p>
        </w:tc>
        <w:tc>
          <w:tcPr>
            <w:tcW w:w="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(28,853)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(22,489)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17,361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(44,466)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(27,105)</w:t>
            </w: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3,485</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3,403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7,827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236</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8,063</w:t>
            </w:r>
          </w:p>
        </w:tc>
        <w:tc>
          <w:tcPr>
            <w:tcW w:w="0" w:type="dxa"/>
            <w:vAlign w:val="bottom"/>
          </w:tcPr>
          <w:p>
            <w:pPr>
              <w:spacing w:after="0"/>
              <w:rPr>
                <w:sz w:val="1"/>
                <w:szCs w:val="1"/>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Tax-exempt securities</w:t>
            </w:r>
          </w:p>
        </w:tc>
        <w:tc>
          <w:tcPr>
            <w:tcW w:w="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8"/>
                <w:szCs w:val="18"/>
                <w:color w:val="auto"/>
              </w:rPr>
            </w:pPr>
          </w:p>
        </w:tc>
        <w:tc>
          <w:tcPr>
            <w:tcW w:w="940" w:type="dxa"/>
            <w:vAlign w:val="bottom"/>
            <w:gridSpan w:val="2"/>
          </w:tcPr>
          <w:p>
            <w:pPr>
              <w:jc w:val="right"/>
              <w:ind w:right="190"/>
              <w:spacing w:after="0"/>
              <w:rPr>
                <w:sz w:val="20"/>
                <w:szCs w:val="20"/>
                <w:color w:val="auto"/>
              </w:rPr>
            </w:pPr>
            <w:r>
              <w:rPr>
                <w:rFonts w:ascii="Arial" w:cs="Arial" w:eastAsia="Arial" w:hAnsi="Arial"/>
                <w:sz w:val="18"/>
                <w:szCs w:val="18"/>
                <w:color w:val="auto"/>
              </w:rPr>
              <w:t>(347)</w:t>
            </w: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194</w:t>
            </w: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2"/>
        </w:trPr>
        <w:tc>
          <w:tcPr>
            <w:tcW w:w="2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Federal funds sold and other</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interest-earning assets</w:t>
            </w:r>
          </w:p>
        </w:tc>
        <w:tc>
          <w:tcPr>
            <w:tcW w:w="8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290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 interest-earning assets</w:t>
            </w:r>
          </w:p>
        </w:tc>
        <w:tc>
          <w:tcPr>
            <w:tcW w:w="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(28,832)</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(19,253)</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24,658</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(43,898)</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(19,240)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Interest-bearing liabilities: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NOW accounts</w:t>
            </w: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968</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(5,222)</w:t>
            </w:r>
          </w:p>
        </w:tc>
        <w:tc>
          <w:tcPr>
            <w:tcW w:w="1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(4,254)</w:t>
            </w:r>
          </w:p>
        </w:tc>
        <w:tc>
          <w:tcPr>
            <w:tcW w:w="140" w:type="dxa"/>
            <w:vAlign w:val="bottom"/>
          </w:tcPr>
          <w:p>
            <w:pPr>
              <w:spacing w:after="0"/>
              <w:rPr>
                <w:sz w:val="18"/>
                <w:szCs w:val="18"/>
                <w:color w:val="auto"/>
              </w:rPr>
            </w:pP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(8,294)</w:t>
            </w: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(6,294)</w:t>
            </w: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(1,814)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1,938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(2,795)</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Savings deposits</w:t>
            </w: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(194)</w:t>
            </w:r>
          </w:p>
        </w:tc>
        <w:tc>
          <w:tcPr>
            <w:tcW w:w="140" w:type="dxa"/>
            <w:vAlign w:val="bottom"/>
          </w:tcPr>
          <w:p>
            <w:pPr>
              <w:spacing w:after="0"/>
              <w:rPr>
                <w:sz w:val="18"/>
                <w:szCs w:val="18"/>
                <w:color w:val="auto"/>
              </w:rPr>
            </w:pP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 deposits less than $100,000</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(2,875)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(2,693)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(874)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(3,392)</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(4,266)</w:t>
            </w:r>
          </w:p>
        </w:tc>
        <w:tc>
          <w:tcPr>
            <w:tcW w:w="0" w:type="dxa"/>
            <w:vAlign w:val="bottom"/>
          </w:tcPr>
          <w:p>
            <w:pPr>
              <w:spacing w:after="0"/>
              <w:rPr>
                <w:sz w:val="1"/>
                <w:szCs w:val="1"/>
                <w:color w:val="auto"/>
              </w:rPr>
            </w:pPr>
          </w:p>
        </w:tc>
      </w:tr>
      <w:tr>
        <w:trPr>
          <w:trHeight w:val="202"/>
        </w:trPr>
        <w:tc>
          <w:tcPr>
            <w:tcW w:w="2900" w:type="dxa"/>
            <w:vAlign w:val="bottom"/>
            <w:gridSpan w:val="2"/>
          </w:tcPr>
          <w:p>
            <w:pPr>
              <w:spacing w:after="0" w:line="201" w:lineRule="exact"/>
              <w:rPr>
                <w:sz w:val="20"/>
                <w:szCs w:val="20"/>
                <w:color w:val="auto"/>
              </w:rPr>
            </w:pPr>
            <w:r>
              <w:rPr>
                <w:rFonts w:ascii="Arial" w:cs="Arial" w:eastAsia="Arial" w:hAnsi="Arial"/>
                <w:sz w:val="18"/>
                <w:szCs w:val="18"/>
                <w:color w:val="auto"/>
              </w:rPr>
              <w:t>Time deposits greater than</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$100,000</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1,376</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(3,133)</w:t>
            </w:r>
          </w:p>
        </w:tc>
        <w:tc>
          <w:tcPr>
            <w:tcW w:w="14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(1,757)</w:t>
            </w:r>
          </w:p>
        </w:tc>
        <w:tc>
          <w:tcPr>
            <w:tcW w:w="140" w:type="dxa"/>
            <w:vAlign w:val="bottom"/>
          </w:tcPr>
          <w:p>
            <w:pPr>
              <w:spacing w:after="0"/>
              <w:rPr>
                <w:sz w:val="20"/>
                <w:szCs w:val="20"/>
                <w:color w:val="auto"/>
              </w:rPr>
            </w:pP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1,158</w:t>
            </w:r>
          </w:p>
        </w:tc>
        <w:tc>
          <w:tcPr>
            <w:tcW w:w="14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(4,461)</w:t>
            </w:r>
          </w:p>
        </w:tc>
        <w:tc>
          <w:tcPr>
            <w:tcW w:w="14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(3,303)</w:t>
            </w: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Brokered deposits</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2,154</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1,299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2,664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(987)</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30"/>
        </w:trPr>
        <w:tc>
          <w:tcPr>
            <w:tcW w:w="2900" w:type="dxa"/>
            <w:vAlign w:val="bottom"/>
            <w:gridSpan w:val="2"/>
          </w:tcPr>
          <w:p>
            <w:pPr>
              <w:ind w:left="200"/>
              <w:spacing w:after="0"/>
              <w:rPr>
                <w:sz w:val="20"/>
                <w:szCs w:val="20"/>
                <w:color w:val="auto"/>
              </w:rPr>
            </w:pPr>
            <w:r>
              <w:rPr>
                <w:rFonts w:ascii="Arial" w:cs="Arial" w:eastAsia="Arial" w:hAnsi="Arial"/>
                <w:sz w:val="18"/>
                <w:szCs w:val="18"/>
                <w:color w:val="auto"/>
              </w:rPr>
              <w:t>Total interest-bearing deposits</w:t>
            </w:r>
          </w:p>
        </w:tc>
        <w:tc>
          <w:tcPr>
            <w:tcW w:w="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(14,094)</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(8,829)</w:t>
            </w: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6,904</w:t>
            </w: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(20,223)</w:t>
            </w: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(13,319)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Federal funds purchased &amp; other</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borrowings</w:t>
            </w: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1,090</w:t>
            </w: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(2,941)</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(1,851)</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4,404</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(3,754)</w:t>
            </w: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Federal Home Loan Bank advances</w:t>
            </w:r>
          </w:p>
        </w:tc>
        <w:tc>
          <w:tcPr>
            <w:tcW w:w="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(2,134)</w:t>
            </w:r>
          </w:p>
        </w:tc>
        <w:tc>
          <w:tcPr>
            <w:tcW w:w="1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(2,217)</w:t>
            </w:r>
          </w:p>
        </w:tc>
        <w:tc>
          <w:tcPr>
            <w:tcW w:w="140" w:type="dxa"/>
            <w:vAlign w:val="bottom"/>
          </w:tcPr>
          <w:p>
            <w:pPr>
              <w:spacing w:after="0"/>
              <w:rPr>
                <w:sz w:val="18"/>
                <w:szCs w:val="18"/>
                <w:color w:val="auto"/>
              </w:rPr>
            </w:pP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2,609</w:t>
            </w: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(3,882)</w:t>
            </w: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0"/>
        </w:trPr>
        <w:tc>
          <w:tcPr>
            <w:tcW w:w="2900" w:type="dxa"/>
            <w:vAlign w:val="bottom"/>
            <w:gridSpan w:val="2"/>
          </w:tcPr>
          <w:p>
            <w:pPr>
              <w:ind w:left="200"/>
              <w:spacing w:after="0"/>
              <w:rPr>
                <w:sz w:val="20"/>
                <w:szCs w:val="20"/>
                <w:color w:val="auto"/>
              </w:rPr>
            </w:pPr>
            <w:r>
              <w:rPr>
                <w:rFonts w:ascii="Arial" w:cs="Arial" w:eastAsia="Arial" w:hAnsi="Arial"/>
                <w:sz w:val="18"/>
                <w:szCs w:val="18"/>
                <w:color w:val="auto"/>
              </w:rPr>
              <w:t>Total borrowed funds</w:t>
            </w:r>
          </w:p>
        </w:tc>
        <w:tc>
          <w:tcPr>
            <w:tcW w:w="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(5,116)</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(4,210)</w:t>
            </w: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6,811</w:t>
            </w: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(7,700)</w:t>
            </w: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900" w:type="dxa"/>
            <w:vAlign w:val="bottom"/>
            <w:gridSpan w:val="2"/>
            <w:shd w:val="clear" w:color="auto" w:fill="CCEEFF"/>
          </w:tcPr>
          <w:p>
            <w:pPr>
              <w:ind w:left="400"/>
              <w:spacing w:after="0" w:line="198" w:lineRule="exact"/>
              <w:rPr>
                <w:sz w:val="20"/>
                <w:szCs w:val="20"/>
                <w:color w:val="auto"/>
              </w:rPr>
            </w:pPr>
            <w:r>
              <w:rPr>
                <w:rFonts w:ascii="Arial" w:cs="Arial" w:eastAsia="Arial" w:hAnsi="Arial"/>
                <w:sz w:val="18"/>
                <w:szCs w:val="18"/>
                <w:b w:val="1"/>
                <w:bCs w:val="1"/>
                <w:color w:val="auto"/>
              </w:rPr>
              <w:t>Total interest-bearing</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6,171</w:t>
            </w: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(19,210)</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(13,039)</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13,715</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(27,923)</w:t>
            </w: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(14,208)</w:t>
            </w:r>
          </w:p>
        </w:tc>
        <w:tc>
          <w:tcPr>
            <w:tcW w:w="0" w:type="dxa"/>
            <w:vAlign w:val="bottom"/>
          </w:tcPr>
          <w:p>
            <w:pPr>
              <w:spacing w:after="0"/>
              <w:rPr>
                <w:sz w:val="1"/>
                <w:szCs w:val="1"/>
                <w:color w:val="auto"/>
              </w:rPr>
            </w:pPr>
          </w:p>
        </w:tc>
      </w:tr>
      <w:tr>
        <w:trPr>
          <w:trHeight w:val="421"/>
        </w:trPr>
        <w:tc>
          <w:tcPr>
            <w:tcW w:w="2900" w:type="dxa"/>
            <w:vAlign w:val="bottom"/>
            <w:gridSpan w:val="2"/>
          </w:tcPr>
          <w:p>
            <w:pPr>
              <w:ind w:left="600"/>
              <w:spacing w:after="0"/>
              <w:rPr>
                <w:sz w:val="20"/>
                <w:szCs w:val="20"/>
                <w:color w:val="auto"/>
              </w:rPr>
            </w:pPr>
            <w:r>
              <w:rPr>
                <w:rFonts w:ascii="Arial" w:cs="Arial" w:eastAsia="Arial" w:hAnsi="Arial"/>
                <w:sz w:val="18"/>
                <w:szCs w:val="18"/>
                <w:b w:val="1"/>
                <w:bCs w:val="1"/>
                <w:color w:val="auto"/>
              </w:rPr>
              <w:t>Increase in net interest</w:t>
            </w:r>
          </w:p>
        </w:tc>
        <w:tc>
          <w:tcPr>
            <w:tcW w:w="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900" w:type="dxa"/>
            <w:vAlign w:val="bottom"/>
            <w:gridSpan w:val="2"/>
          </w:tcPr>
          <w:p>
            <w:pPr>
              <w:ind w:left="800"/>
              <w:spacing w:after="0"/>
              <w:rPr>
                <w:sz w:val="20"/>
                <w:szCs w:val="20"/>
                <w:color w:val="auto"/>
              </w:rPr>
            </w:pPr>
            <w:r>
              <w:rPr>
                <w:rFonts w:ascii="Arial" w:cs="Arial" w:eastAsia="Arial" w:hAnsi="Arial"/>
                <w:sz w:val="18"/>
                <w:szCs w:val="18"/>
                <w:b w:val="1"/>
                <w:bCs w:val="1"/>
                <w:color w:val="auto"/>
              </w:rPr>
              <w:t>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3,408</w:t>
            </w:r>
          </w:p>
        </w:tc>
        <w:tc>
          <w:tcPr>
            <w:tcW w:w="40" w:type="dxa"/>
            <w:vAlign w:val="bottom"/>
          </w:tcPr>
          <w:p>
            <w:pPr>
              <w:spacing w:after="0"/>
              <w:rPr>
                <w:sz w:val="20"/>
                <w:szCs w:val="2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(9,622)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(6,214)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50"/>
              <w:spacing w:after="0"/>
              <w:rPr>
                <w:sz w:val="20"/>
                <w:szCs w:val="20"/>
                <w:color w:val="auto"/>
              </w:rPr>
            </w:pPr>
            <w:r>
              <w:rPr>
                <w:rFonts w:ascii="Arial" w:cs="Arial" w:eastAsia="Arial" w:hAnsi="Arial"/>
                <w:sz w:val="18"/>
                <w:szCs w:val="18"/>
                <w:color w:val="auto"/>
              </w:rPr>
              <w:t>10,943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(15,975)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(5,032)</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185"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provision for loan losses on a GAAP basis was $15.5 million for the second quarter of 2008, compared with $18.7 million for the same period in 2007. The second quarter 2007 provision for loan losses included a special $15 million provision for fraud related loan losses in two real estate developments located near Spruce Pine, North Carolina. During the second quarter 2007, the North Carolina Attorney General obtained a receiver to take custody of the developers’ assets citing possible fraud on the part of the developers. United had loans outstanding to 83 individual borrowers that totaled $23.6 million secured by undeveloped lots in these projects.</w:t>
      </w:r>
    </w:p>
    <w:p>
      <w:pPr>
        <w:spacing w:after="0" w:line="166"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Net loan charge-offs as an annualized percentage of average outstanding loans for the three months ended June 30, 2008 was .97%, compared to .15% for the second quarter of 2007. For the first six months of 2008 net loan charge offs as an annualized percentage of average outstanding loans was .72% versus .13% for 2007. As vacant developed lot inventories have increased within United’s footprint, notably in the Atlanta MSA, it has made it difficult for some developers to obtain cash flows from selling lots and houses that were needed to service their debt. This is part of the deterioration of the residential construction and housing markets that has affected the Southeast and resulted in higher credit losses and an increase in non-performing assets.</w:t>
      </w:r>
    </w:p>
    <w:p>
      <w:pPr>
        <w:spacing w:after="0" w:line="124"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provision for loan losses is based on management’s evaluation of losses inherent in the loan portfolio and corresponding analysis of the allowance for loan losses at quarter-end. The amount of provision recorded in the second quarter was the amount required such that the total allowance for loan losses reflects, in the estimation of management, the appropriate balance and is adequate to cover inherent losses in the loan portfolio. Additional discussion on loan quality and the allowance for loan losses is included in the Asset Quality section of this report.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Fee Revenue</w:t>
      </w:r>
    </w:p>
    <w:p>
      <w:pPr>
        <w:spacing w:after="0" w:line="198"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Fee revenue for the three months ended June 30, 2008 was $15.1 million, a decrease of $1.4 million, or 9%, from 2007. Fee revenue accounted for 25% of taxable equivalent total operating revenue for the second quarter of 2008, compared to 20% for the second quarter 2007. United continues to focus on increasing fee revenue through new products and services. The following table presents the components of fee revenue for the second quarter and the first six months of 2008 and 2007.</w:t>
      </w:r>
    </w:p>
    <w:p>
      <w:pPr>
        <w:spacing w:after="0" w:line="11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900" w:type="dxa"/>
            <w:vAlign w:val="bottom"/>
            <w:gridSpan w:val="2"/>
          </w:tcPr>
          <w:p>
            <w:pPr>
              <w:spacing w:after="0"/>
              <w:rPr>
                <w:sz w:val="20"/>
                <w:szCs w:val="20"/>
                <w:color w:val="auto"/>
              </w:rPr>
            </w:pPr>
            <w:r>
              <w:rPr>
                <w:rFonts w:ascii="Arial" w:cs="Arial" w:eastAsia="Arial" w:hAnsi="Arial"/>
                <w:sz w:val="18"/>
                <w:szCs w:val="18"/>
                <w:b w:val="1"/>
                <w:bCs w:val="1"/>
                <w:color w:val="auto"/>
              </w:rPr>
              <w:t>Table 6 — Fee Revenue</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0"/>
              </w:rPr>
              <w:t>Three Months Ended</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5"/>
          </w:tcPr>
          <w:p>
            <w:pPr>
              <w:ind w:left="80"/>
              <w:spacing w:after="0"/>
              <w:rPr>
                <w:sz w:val="20"/>
                <w:szCs w:val="20"/>
                <w:color w:val="auto"/>
              </w:rPr>
            </w:pPr>
            <w:r>
              <w:rPr>
                <w:rFonts w:ascii="Arial" w:cs="Arial" w:eastAsia="Arial" w:hAnsi="Arial"/>
                <w:sz w:val="18"/>
                <w:szCs w:val="18"/>
                <w:b w:val="1"/>
                <w:bCs w:val="1"/>
                <w:color w:val="auto"/>
              </w:rPr>
              <w:t>Six Months Ended</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9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(dollars in thousands)</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5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8"/>
                <w:szCs w:val="18"/>
                <w:b w:val="1"/>
                <w:bCs w:val="1"/>
                <w:color w:val="auto"/>
                <w:w w:val="96"/>
              </w:rPr>
              <w:t>Change</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5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w w:val="96"/>
              </w:rPr>
              <w:t>Change</w:t>
            </w:r>
          </w:p>
        </w:tc>
        <w:tc>
          <w:tcPr>
            <w:tcW w:w="0" w:type="dxa"/>
            <w:vAlign w:val="bottom"/>
          </w:tcPr>
          <w:p>
            <w:pPr>
              <w:spacing w:after="0"/>
              <w:rPr>
                <w:sz w:val="1"/>
                <w:szCs w:val="1"/>
                <w:color w:val="auto"/>
              </w:rPr>
            </w:pPr>
          </w:p>
        </w:tc>
      </w:tr>
      <w:tr>
        <w:trPr>
          <w:trHeight w:val="210"/>
        </w:trPr>
        <w:tc>
          <w:tcPr>
            <w:tcW w:w="2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2007</w:t>
            </w:r>
          </w:p>
        </w:tc>
        <w:tc>
          <w:tcPr>
            <w:tcW w:w="3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ind w:left="6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2007</w:t>
            </w:r>
          </w:p>
        </w:tc>
        <w:tc>
          <w:tcPr>
            <w:tcW w:w="3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charges and fees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7,957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7,975</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15,770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15,228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900" w:type="dxa"/>
            <w:vAlign w:val="bottom"/>
            <w:gridSpan w:val="2"/>
          </w:tcPr>
          <w:p>
            <w:pPr>
              <w:spacing w:after="0" w:line="201" w:lineRule="exact"/>
              <w:rPr>
                <w:sz w:val="20"/>
                <w:szCs w:val="20"/>
                <w:color w:val="auto"/>
              </w:rPr>
            </w:pPr>
            <w:r>
              <w:rPr>
                <w:rFonts w:ascii="Arial" w:cs="Arial" w:eastAsia="Arial" w:hAnsi="Arial"/>
                <w:sz w:val="18"/>
                <w:szCs w:val="18"/>
                <w:color w:val="auto"/>
              </w:rPr>
              <w:t>Mortgage loan and other related</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gridSpan w:val="2"/>
          </w:tcPr>
          <w:p>
            <w:pPr>
              <w:ind w:left="200"/>
              <w:spacing w:after="0"/>
              <w:rPr>
                <w:sz w:val="20"/>
                <w:szCs w:val="20"/>
                <w:color w:val="auto"/>
              </w:rPr>
            </w:pPr>
            <w:r>
              <w:rPr>
                <w:rFonts w:ascii="Arial" w:cs="Arial" w:eastAsia="Arial" w:hAnsi="Arial"/>
                <w:sz w:val="18"/>
                <w:szCs w:val="18"/>
                <w:color w:val="auto"/>
              </w:rPr>
              <w:t>fees</w:t>
            </w: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2,202</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2,476</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4,165</w:t>
            </w:r>
          </w:p>
        </w:tc>
        <w:tc>
          <w:tcPr>
            <w:tcW w:w="160" w:type="dxa"/>
            <w:vAlign w:val="bottom"/>
          </w:tcPr>
          <w:p>
            <w:pPr>
              <w:spacing w:after="0"/>
              <w:rPr>
                <w:sz w:val="20"/>
                <w:szCs w:val="20"/>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4,699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Consulting fees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2,241</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4,059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3,988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Brokerage fees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814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1,192</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1,907</w:t>
            </w: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2,136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gains,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1,386</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1,593</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Loss on prepayments of borrowings</w:t>
            </w:r>
          </w:p>
        </w:tc>
        <w:tc>
          <w:tcPr>
            <w:tcW w:w="100" w:type="dxa"/>
            <w:vAlign w:val="bottom"/>
          </w:tcPr>
          <w:p>
            <w:pPr>
              <w:spacing w:after="0"/>
              <w:rPr>
                <w:sz w:val="18"/>
                <w:szCs w:val="18"/>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(1,164)</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(1,164)</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2,448</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3,044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4,456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290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15,105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16,554</w:t>
            </w:r>
          </w:p>
        </w:tc>
        <w:tc>
          <w:tcPr>
            <w:tcW w:w="34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29,302</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30,936</w:t>
            </w: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Mortgage loans and related fees for the first quarter decreased $274,000, or 11%, from 2007. This decrease was due to decreased demand for new mortgage loans resulting from the slow housing market. Substantially all originated residential mortgages were sold into the secondary market, including the right to service these loans.</w:t>
      </w:r>
    </w:p>
    <w:p>
      <w:pPr>
        <w:spacing w:after="0" w:line="154"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Brokerage fees decreased $378,000, or 32%, compared to 2007. This decrease was due to declining market activity by our customers.</w:t>
      </w:r>
    </w:p>
    <w:p>
      <w:pPr>
        <w:spacing w:after="0" w:line="130"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Other fee revenue decreased $925,000, or 38%, compared to 2007. This decline is due to lower revenue generated by United’s bank owned life insurance investments, deferred compensation plan assets, and non-recurring items in 2007, including a $307,000 gain on the sale of foreclosed properties.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For the six months ended June 30, 2008, total operating expenses were $49.7 million, an increase of 4% compared with $47.7 million for the same period in 2007. The following table presents the components of operating expenses for the thee months and six months ended June 30, 2008 and 2007.</w:t>
      </w:r>
    </w:p>
    <w:p>
      <w:pPr>
        <w:spacing w:after="0" w:line="13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900" w:type="dxa"/>
            <w:vAlign w:val="bottom"/>
            <w:gridSpan w:val="2"/>
          </w:tcPr>
          <w:p>
            <w:pPr>
              <w:spacing w:after="0"/>
              <w:rPr>
                <w:sz w:val="20"/>
                <w:szCs w:val="20"/>
                <w:color w:val="auto"/>
              </w:rPr>
            </w:pPr>
            <w:r>
              <w:rPr>
                <w:rFonts w:ascii="Arial" w:cs="Arial" w:eastAsia="Arial" w:hAnsi="Arial"/>
                <w:sz w:val="18"/>
                <w:szCs w:val="18"/>
                <w:b w:val="1"/>
                <w:bCs w:val="1"/>
                <w:color w:val="auto"/>
              </w:rPr>
              <w:t>Table 7 — Operating Expenses</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gridSpan w:val="5"/>
          </w:tcPr>
          <w:p>
            <w:pPr>
              <w:ind w:left="220"/>
              <w:spacing w:after="0"/>
              <w:rPr>
                <w:sz w:val="20"/>
                <w:szCs w:val="20"/>
                <w:color w:val="auto"/>
              </w:rPr>
            </w:pPr>
            <w:r>
              <w:rPr>
                <w:rFonts w:ascii="Arial" w:cs="Arial" w:eastAsia="Arial" w:hAnsi="Arial"/>
                <w:sz w:val="18"/>
                <w:szCs w:val="18"/>
                <w:b w:val="1"/>
                <w:bCs w:val="1"/>
                <w:color w:val="auto"/>
              </w:rPr>
              <w:t>Six Months Ended</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9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(dollars in thousands)</w:t>
            </w:r>
          </w:p>
        </w:tc>
        <w:tc>
          <w:tcPr>
            <w:tcW w:w="126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5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8"/>
                <w:szCs w:val="18"/>
                <w:b w:val="1"/>
                <w:bCs w:val="1"/>
                <w:color w:val="auto"/>
                <w:w w:val="96"/>
              </w:rPr>
              <w:t>Change</w:t>
            </w:r>
          </w:p>
        </w:tc>
        <w:tc>
          <w:tcPr>
            <w:tcW w:w="126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w w:val="88"/>
              </w:rPr>
              <w:t>June 30,</w:t>
            </w:r>
          </w:p>
        </w:tc>
        <w:tc>
          <w:tcPr>
            <w:tcW w:w="5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w w:val="96"/>
              </w:rPr>
              <w:t>Change</w:t>
            </w:r>
          </w:p>
        </w:tc>
        <w:tc>
          <w:tcPr>
            <w:tcW w:w="0" w:type="dxa"/>
            <w:vAlign w:val="bottom"/>
          </w:tcPr>
          <w:p>
            <w:pPr>
              <w:spacing w:after="0"/>
              <w:rPr>
                <w:sz w:val="1"/>
                <w:szCs w:val="1"/>
                <w:color w:val="auto"/>
              </w:rPr>
            </w:pPr>
          </w:p>
        </w:tc>
      </w:tr>
      <w:tr>
        <w:trPr>
          <w:trHeight w:val="210"/>
        </w:trPr>
        <w:tc>
          <w:tcPr>
            <w:tcW w:w="2900" w:type="dxa"/>
            <w:vAlign w:val="bottom"/>
            <w:gridSpan w:val="2"/>
            <w:vMerge w:val="continue"/>
          </w:tcPr>
          <w:p>
            <w:pPr>
              <w:spacing w:after="0"/>
              <w:rPr>
                <w:sz w:val="18"/>
                <w:szCs w:val="18"/>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2007</w:t>
            </w:r>
          </w:p>
        </w:tc>
        <w:tc>
          <w:tcPr>
            <w:tcW w:w="3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2007</w:t>
            </w:r>
          </w:p>
        </w:tc>
        <w:tc>
          <w:tcPr>
            <w:tcW w:w="36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  28,753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30,022</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  57,507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58,339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Communications and equipment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3,852</w:t>
            </w:r>
          </w:p>
        </w:tc>
        <w:tc>
          <w:tcPr>
            <w:tcW w:w="1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3,845</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7,684</w:t>
            </w: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7,657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Occupancy</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3,704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3,316</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7,420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6,507</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Advertising and public relations</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2,009</w:t>
            </w:r>
          </w:p>
        </w:tc>
        <w:tc>
          <w:tcPr>
            <w:tcW w:w="1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2,098</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3,360</w:t>
            </w: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4,114</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Postage, printing and supplies</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1,448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3,040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3,340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Professional fees</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1,679</w:t>
            </w:r>
          </w:p>
        </w:tc>
        <w:tc>
          <w:tcPr>
            <w:tcW w:w="1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2,010</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3,600</w:t>
            </w: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3,489</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633</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1,512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1,197</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Other</w:t>
            </w:r>
          </w:p>
        </w:tc>
        <w:tc>
          <w:tcPr>
            <w:tcW w:w="740" w:type="dxa"/>
            <w:vAlign w:val="bottom"/>
          </w:tcPr>
          <w:p>
            <w:pPr>
              <w:jc w:val="right"/>
              <w:spacing w:after="0"/>
              <w:rPr>
                <w:sz w:val="20"/>
                <w:szCs w:val="20"/>
                <w:color w:val="auto"/>
              </w:rPr>
            </w:pPr>
            <w:r>
              <w:rPr>
                <w:rFonts w:ascii="Arial" w:cs="Arial" w:eastAsia="Arial" w:hAnsi="Arial"/>
                <w:sz w:val="18"/>
                <w:szCs w:val="18"/>
                <w:color w:val="auto"/>
              </w:rPr>
              <w:t>7,571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4,098</w:t>
            </w:r>
          </w:p>
        </w:tc>
        <w:tc>
          <w:tcPr>
            <w:tcW w:w="34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85</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13,167</w:t>
            </w:r>
          </w:p>
        </w:tc>
        <w:tc>
          <w:tcPr>
            <w:tcW w:w="16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7,900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47,702</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97,290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92,543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Salaries and employee benefits for the second quarter 2008 totaled $28.8 million, a decrease of $1.3 million, or 4%, over the same period in 2007. This decrease was primarily due to lower bonus and incentive costs in 2008, which was offset partially by higher costs for the Gwinnett Acquisition that was included for the full quarter this year versus one month in the second quarter of 2007. At June 30, 2008, total staff was 2,020</w:t>
      </w:r>
      <w:r>
        <w:rPr>
          <w:rFonts w:ascii="Arial" w:cs="Arial" w:eastAsia="Arial" w:hAnsi="Arial"/>
          <w:sz w:val="16"/>
          <w:szCs w:val="16"/>
          <w:b w:val="1"/>
          <w:bCs w:val="1"/>
          <w:color w:val="auto"/>
        </w:rPr>
        <w:t>,</w:t>
      </w:r>
      <w:r>
        <w:rPr>
          <w:rFonts w:ascii="Arial" w:cs="Arial" w:eastAsia="Arial" w:hAnsi="Arial"/>
          <w:sz w:val="16"/>
          <w:szCs w:val="16"/>
          <w:color w:val="auto"/>
        </w:rPr>
        <w:t xml:space="preserve"> an increase of three employees from the second quarter 2007.</w:t>
      </w:r>
    </w:p>
    <w:p>
      <w:pPr>
        <w:spacing w:after="0" w:line="127"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Occupancy expense for the second quarter 2008 increased $388,000, or 12%, from the same period in 2007. This increase reflects the additional office space obtained in the Gwinnett Acquisition and de novo expansion.</w:t>
      </w:r>
    </w:p>
    <w:p>
      <w:pPr>
        <w:spacing w:after="0" w:line="13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Postage, printing and supplies for the second quarter 2008 decreased $232,000, or 14%, from the same period in 2007. This decrease was due to company-wide discipline controlling costs.</w:t>
      </w:r>
    </w:p>
    <w:p>
      <w:pPr>
        <w:spacing w:after="0" w:line="130" w:lineRule="exact"/>
        <w:rPr>
          <w:sz w:val="20"/>
          <w:szCs w:val="20"/>
          <w:color w:val="auto"/>
        </w:rPr>
      </w:pPr>
    </w:p>
    <w:p>
      <w:pPr>
        <w:jc w:val="both"/>
        <w:ind w:left="340" w:right="559" w:firstLine="373"/>
        <w:spacing w:after="0" w:line="342" w:lineRule="auto"/>
        <w:rPr>
          <w:sz w:val="20"/>
          <w:szCs w:val="20"/>
          <w:color w:val="auto"/>
        </w:rPr>
      </w:pPr>
      <w:r>
        <w:rPr>
          <w:rFonts w:ascii="Arial" w:cs="Arial" w:eastAsia="Arial" w:hAnsi="Arial"/>
          <w:sz w:val="16"/>
          <w:szCs w:val="16"/>
          <w:color w:val="auto"/>
        </w:rPr>
        <w:t>Professional fees for the second quarter 2008 decreased $331,000, or 16%, over the same period in 2007. This decrease was primarily the result of higher legal fees last year associated with the fraud related loans in Spruce Pine, North Carolina.</w:t>
      </w:r>
    </w:p>
    <w:p>
      <w:pPr>
        <w:spacing w:after="0" w:line="97"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Other expense of $7.6 million increased $3.5 million from 2007. The increase was due to approximately $2.5 million in writedowns and expenses on foreclosed properties and the increase in FDIC insurance premiums of approximately $900,000. Higher foreclosed property expenses and losses and higher FDIC insurance premiums also account for most of the year to date increase over 2007.</w:t>
      </w:r>
    </w:p>
    <w:p>
      <w:pPr>
        <w:spacing w:after="0" w:line="146"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efficiency ratio measures total operating expenses as a percentage of total revenue, excluding the provision for loan losses, net securities gains or losses, and gains or losses from the prepayment of borrowings. United’s operating efficiency ratio for the second quarter was 65.05%, compared to 56.59% for the second quarter of 2007. The increase is primarily the result of decreasing net interest revenue and fee revenue, and an increase in other operating expenses, primarily resulting from the higher cost of foreclosed properties.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Income tax expense was $3.9 million as compared with $5.8 million for the second quarter of 2007, representing a 35.5% and a 32.6% effective tax rate, respectively. For the first six months, income tax expense was $12.7 million and $16.9 million for the periods ending June 30, 2008 and 2007, respectively. The effective tax rate for those periods was 35.5% and 35.1% respectively. The effective tax rates were lower than the statutory tax rates primarily due to interest revenue on certain investment securities and loans that are exempt from income taxes, tax exempt fee revenue and tax credits received on affordable housing investments. Additional information regarding income taxes can be found in Note 14 to the consolidated financial statements filed with United’s 2007 Form 10-K.</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Balance Sheet Review</w:t>
      </w:r>
    </w:p>
    <w:p>
      <w:pPr>
        <w:spacing w:after="0" w:line="189"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Total assets at June 30, 2008 were $8.3 billion, compared with $8.1 billion at June 30, 2007. Average total assets for the second quarter 2008 were $8.3 billion, up $776 million from average assets for the second quarter of 2007. A significant portion of the growth was the result of the Gwinnett Acquisition on June 1, 2007, which added total assets of $809 million, including intangible assets.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185"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United reviews its goodwill for impairment annually, or more frequently if circumstances indicate that goodwill has been impaired. During the last three quarters, United’s stock price has traded below its per-share book value and falling below tangible book value for a short period of time, reflecting uncertainty about the economic cycle rather than the value of the underlying business. The current economic environment has temporarily resulted in lower earnings with higher credit losses and those losses have been reflected in the income statement as well as valuation adjustments to the loan balances through increases to the level of the allowance for loan losses. Management believes that goodwill has not been impaired and that the value of United’s business remains intact and earnings will return to past levels when the credit cycle recovers.</w:t>
      </w:r>
    </w:p>
    <w:p>
      <w:pPr>
        <w:spacing w:after="0" w:line="200" w:lineRule="exact"/>
        <w:rPr>
          <w:sz w:val="20"/>
          <w:szCs w:val="20"/>
          <w:color w:val="auto"/>
        </w:rPr>
      </w:pPr>
    </w:p>
    <w:p>
      <w:pPr>
        <w:spacing w:after="0" w:line="3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Loans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5160" w:type="dxa"/>
            <w:vAlign w:val="bottom"/>
            <w:gridSpan w:val="2"/>
          </w:tcPr>
          <w:p>
            <w:pPr>
              <w:ind w:left="360"/>
              <w:spacing w:after="0"/>
              <w:rPr>
                <w:sz w:val="20"/>
                <w:szCs w:val="20"/>
                <w:color w:val="auto"/>
              </w:rPr>
            </w:pPr>
            <w:r>
              <w:rPr>
                <w:rFonts w:ascii="Arial" w:cs="Arial" w:eastAsia="Arial" w:hAnsi="Arial"/>
                <w:sz w:val="18"/>
                <w:szCs w:val="18"/>
                <w:color w:val="auto"/>
                <w:w w:val="99"/>
              </w:rPr>
              <w:t>The following table presents a summary of the loan portfolio.</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Table 8 — Loans Outstanding</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w w:val="91"/>
              </w:rPr>
              <w:t>June 30,</w:t>
            </w: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June 30,</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By Loan Type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Commercial (secured by real estate)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1,584,258</w:t>
            </w:r>
          </w:p>
        </w:tc>
        <w:tc>
          <w:tcPr>
            <w:tcW w:w="4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1,475,930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1,461,286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521,794</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527,123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506,962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Commercial (commercial and industrial)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416,626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417,715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420,608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1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commercial</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2,522,678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2,420,768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2,388,856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Residential construction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1,745,151</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1,829,506</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2,015,135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1,494,562</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1,501,916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1,412,597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Installment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170,750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177,073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182,505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loans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5,933,141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5,929,263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5,999,093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total loans:</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51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Commercial (secured by real estate)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60" w:type="dxa"/>
            <w:vAlign w:val="bottom"/>
            <w:gridSpan w:val="2"/>
          </w:tcPr>
          <w:p>
            <w:pPr>
              <w:ind w:left="400"/>
              <w:spacing w:after="0"/>
              <w:rPr>
                <w:sz w:val="20"/>
                <w:szCs w:val="20"/>
                <w:color w:val="auto"/>
              </w:rPr>
            </w:pPr>
            <w:r>
              <w:rPr>
                <w:rFonts w:ascii="Arial" w:cs="Arial" w:eastAsia="Arial" w:hAnsi="Arial"/>
                <w:sz w:val="18"/>
                <w:szCs w:val="18"/>
                <w:color w:val="auto"/>
              </w:rPr>
              <w:t>Commercial construction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Commercial (commercial and industrial)</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160" w:type="dxa"/>
            <w:vAlign w:val="bottom"/>
            <w:gridSpan w:val="2"/>
          </w:tcPr>
          <w:p>
            <w:pPr>
              <w:ind w:left="600"/>
              <w:spacing w:after="0"/>
              <w:rPr>
                <w:sz w:val="20"/>
                <w:szCs w:val="20"/>
                <w:color w:val="auto"/>
              </w:rPr>
            </w:pPr>
            <w:r>
              <w:rPr>
                <w:rFonts w:ascii="Arial" w:cs="Arial" w:eastAsia="Arial" w:hAnsi="Arial"/>
                <w:sz w:val="18"/>
                <w:szCs w:val="18"/>
                <w:color w:val="auto"/>
              </w:rPr>
              <w:t>Total commercial</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Residential construction</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60" w:type="dxa"/>
            <w:vAlign w:val="bottom"/>
            <w:gridSpan w:val="2"/>
          </w:tcPr>
          <w:p>
            <w:pPr>
              <w:ind w:left="400"/>
              <w:spacing w:after="0"/>
              <w:rPr>
                <w:sz w:val="20"/>
                <w:szCs w:val="20"/>
                <w:color w:val="auto"/>
              </w:rPr>
            </w:pPr>
            <w:r>
              <w:rPr>
                <w:rFonts w:ascii="Arial" w:cs="Arial" w:eastAsia="Arial" w:hAnsi="Arial"/>
                <w:sz w:val="18"/>
                <w:szCs w:val="18"/>
                <w:color w:val="auto"/>
              </w:rPr>
              <w:t>Residential mortgage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Installment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160" w:type="dxa"/>
            <w:vAlign w:val="bottom"/>
            <w:gridSpan w:val="2"/>
            <w:vMerge w:val="restart"/>
          </w:tcPr>
          <w:p>
            <w:pPr>
              <w:ind w:left="60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51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By Geographic Location</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Atlanta MSA</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1,933,811</w:t>
            </w:r>
          </w:p>
        </w:tc>
        <w:tc>
          <w:tcPr>
            <w:tcW w:w="4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2,002,089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2,133,487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Gainesville MSA</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421,711</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399,560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384,017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North Georgia</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2,064,856</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2,060,224</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2,031,875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818,677</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805,999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815,592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Coastal Georgia</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436,594</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415,622</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396,373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Tennessee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257,492</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245,769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237,749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160" w:type="dxa"/>
            <w:vAlign w:val="bottom"/>
            <w:gridSpan w:val="2"/>
          </w:tcPr>
          <w:p>
            <w:pPr>
              <w:ind w:left="200"/>
              <w:spacing w:after="0"/>
              <w:rPr>
                <w:sz w:val="20"/>
                <w:szCs w:val="20"/>
                <w:color w:val="auto"/>
              </w:rPr>
            </w:pPr>
            <w:r>
              <w:rPr>
                <w:rFonts w:ascii="Arial" w:cs="Arial" w:eastAsia="Arial" w:hAnsi="Arial"/>
                <w:sz w:val="18"/>
                <w:szCs w:val="18"/>
                <w:color w:val="auto"/>
              </w:rPr>
              <w:t>Total loans</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5,933,141</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5,929,263</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5,999,093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Substantially all of United’s loans are to customers located in the immediate market areas of the community banks in Georgia, North Carolina, and Tennessee. At June 30, 2008, total loans were $5.9 billion, a decrease of $66.0 million or 1%, from June 30, 2007. The rate of loan growth began to decline in the first quarter of 2007 and continued through 2008. The slowdown in loan growth was due to deterioration in the residential construction and housing markets that resulted in part from an oversupply of lot inventory within United’s markets, which slowed construction activities and acquisition and development projects. To date, the slowdown in the housing market has been most severe in the Atlanta MSA.</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185"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 xml:space="preserve">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establishing credit policies and procedures and enforcing the consistent application of these policies and procedures at all of the Community Banks. Additional information on the credit administration function is included in Item 1 under the heading </w:t>
      </w:r>
      <w:r>
        <w:rPr>
          <w:rFonts w:ascii="Arial" w:cs="Arial" w:eastAsia="Arial" w:hAnsi="Arial"/>
          <w:sz w:val="18"/>
          <w:szCs w:val="18"/>
          <w:i w:val="1"/>
          <w:iCs w:val="1"/>
          <w:color w:val="auto"/>
        </w:rPr>
        <w:t>Loan Review and Non-performing Assets</w:t>
      </w:r>
      <w:r>
        <w:rPr>
          <w:rFonts w:ascii="Arial" w:cs="Arial" w:eastAsia="Arial" w:hAnsi="Arial"/>
          <w:sz w:val="18"/>
          <w:szCs w:val="18"/>
          <w:color w:val="auto"/>
        </w:rPr>
        <w:t xml:space="preserve"> in United’s Annual Report on Form 10-K.</w:t>
      </w:r>
    </w:p>
    <w:p>
      <w:pPr>
        <w:spacing w:after="0" w:line="153"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provision for loan losses charged to earnings was based upon management’s judgment of the amount necessary to maintain the allowance at a level appropriate to absorb losses inherent in the loan portfolio at quarter-end. The amount each period is dependent upon many factors, including growth and changes in the composition of the loan portfolio, net charge-offs, delinquencies, management’s assessment of loan portfolio quality, the value of collateral, and other economic factors and trends. The evaluation of these factors is performed quarterly by management through an analysis of the appropriateness of the allowance for loan losses.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Reviews of non-performing loans, past due loans and larger credits, designed to identify potential charges to the allowance for loan losses, as well as determine the adequacy of the allowance, are conducted on a regular basis during the quarter. These reviews are performed by the responsible lending officers with management, as well as by a separate loan review department, and consider such factors as the financial strength of borrowers, the value of the applicable collateral, past loan loss experience, anticipated loan losses, growth in the loan portfolio, prevailing economic conditions and other factors. United also uses external loan review to supplement the activities of United’s loan review department and to ensure the independence of the loan review process.</w:t>
      </w:r>
    </w:p>
    <w:p>
      <w:pPr>
        <w:spacing w:after="0" w:line="162"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following table presents a summary of the changes in the allowance for loan losses for the three and six month periods ended June 30, 2008 and 2007 on a GAAP basis.</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rPr>
              <w:t>Table 9 — Summary of Loan Loss Experience</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8"/>
          </w:tcPr>
          <w:p>
            <w:pPr>
              <w:jc w:val="center"/>
              <w:ind w:right="52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24"/>
                <w:szCs w:val="24"/>
                <w:color w:val="auto"/>
              </w:rPr>
            </w:pPr>
          </w:p>
        </w:tc>
        <w:tc>
          <w:tcPr>
            <w:tcW w:w="2360" w:type="dxa"/>
            <w:vAlign w:val="bottom"/>
            <w:gridSpan w:val="7"/>
          </w:tcPr>
          <w:p>
            <w:pPr>
              <w:jc w:val="center"/>
              <w:ind w:right="26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4120" w:type="dxa"/>
            <w:vAlign w:val="bottom"/>
            <w:vMerge w:val="restart"/>
          </w:tcPr>
          <w:p>
            <w:pPr>
              <w:spacing w:after="0"/>
              <w:rPr>
                <w:sz w:val="20"/>
                <w:szCs w:val="20"/>
                <w:color w:val="auto"/>
              </w:rPr>
            </w:pPr>
            <w:r>
              <w:rPr>
                <w:rFonts w:ascii="Arial" w:cs="Arial" w:eastAsia="Arial" w:hAnsi="Arial"/>
                <w:sz w:val="18"/>
                <w:szCs w:val="18"/>
                <w:i w:val="1"/>
                <w:iCs w:val="1"/>
                <w:color w:val="auto"/>
              </w:rPr>
              <w:t>(dollars in thousands)</w:t>
            </w: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5"/>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5"/>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2008</w:t>
            </w:r>
          </w:p>
        </w:tc>
        <w:tc>
          <w:tcPr>
            <w:tcW w:w="1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2007</w:t>
            </w:r>
          </w:p>
        </w:tc>
        <w:tc>
          <w:tcPr>
            <w:tcW w:w="1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2008</w:t>
            </w:r>
          </w:p>
        </w:tc>
        <w:tc>
          <w:tcPr>
            <w:tcW w:w="1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2007</w:t>
            </w: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89,848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68,804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89,423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66,566</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Allowance from acquisitions</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7,091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7,091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rPr>
              <w:t>Commercial (commercial and industrial)</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410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734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(secured by real estate)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rPr>
              <w:t>Commercial construction</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construction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10,354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15,162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rPr>
              <w:t>Residential mortgage</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2,599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1,055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3,672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Installment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30"/>
        </w:trPr>
        <w:tc>
          <w:tcPr>
            <w:tcW w:w="4120" w:type="dxa"/>
            <w:vAlign w:val="bottom"/>
          </w:tcPr>
          <w:p>
            <w:pPr>
              <w:ind w:left="400"/>
              <w:spacing w:after="0"/>
              <w:rPr>
                <w:sz w:val="20"/>
                <w:szCs w:val="20"/>
                <w:color w:val="auto"/>
              </w:rPr>
            </w:pPr>
            <w:r>
              <w:rPr>
                <w:rFonts w:ascii="Arial" w:cs="Arial" w:eastAsia="Arial" w:hAnsi="Arial"/>
                <w:sz w:val="18"/>
                <w:szCs w:val="18"/>
                <w:color w:val="auto"/>
              </w:rPr>
              <w:t>Total loans charged-off</w:t>
            </w: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14,650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22,152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rPr>
              <w:t>Commercial (commercial and industrial)</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(secured by real estate)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rPr>
              <w:t>Commercial construction</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construction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rPr>
              <w:t>Residential mortgage</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275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Installment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30"/>
        </w:trPr>
        <w:tc>
          <w:tcPr>
            <w:tcW w:w="4120" w:type="dxa"/>
            <w:vAlign w:val="bottom"/>
          </w:tcPr>
          <w:p>
            <w:pPr>
              <w:ind w:left="400"/>
              <w:spacing w:after="0"/>
              <w:rPr>
                <w:sz w:val="20"/>
                <w:szCs w:val="20"/>
                <w:color w:val="auto"/>
              </w:rPr>
            </w:pPr>
            <w:r>
              <w:rPr>
                <w:rFonts w:ascii="Arial" w:cs="Arial" w:eastAsia="Arial" w:hAnsi="Arial"/>
                <w:sz w:val="18"/>
                <w:szCs w:val="18"/>
                <w:color w:val="auto"/>
              </w:rPr>
              <w:t>Total recoveries</w:t>
            </w: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charge-offs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14,313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21,388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3,586</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18,700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22,400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91,035</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92,471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91,035</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92,471</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Net charge-offs by region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Atlanta MSA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10,682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15,329</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rPr>
              <w:t>Gainesville MSA</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360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683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North Georgia</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rPr>
              <w:t>Western North Carolina</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279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172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336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Coastal Georgia</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rPr>
              <w:t>East Tennessee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909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14,313</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21,388</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3,586</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Total loans: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period end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5,933,141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5,999,093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5,933,141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5,999,093</w:t>
            </w:r>
          </w:p>
        </w:tc>
        <w:tc>
          <w:tcPr>
            <w:tcW w:w="0" w:type="dxa"/>
            <w:vAlign w:val="bottom"/>
          </w:tcPr>
          <w:p>
            <w:pPr>
              <w:spacing w:after="0"/>
              <w:rPr>
                <w:sz w:val="1"/>
                <w:szCs w:val="1"/>
                <w:color w:val="auto"/>
              </w:rPr>
            </w:pP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rPr>
              <w:t>Average</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5,933,143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5,619,950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5,945,720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5,512,005</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average loans (annualized):</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rPr>
              <w:t>Net charge-offs</w:t>
            </w: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loan losses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Allowance as a percentage of period end loans</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2"/>
        </w:trPr>
        <w:tc>
          <w:tcPr>
            <w:tcW w:w="4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Allowance as a percentage of period end non-</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performing loans</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Management believes that the allowance for loan losses at June 30, 2008 reflects the losses inherent in the loan portfolio. This assessment involves uncertainty and judgment; therefore, the adequacy of the allowance for loan losses cannot be determined with precision and may be subject to change in future periods. In addition, bank regulatory authorities, as part of their periodic examination of the Bank, may require adjustments to the provision for loan losses in future periods if, in their opinion, the results of their review warrant such additions.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table below summarizes non-performing assets on a GAAP basis.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Table 10 — Non-Performing Assets</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4"/>
        </w:trPr>
        <w:tc>
          <w:tcPr>
            <w:tcW w:w="5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June 30,</w:t>
            </w:r>
          </w:p>
        </w:tc>
        <w:tc>
          <w:tcPr>
            <w:tcW w:w="26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June 30,</w:t>
            </w:r>
          </w:p>
        </w:tc>
      </w:tr>
      <w:tr>
        <w:trPr>
          <w:trHeight w:val="234"/>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80" w:type="dxa"/>
            <w:vAlign w:val="bottom"/>
          </w:tcPr>
          <w:p>
            <w:pPr>
              <w:spacing w:after="0"/>
              <w:rPr>
                <w:sz w:val="20"/>
                <w:szCs w:val="20"/>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2008</w:t>
            </w:r>
          </w:p>
        </w:tc>
        <w:tc>
          <w:tcPr>
            <w:tcW w:w="1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2007</w:t>
            </w:r>
          </w:p>
        </w:tc>
        <w:tc>
          <w:tcPr>
            <w:tcW w:w="1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2007</w:t>
            </w:r>
          </w:p>
        </w:tc>
        <w:tc>
          <w:tcPr>
            <w:tcW w:w="180" w:type="dxa"/>
            <w:vAlign w:val="bottom"/>
            <w:tcBorders>
              <w:bottom w:val="single" w:sz="8" w:color="auto"/>
            </w:tcBorders>
          </w:tcPr>
          <w:p>
            <w:pPr>
              <w:spacing w:after="0"/>
              <w:rPr>
                <w:sz w:val="20"/>
                <w:szCs w:val="20"/>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123,786</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28,219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30,849</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Loans past due 90 days or more and still accruing</w:t>
            </w: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5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non-performing loans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123,786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30,849</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28,378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18,039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12,752</w:t>
            </w:r>
          </w:p>
        </w:tc>
      </w:tr>
      <w:tr>
        <w:trPr>
          <w:trHeight w:val="223"/>
        </w:trPr>
        <w:tc>
          <w:tcPr>
            <w:tcW w:w="5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non-performing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152,164</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46,258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43,601</w:t>
            </w:r>
          </w:p>
        </w:tc>
      </w:tr>
      <w:tr>
        <w:trPr>
          <w:trHeight w:val="20"/>
        </w:trPr>
        <w:tc>
          <w:tcPr>
            <w:tcW w:w="5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26"/>
        </w:trPr>
        <w:tc>
          <w:tcPr>
            <w:tcW w:w="5400" w:type="dxa"/>
            <w:vAlign w:val="bottom"/>
          </w:tcPr>
          <w:p>
            <w:pPr>
              <w:spacing w:after="0"/>
              <w:rPr>
                <w:sz w:val="20"/>
                <w:szCs w:val="20"/>
                <w:color w:val="auto"/>
              </w:rPr>
            </w:pPr>
            <w:r>
              <w:rPr>
                <w:rFonts w:ascii="Arial" w:cs="Arial" w:eastAsia="Arial" w:hAnsi="Arial"/>
                <w:sz w:val="18"/>
                <w:szCs w:val="18"/>
                <w:color w:val="auto"/>
              </w:rPr>
              <w:t>Non-performing loans as a percentage of total loans</w:t>
            </w:r>
          </w:p>
        </w:tc>
        <w:tc>
          <w:tcPr>
            <w:tcW w:w="8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r>
      <w:tr>
        <w:trPr>
          <w:trHeight w:val="216"/>
        </w:trPr>
        <w:tc>
          <w:tcPr>
            <w:tcW w:w="5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Non-performing assets as a percentage of loans and OREO</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w:t>
            </w:r>
          </w:p>
        </w:tc>
      </w:tr>
      <w:tr>
        <w:trPr>
          <w:trHeight w:val="432"/>
        </w:trPr>
        <w:tc>
          <w:tcPr>
            <w:tcW w:w="5400" w:type="dxa"/>
            <w:vAlign w:val="bottom"/>
          </w:tcPr>
          <w:p>
            <w:pPr>
              <w:spacing w:after="0"/>
              <w:rPr>
                <w:sz w:val="20"/>
                <w:szCs w:val="20"/>
                <w:color w:val="auto"/>
              </w:rPr>
            </w:pPr>
            <w:r>
              <w:rPr>
                <w:rFonts w:ascii="Arial" w:cs="Arial" w:eastAsia="Arial" w:hAnsi="Arial"/>
                <w:sz w:val="18"/>
                <w:szCs w:val="18"/>
                <w:color w:val="auto"/>
              </w:rPr>
              <w:t>Non-performing assets as a percentage of total assets</w:t>
            </w:r>
          </w:p>
        </w:tc>
        <w:tc>
          <w:tcPr>
            <w:tcW w:w="8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1.84</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.54</w:t>
            </w:r>
          </w:p>
        </w:tc>
      </w:tr>
    </w:tbl>
    <w:p>
      <w:pPr>
        <w:spacing w:after="0" w:line="175"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Non-performing loans totaled $123.8 million, compared with $28.2 million at December 31, 2007 and $30.8 million at June 30, 2007. The ratio of non-performing loans to total loans increased 158 basis points from June 30, 2007 reflecting a deterioration in United’s residential construction and development portfolio primarily in the Atlanta MSA. Non-performing assets, which include non-performing loans and foreclosed real estate, totaled $152.2 million at June 30, 2008, compared to $46.3 million at December 31, 2007 and $43.6 million at June 30, 2007.</w:t>
      </w:r>
    </w:p>
    <w:p>
      <w:pPr>
        <w:spacing w:after="0" w:line="148"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United’s policy is to classify loans as non-accrual when, in the opinion of management, the principal and interest on a loan is not likely to be repaid in accordance with the loan terms or when the loan becomes 90 days past due and is not well secured and in the process of collection. When a loan is classified on non-accrual status, interest previously accrued but not collect is reversed against current interest revenue. Payments received on a non-accrual loan are applied to reduce outstanding principal.</w:t>
      </w:r>
    </w:p>
    <w:p>
      <w:pPr>
        <w:spacing w:after="0" w:line="114"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 xml:space="preserve">At June 30, 2008 and 2007, there were $79.6 million and $38.8 million, respectively, of loans classified as impaired under the definition outlined in SFAS No. 114 </w:t>
      </w:r>
      <w:r>
        <w:rPr>
          <w:rFonts w:ascii="Arial" w:cs="Arial" w:eastAsia="Arial" w:hAnsi="Arial"/>
          <w:sz w:val="18"/>
          <w:szCs w:val="18"/>
          <w:i w:val="1"/>
          <w:iCs w:val="1"/>
          <w:color w:val="auto"/>
        </w:rPr>
        <w:t>Accounting By Creditors For Impairment of a Loan</w:t>
      </w:r>
      <w:r>
        <w:rPr>
          <w:rFonts w:ascii="Arial" w:cs="Arial" w:eastAsia="Arial" w:hAnsi="Arial"/>
          <w:sz w:val="18"/>
          <w:szCs w:val="18"/>
          <w:color w:val="auto"/>
        </w:rPr>
        <w:t>. Specific reserves allocated to these impaired loans totaled $20.3 million and $2.1 million at June 30, 2008 and 2007, respectively. The average recorded investment in impaired loans for the quarters ended June 30, 2008 and 2007 was $79.7 million and $40.8 million, respectively. Interest revenue recognized on loans while they were impaired for the first six months of 2008 was $393,000 compared with $540,000 for the same period in 2007.</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85"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w:t>
      </w:r>
    </w:p>
    <w:p>
      <w:pPr>
        <w:spacing w:after="0" w:line="114"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Total investment securities available for sale at quarter-end increased $216.9 million from a year ago. The investment portfolio is used as a supplemental tool to stabilize interest rate sensitivity and increase net interest revenue. At June 30, 2008 and June 30, 2007, the securities portfolio represented approximately 17.3% and 15.0% of total assets, respectively.</w:t>
      </w:r>
    </w:p>
    <w:p>
      <w:pPr>
        <w:spacing w:after="0" w:line="139"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The investment securities portfolio primarily consists of U.S. Government agency securities, U.S. Government sponsored agency mortgage-backed securities, non-agency mortgage-backed securities, and municipal securities. Mortgage-backed securities rely on the underlying pools of mortgage loans to provide a cash flow of principal and interest. The actual maturities of these securities will differ from contractual maturities because loans underlying the securities can prepay. Decreases in interest rates will generally cause an acceleration of prepayment levels. In a declining interest rate environment, United may not be able to reinvest the proceeds from these prepayments in assets that have comparable yields. In a rising rate environment, the opposite occurs. Prepayments tend to slow and the weighted average life extends. This is referred to as extension risk which can lead to lower levels of liquidity due to the delay of cash receipts and can result in the holding of a below market yielding asset for a longer time period.</w:t>
      </w:r>
    </w:p>
    <w:p>
      <w:pPr>
        <w:sectPr>
          <w:pgSz w:w="11900" w:h="16838" w:orient="portrait"/>
          <w:cols w:equalWidth="0" w:num="1">
            <w:col w:w="10219"/>
          </w:cols>
          <w:pgMar w:left="240" w:top="419" w:right="1440" w:bottom="555"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555"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Deposits</w:t>
      </w:r>
    </w:p>
    <w:p>
      <w:pPr>
        <w:spacing w:after="0" w:line="198"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Total deposits as of June 30, 2008 were $6.7 billion, an increase of $335 million, or 4%, from June 30, 2007. Total non-interest-bearing demand deposit accounts of $697 million decreased $77 million or 10%, and NOW, money market and savings accounts of $2.1 billion decreased $12 million, or 1%. Management believes the decreases were primarily caused by the slowdown in the local economy and the resultant increase in the use of funds by United’s customers because average balances have declined over the past year.</w:t>
      </w:r>
    </w:p>
    <w:p>
      <w:pPr>
        <w:spacing w:after="0" w:line="148"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Total time deposits, excluding brokered deposits, as of June 30, 2008 were $3.3 billion, an increase of $237 million, or 8%, from June 30, 2007. Time deposits less than $100,000 totaled $1.7 billion, an increase of $93 million, or 6%, from a year ago. Time deposits of $100,000 and greater totaled $1.6 billion as of June 30, 2008, an increase of $144 million, or 10%, from June 30, 2007. During the second quarter, United made a decision to actively pursue time deposits by offering a 15 month certificate of deposit at an attractive rate, in order to increase liquidity. The program was very successful and added over $400 million of customer deposits. United also takes advantage of “brokered” time deposits, issued in certificates of less than $100,000, as an alternate source of cost-effective funding. Brokered time deposits as of June 30, 2008 were $535 million, compared with $348 million at June 30, 2007.</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Wholesale Funding</w:t>
      </w:r>
    </w:p>
    <w:p>
      <w:pPr>
        <w:spacing w:after="0" w:line="198"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At June 30, 2008, the Bank was a shareholder in a Federal Home Loan Bank (“FHLB”). Through this affiliation, FHLB secured advances totaled $286 million and $499 million as of June 30, 2008 and 2007, respectively. This decline was the result of a successful CD program during the second quarter of 2008 that reduced United’s need for borrowed funds. United anticipates continued use of this short- and long-term source of funds. FHLB advances outstanding at June 30, 2008 had both fixed and floating interest rates up to 5.06%</w:t>
      </w:r>
      <w:r>
        <w:rPr>
          <w:rFonts w:ascii="Arial" w:cs="Arial" w:eastAsia="Arial" w:hAnsi="Arial"/>
          <w:sz w:val="17"/>
          <w:szCs w:val="17"/>
          <w:b w:val="1"/>
          <w:bCs w:val="1"/>
          <w:color w:val="auto"/>
        </w:rPr>
        <w:t>.</w:t>
      </w:r>
      <w:r>
        <w:rPr>
          <w:rFonts w:ascii="Arial" w:cs="Arial" w:eastAsia="Arial" w:hAnsi="Arial"/>
          <w:sz w:val="17"/>
          <w:szCs w:val="17"/>
          <w:color w:val="auto"/>
        </w:rPr>
        <w:t xml:space="preserve"> Additional information regarding FHLB advances, including scheduled maturities, is provided in Note 10 to the consolidated financial statements included in United’s 2007 Form 10-K.</w:t>
      </w:r>
    </w:p>
    <w:p>
      <w:pPr>
        <w:spacing w:after="0" w:line="138"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At June 30, 2008, United had $289 million in Federal funds purchased, repurchase agreements, and other short-term borrowings outstanding, compared to $238 million outstanding at June 30, 2007. United takes advantage of these additional sources of liquidity when rates are favorable compared to other forms of short-term borrowings, such as FHLB advances and brokered deposits.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02"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The absolute level and volatility of interest rates can have a significant effect on United’s profitability. The objective of interest rate risk management is to identify and manage the sensitivity of net interest revenue to changing interest rates, in order to achieve United’s overall financial goals. Based on economic conditions, asset quality and various other considerations, management establishes tolerance ranges for interest rate sensitivity and manages within these ranges.</w:t>
      </w:r>
    </w:p>
    <w:p>
      <w:pPr>
        <w:spacing w:after="0" w:line="131"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Net interest revenue is influenced by changes in the level of interest rates. United manages its exposure to fluctuations in interest rates through policies established by the Asset/Liability Management Committee (“ALCO”). ALCO meets regularly and has responsibility for approving asset/liability management policies, formulating and implementing strategies to improve balance sheet positioning and/or earnings, and reviewing United’s interest rate sensitivity.</w:t>
      </w:r>
    </w:p>
    <w:p>
      <w:pPr>
        <w:spacing w:after="0" w:line="131"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One of the tools management utilizes to estimate the sensitivity of net interest revenue to changes in interest rates is an interest rate simulation model. Such estimates are based upon a number of assumptions for various scenarios, including the level of balance sheet growth, deposit repricing characteristics and the rate of prepayments. The simulation model measures the potential change in net interest revenue over a twelve-month period under various interest rate scenarios. United’s baseline scenario assumes rates remain flat (“flat rate scenario”) over the next twelve months and is the scenario that all others are compared to in order to measure the change in net interest revenue. United runs ramp scenarios that assume gradual increases and decreases of 200 basis points each over the next twelve months. United’s policy for net interest revenue simulation is limited to a change from the flat rate scenario of less than 10% for the up or down 200 basis point ramp scenarios over twelve months. At June 30, 2008, United’s simulation model indicated that a 200 basis point increase in rates over the next twelve months would cause a 1.2% increase in net interest revenue and a 200 basis point decrease in rates over the next twelve months would cause an approximate 2.6% decrease in net interest revenue.</w:t>
      </w:r>
    </w:p>
    <w:p>
      <w:pPr>
        <w:spacing w:after="0" w:line="156" w:lineRule="exact"/>
        <w:rPr>
          <w:sz w:val="20"/>
          <w:szCs w:val="20"/>
          <w:color w:val="auto"/>
        </w:rPr>
      </w:pPr>
    </w:p>
    <w:p>
      <w:pPr>
        <w:jc w:val="both"/>
        <w:ind w:left="340" w:right="559" w:firstLine="467"/>
        <w:spacing w:after="0" w:line="255" w:lineRule="auto"/>
        <w:rPr>
          <w:sz w:val="20"/>
          <w:szCs w:val="20"/>
          <w:color w:val="auto"/>
        </w:rPr>
      </w:pPr>
      <w:r>
        <w:rPr>
          <w:rFonts w:ascii="Arial" w:cs="Arial" w:eastAsia="Arial" w:hAnsi="Arial"/>
          <w:sz w:val="18"/>
          <w:szCs w:val="18"/>
          <w:color w:val="auto"/>
        </w:rPr>
        <w:t>In order to manage its interest rate sensitivity, United uses off-balance sheet contracts that are considered derivative financial instruments. Derivative financial instruments can be a cost and capital effective means of modifying the repricing characteristics of on-balance sheet assets and liabilities. At June 30, 2008, United was a party to interest rate swap contracts under which it pays a variable rate and receives a fixed rate, and interest rate floor contracts in which United pays a premium to a counterparty who agrees to pay United the difference between a variable rate and a strike rate if the variable rate falls below the strike rate.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the interest rate swap contracts outstanding at June 30, 2008.</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11 — Derivative Financial Instruments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2008</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Rate</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i w:val="1"/>
                <w:iCs w:val="1"/>
                <w:color w:val="auto"/>
              </w:rPr>
              <w:t>(dollars in thousands)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4"/>
              </w:rPr>
              <w:t>Notional</w:t>
            </w: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Received /</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r>
              <w:rPr>
                <w:rFonts w:ascii="Arial" w:cs="Arial" w:eastAsia="Arial" w:hAnsi="Arial"/>
                <w:sz w:val="18"/>
                <w:szCs w:val="18"/>
                <w:b w:val="1"/>
                <w:bCs w:val="1"/>
                <w:color w:val="auto"/>
              </w:rPr>
              <w:t>Type/Maturity</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7"/>
              </w:rPr>
              <w:t>Amount</w:t>
            </w: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Floor Rate</w:t>
            </w: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Rate Paid</w:t>
            </w: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w w:val="99"/>
              </w:rPr>
              <w:t>Fair Value</w:t>
            </w:r>
            <w:r>
              <w:rPr>
                <w:rFonts w:ascii="Arial" w:cs="Arial" w:eastAsia="Arial" w:hAnsi="Arial"/>
                <w:sz w:val="15"/>
                <w:szCs w:val="15"/>
                <w:b w:val="1"/>
                <w:bCs w:val="1"/>
                <w:color w:val="auto"/>
                <w:w w:val="99"/>
              </w:rPr>
              <w:t>(7)</w:t>
            </w: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Fair Value Hedges:</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00" w:type="dxa"/>
            <w:vAlign w:val="bottom"/>
          </w:tcPr>
          <w:p>
            <w:pPr>
              <w:ind w:left="200"/>
              <w:spacing w:after="0"/>
              <w:rPr>
                <w:sz w:val="20"/>
                <w:szCs w:val="20"/>
                <w:color w:val="auto"/>
              </w:rPr>
            </w:pPr>
            <w:r>
              <w:rPr>
                <w:rFonts w:ascii="Arial" w:cs="Arial" w:eastAsia="Arial" w:hAnsi="Arial"/>
                <w:sz w:val="18"/>
                <w:szCs w:val="18"/>
                <w:b w:val="1"/>
                <w:bCs w:val="1"/>
                <w:color w:val="auto"/>
              </w:rPr>
              <w:t>LIBOR Swaps (Brokered CDs)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September 29, 2008 </w:t>
            </w:r>
            <w:r>
              <w:rPr>
                <w:rFonts w:ascii="Arial" w:cs="Arial" w:eastAsia="Arial" w:hAnsi="Arial"/>
                <w:sz w:val="15"/>
                <w:szCs w:val="15"/>
                <w:color w:val="auto"/>
              </w:rPr>
              <w:t>(1)</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10,000</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5.25%</w:t>
            </w: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2.48%</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r>
      <w:tr>
        <w:trPr>
          <w:trHeight w:val="216"/>
        </w:trPr>
        <w:tc>
          <w:tcPr>
            <w:tcW w:w="4000" w:type="dxa"/>
            <w:vAlign w:val="bottom"/>
          </w:tcPr>
          <w:p>
            <w:pPr>
              <w:ind w:left="200"/>
              <w:spacing w:after="0"/>
              <w:rPr>
                <w:sz w:val="20"/>
                <w:szCs w:val="20"/>
                <w:color w:val="auto"/>
              </w:rPr>
            </w:pPr>
            <w:r>
              <w:rPr>
                <w:rFonts w:ascii="Arial" w:cs="Arial" w:eastAsia="Arial" w:hAnsi="Arial"/>
                <w:sz w:val="18"/>
                <w:szCs w:val="18"/>
                <w:color w:val="auto"/>
              </w:rPr>
              <w:t xml:space="preserve">November 3, 2008 </w:t>
            </w:r>
            <w:r>
              <w:rPr>
                <w:rFonts w:ascii="Arial" w:cs="Arial" w:eastAsia="Arial" w:hAnsi="Arial"/>
                <w:sz w:val="15"/>
                <w:szCs w:val="15"/>
                <w:color w:val="auto"/>
              </w:rPr>
              <w:t>(2)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10,000</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5.00</w:t>
            </w: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2.20</w:t>
            </w:r>
          </w:p>
        </w:tc>
        <w:tc>
          <w:tcPr>
            <w:tcW w:w="2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86</w:t>
            </w: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20,000</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5.13</w:t>
            </w: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2.34</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w:t>
            </w:r>
          </w:p>
        </w:tc>
      </w:tr>
      <w:tr>
        <w:trPr>
          <w:trHeight w:val="439"/>
        </w:trPr>
        <w:tc>
          <w:tcPr>
            <w:tcW w:w="4000" w:type="dxa"/>
            <w:vAlign w:val="bottom"/>
          </w:tcPr>
          <w:p>
            <w:pPr>
              <w:ind w:left="200"/>
              <w:spacing w:after="0"/>
              <w:rPr>
                <w:sz w:val="20"/>
                <w:szCs w:val="20"/>
                <w:color w:val="auto"/>
              </w:rPr>
            </w:pPr>
            <w:r>
              <w:rPr>
                <w:rFonts w:ascii="Arial" w:cs="Arial" w:eastAsia="Arial" w:hAnsi="Arial"/>
                <w:sz w:val="18"/>
                <w:szCs w:val="18"/>
                <w:b w:val="1"/>
                <w:bCs w:val="1"/>
                <w:color w:val="auto"/>
              </w:rPr>
              <w:t>LIBOR Swaps (FHLB Advances)</w:t>
            </w: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January 5, 2009 </w:t>
            </w:r>
            <w:r>
              <w:rPr>
                <w:rFonts w:ascii="Arial" w:cs="Arial" w:eastAsia="Arial" w:hAnsi="Arial"/>
                <w:sz w:val="15"/>
                <w:szCs w:val="15"/>
                <w:color w:val="auto"/>
              </w:rPr>
              <w:t>(3)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25,000</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5.06</w:t>
            </w: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2.36</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w:t>
            </w:r>
          </w:p>
        </w:tc>
      </w:tr>
      <w:tr>
        <w:trPr>
          <w:trHeight w:val="216"/>
        </w:trPr>
        <w:tc>
          <w:tcPr>
            <w:tcW w:w="4000" w:type="dxa"/>
            <w:vAlign w:val="bottom"/>
          </w:tcPr>
          <w:p>
            <w:pPr>
              <w:ind w:left="200"/>
              <w:spacing w:after="0"/>
              <w:rPr>
                <w:sz w:val="20"/>
                <w:szCs w:val="20"/>
                <w:color w:val="auto"/>
              </w:rPr>
            </w:pPr>
            <w:r>
              <w:rPr>
                <w:rFonts w:ascii="Arial" w:cs="Arial" w:eastAsia="Arial" w:hAnsi="Arial"/>
                <w:sz w:val="18"/>
                <w:szCs w:val="18"/>
                <w:color w:val="auto"/>
              </w:rPr>
              <w:t xml:space="preserve">March 2, 2009 </w:t>
            </w:r>
            <w:r>
              <w:rPr>
                <w:rFonts w:ascii="Arial" w:cs="Arial" w:eastAsia="Arial" w:hAnsi="Arial"/>
                <w:sz w:val="15"/>
                <w:szCs w:val="15"/>
                <w:color w:val="auto"/>
              </w:rPr>
              <w:t>(4)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25,000</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4.90</w:t>
            </w: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2.33</w:t>
            </w:r>
          </w:p>
        </w:tc>
        <w:tc>
          <w:tcPr>
            <w:tcW w:w="2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377</w:t>
            </w: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50,000</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4.98</w:t>
            </w: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2.35</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682</w:t>
            </w:r>
          </w:p>
        </w:tc>
      </w:tr>
      <w:tr>
        <w:trPr>
          <w:trHeight w:val="230"/>
        </w:trPr>
        <w:tc>
          <w:tcPr>
            <w:tcW w:w="4000" w:type="dxa"/>
            <w:vAlign w:val="bottom"/>
          </w:tcPr>
          <w:p>
            <w:pPr>
              <w:ind w:left="400"/>
              <w:spacing w:after="0"/>
              <w:rPr>
                <w:sz w:val="20"/>
                <w:szCs w:val="20"/>
                <w:color w:val="auto"/>
              </w:rPr>
            </w:pPr>
            <w:r>
              <w:rPr>
                <w:rFonts w:ascii="Arial" w:cs="Arial" w:eastAsia="Arial" w:hAnsi="Arial"/>
                <w:sz w:val="18"/>
                <w:szCs w:val="18"/>
                <w:color w:val="auto"/>
              </w:rPr>
              <w:t>Total Fair Value Hedges</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70,000</w:t>
            </w:r>
          </w:p>
        </w:tc>
        <w:tc>
          <w:tcPr>
            <w:tcW w:w="360" w:type="dxa"/>
            <w:vAlign w:val="bottom"/>
          </w:tcPr>
          <w:p>
            <w:pPr>
              <w:spacing w:after="0"/>
              <w:rPr>
                <w:sz w:val="20"/>
                <w:szCs w:val="20"/>
                <w:color w:val="auto"/>
              </w:rPr>
            </w:pPr>
          </w:p>
        </w:tc>
        <w:tc>
          <w:tcPr>
            <w:tcW w:w="92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85"/>
              </w:rPr>
              <w:t>5.02</w:t>
            </w:r>
          </w:p>
        </w:tc>
        <w:tc>
          <w:tcPr>
            <w:tcW w:w="420" w:type="dxa"/>
            <w:vAlign w:val="bottom"/>
          </w:tcPr>
          <w:p>
            <w:pPr>
              <w:spacing w:after="0"/>
              <w:rPr>
                <w:sz w:val="20"/>
                <w:szCs w:val="20"/>
                <w:color w:val="auto"/>
              </w:rPr>
            </w:pPr>
          </w:p>
        </w:tc>
        <w:tc>
          <w:tcPr>
            <w:tcW w:w="92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w w:val="79"/>
              </w:rPr>
              <w:t>2.34</w:t>
            </w:r>
          </w:p>
        </w:tc>
        <w:tc>
          <w:tcPr>
            <w:tcW w:w="4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80" w:type="dxa"/>
            <w:vAlign w:val="bottom"/>
          </w:tcPr>
          <w:p>
            <w:pPr>
              <w:spacing w:after="0"/>
              <w:rPr>
                <w:sz w:val="20"/>
                <w:szCs w:val="20"/>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Hedges: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00" w:type="dxa"/>
            <w:vAlign w:val="bottom"/>
          </w:tcPr>
          <w:p>
            <w:pPr>
              <w:ind w:left="200"/>
              <w:spacing w:after="0"/>
              <w:rPr>
                <w:sz w:val="20"/>
                <w:szCs w:val="20"/>
                <w:color w:val="auto"/>
              </w:rPr>
            </w:pPr>
            <w:r>
              <w:rPr>
                <w:rFonts w:ascii="Arial" w:cs="Arial" w:eastAsia="Arial" w:hAnsi="Arial"/>
                <w:sz w:val="18"/>
                <w:szCs w:val="18"/>
                <w:b w:val="1"/>
                <w:bCs w:val="1"/>
                <w:color w:val="auto"/>
              </w:rPr>
              <w:t xml:space="preserve">Prime Swaps (Prime Loans) </w:t>
            </w:r>
            <w:r>
              <w:rPr>
                <w:rFonts w:ascii="Arial" w:cs="Arial" w:eastAsia="Arial" w:hAnsi="Arial"/>
                <w:sz w:val="15"/>
                <w:szCs w:val="15"/>
                <w:b w:val="1"/>
                <w:bCs w:val="1"/>
                <w:color w:val="auto"/>
              </w:rPr>
              <w:t>(5)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August 4, 2008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50,000</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8.32</w:t>
            </w: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w:t>
            </w:r>
          </w:p>
        </w:tc>
      </w:tr>
      <w:tr>
        <w:trPr>
          <w:trHeight w:val="216"/>
        </w:trPr>
        <w:tc>
          <w:tcPr>
            <w:tcW w:w="4000" w:type="dxa"/>
            <w:vAlign w:val="bottom"/>
          </w:tcPr>
          <w:p>
            <w:pPr>
              <w:ind w:left="200"/>
              <w:spacing w:after="0"/>
              <w:rPr>
                <w:sz w:val="20"/>
                <w:szCs w:val="20"/>
                <w:color w:val="auto"/>
              </w:rPr>
            </w:pPr>
            <w:r>
              <w:rPr>
                <w:rFonts w:ascii="Arial" w:cs="Arial" w:eastAsia="Arial" w:hAnsi="Arial"/>
                <w:sz w:val="18"/>
                <w:szCs w:val="18"/>
                <w:color w:val="auto"/>
              </w:rPr>
              <w:t>November 4, 2008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100,000</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8.32</w:t>
            </w: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987</w:t>
            </w:r>
          </w:p>
        </w:tc>
      </w:tr>
      <w:tr>
        <w:trPr>
          <w:trHeight w:val="216"/>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February 1, 2009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25,000</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8.31</w:t>
            </w: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w:t>
            </w:r>
          </w:p>
        </w:tc>
      </w:tr>
      <w:tr>
        <w:trPr>
          <w:trHeight w:val="216"/>
        </w:trPr>
        <w:tc>
          <w:tcPr>
            <w:tcW w:w="4000" w:type="dxa"/>
            <w:vAlign w:val="bottom"/>
          </w:tcPr>
          <w:p>
            <w:pPr>
              <w:ind w:left="200"/>
              <w:spacing w:after="0"/>
              <w:rPr>
                <w:sz w:val="20"/>
                <w:szCs w:val="20"/>
                <w:color w:val="auto"/>
              </w:rPr>
            </w:pPr>
            <w:r>
              <w:rPr>
                <w:rFonts w:ascii="Arial" w:cs="Arial" w:eastAsia="Arial" w:hAnsi="Arial"/>
                <w:sz w:val="18"/>
                <w:szCs w:val="18"/>
                <w:color w:val="auto"/>
              </w:rPr>
              <w:t>May 4, 2009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30,000</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8.29</w:t>
            </w: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681</w:t>
            </w:r>
          </w:p>
        </w:tc>
      </w:tr>
      <w:tr>
        <w:trPr>
          <w:trHeight w:val="216"/>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June 9, 2010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100,000</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5.82</w:t>
            </w: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w:t>
            </w:r>
          </w:p>
        </w:tc>
      </w:tr>
      <w:tr>
        <w:trPr>
          <w:trHeight w:val="216"/>
        </w:trPr>
        <w:tc>
          <w:tcPr>
            <w:tcW w:w="4000" w:type="dxa"/>
            <w:vAlign w:val="bottom"/>
          </w:tcPr>
          <w:p>
            <w:pPr>
              <w:ind w:left="200"/>
              <w:spacing w:after="0"/>
              <w:rPr>
                <w:sz w:val="20"/>
                <w:szCs w:val="20"/>
                <w:color w:val="auto"/>
              </w:rPr>
            </w:pPr>
            <w:r>
              <w:rPr>
                <w:rFonts w:ascii="Arial" w:cs="Arial" w:eastAsia="Arial" w:hAnsi="Arial"/>
                <w:sz w:val="18"/>
                <w:szCs w:val="18"/>
                <w:color w:val="auto"/>
              </w:rPr>
              <w:t>June 11, 2010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25,000</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8.26</w:t>
            </w: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1,100</w:t>
            </w:r>
          </w:p>
        </w:tc>
      </w:tr>
      <w:tr>
        <w:trPr>
          <w:trHeight w:val="216"/>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June 13, 2011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25,000</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6.72</w:t>
            </w: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w:t>
            </w:r>
          </w:p>
        </w:tc>
      </w:tr>
      <w:tr>
        <w:trPr>
          <w:trHeight w:val="216"/>
        </w:trPr>
        <w:tc>
          <w:tcPr>
            <w:tcW w:w="4000" w:type="dxa"/>
            <w:vAlign w:val="bottom"/>
          </w:tcPr>
          <w:p>
            <w:pPr>
              <w:ind w:left="200"/>
              <w:spacing w:after="0"/>
              <w:rPr>
                <w:sz w:val="20"/>
                <w:szCs w:val="20"/>
                <w:color w:val="auto"/>
              </w:rPr>
            </w:pPr>
            <w:r>
              <w:rPr>
                <w:rFonts w:ascii="Arial" w:cs="Arial" w:eastAsia="Arial" w:hAnsi="Arial"/>
                <w:sz w:val="18"/>
                <w:szCs w:val="18"/>
                <w:color w:val="auto"/>
              </w:rPr>
              <w:t>December 12, 2011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25,000</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6.86</w:t>
            </w: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178</w:t>
            </w:r>
          </w:p>
        </w:tc>
      </w:tr>
      <w:tr>
        <w:trPr>
          <w:trHeight w:val="216"/>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2, 2012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100,000</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6.71</w:t>
            </w: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r>
      <w:tr>
        <w:trPr>
          <w:trHeight w:val="216"/>
        </w:trPr>
        <w:tc>
          <w:tcPr>
            <w:tcW w:w="4000" w:type="dxa"/>
            <w:vAlign w:val="bottom"/>
          </w:tcPr>
          <w:p>
            <w:pPr>
              <w:ind w:left="200"/>
              <w:spacing w:after="0"/>
              <w:rPr>
                <w:sz w:val="20"/>
                <w:szCs w:val="20"/>
                <w:color w:val="auto"/>
              </w:rPr>
            </w:pPr>
            <w:r>
              <w:rPr>
                <w:rFonts w:ascii="Arial" w:cs="Arial" w:eastAsia="Arial" w:hAnsi="Arial"/>
                <w:sz w:val="18"/>
                <w:szCs w:val="18"/>
                <w:color w:val="auto"/>
              </w:rPr>
              <w:t>March 12, 2012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50,000</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6.87</w:t>
            </w: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630</w:t>
            </w:r>
          </w:p>
        </w:tc>
      </w:tr>
      <w:tr>
        <w:trPr>
          <w:trHeight w:val="216"/>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March 27, 2012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50,000</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6.76</w:t>
            </w: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434</w:t>
            </w:r>
          </w:p>
        </w:tc>
      </w:tr>
      <w:tr>
        <w:trPr>
          <w:trHeight w:val="216"/>
        </w:trPr>
        <w:tc>
          <w:tcPr>
            <w:tcW w:w="4000" w:type="dxa"/>
            <w:vAlign w:val="bottom"/>
          </w:tcPr>
          <w:p>
            <w:pPr>
              <w:ind w:left="200"/>
              <w:spacing w:after="0"/>
              <w:rPr>
                <w:sz w:val="20"/>
                <w:szCs w:val="20"/>
                <w:color w:val="auto"/>
              </w:rPr>
            </w:pPr>
            <w:r>
              <w:rPr>
                <w:rFonts w:ascii="Arial" w:cs="Arial" w:eastAsia="Arial" w:hAnsi="Arial"/>
                <w:sz w:val="18"/>
                <w:szCs w:val="18"/>
                <w:color w:val="auto"/>
              </w:rPr>
              <w:t>March 27, 2012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50,000</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6.72</w:t>
            </w: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340</w:t>
            </w:r>
          </w:p>
        </w:tc>
      </w:tr>
      <w:tr>
        <w:trPr>
          <w:trHeight w:val="216"/>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31, 2013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50,000</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6.26</w:t>
            </w: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(807)</w:t>
            </w:r>
          </w:p>
        </w:tc>
      </w:tr>
      <w:tr>
        <w:trPr>
          <w:trHeight w:val="216"/>
        </w:trPr>
        <w:tc>
          <w:tcPr>
            <w:tcW w:w="4000" w:type="dxa"/>
            <w:vAlign w:val="bottom"/>
          </w:tcPr>
          <w:p>
            <w:pPr>
              <w:ind w:left="200"/>
              <w:spacing w:after="0"/>
              <w:rPr>
                <w:sz w:val="20"/>
                <w:szCs w:val="20"/>
                <w:color w:val="auto"/>
              </w:rPr>
            </w:pPr>
            <w:r>
              <w:rPr>
                <w:rFonts w:ascii="Arial" w:cs="Arial" w:eastAsia="Arial" w:hAnsi="Arial"/>
                <w:sz w:val="18"/>
                <w:szCs w:val="18"/>
                <w:color w:val="auto"/>
              </w:rPr>
              <w:t>May 6, 2013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50,000</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7.21</w:t>
            </w: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898</w:t>
            </w: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730,000</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7.12</w:t>
            </w: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5,123</w:t>
            </w:r>
          </w:p>
        </w:tc>
      </w:tr>
      <w:tr>
        <w:trPr>
          <w:trHeight w:val="439"/>
        </w:trPr>
        <w:tc>
          <w:tcPr>
            <w:tcW w:w="4000" w:type="dxa"/>
            <w:vAlign w:val="bottom"/>
          </w:tcPr>
          <w:p>
            <w:pPr>
              <w:ind w:left="200"/>
              <w:spacing w:after="0"/>
              <w:rPr>
                <w:sz w:val="20"/>
                <w:szCs w:val="20"/>
                <w:color w:val="auto"/>
              </w:rPr>
            </w:pPr>
            <w:r>
              <w:rPr>
                <w:rFonts w:ascii="Arial" w:cs="Arial" w:eastAsia="Arial" w:hAnsi="Arial"/>
                <w:sz w:val="18"/>
                <w:szCs w:val="18"/>
                <w:b w:val="1"/>
                <w:bCs w:val="1"/>
                <w:color w:val="auto"/>
              </w:rPr>
              <w:t xml:space="preserve">Prime Floors (Prime Loans) </w:t>
            </w:r>
            <w:r>
              <w:rPr>
                <w:rFonts w:ascii="Arial" w:cs="Arial" w:eastAsia="Arial" w:hAnsi="Arial"/>
                <w:sz w:val="15"/>
                <w:szCs w:val="15"/>
                <w:b w:val="1"/>
                <w:bCs w:val="1"/>
                <w:color w:val="auto"/>
              </w:rPr>
              <w:t>(6)</w:t>
            </w: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February 1, 2009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25,000</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8.75</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510</w:t>
            </w:r>
          </w:p>
        </w:tc>
      </w:tr>
      <w:tr>
        <w:trPr>
          <w:trHeight w:val="216"/>
        </w:trPr>
        <w:tc>
          <w:tcPr>
            <w:tcW w:w="4000" w:type="dxa"/>
            <w:vAlign w:val="bottom"/>
          </w:tcPr>
          <w:p>
            <w:pPr>
              <w:ind w:left="200"/>
              <w:spacing w:after="0"/>
              <w:rPr>
                <w:sz w:val="20"/>
                <w:szCs w:val="20"/>
                <w:color w:val="auto"/>
              </w:rPr>
            </w:pPr>
            <w:r>
              <w:rPr>
                <w:rFonts w:ascii="Arial" w:cs="Arial" w:eastAsia="Arial" w:hAnsi="Arial"/>
                <w:sz w:val="18"/>
                <w:szCs w:val="18"/>
                <w:color w:val="auto"/>
              </w:rPr>
              <w:t>May 1, 2009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25,000</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8.75</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694</w:t>
            </w:r>
          </w:p>
        </w:tc>
      </w:tr>
      <w:tr>
        <w:trPr>
          <w:trHeight w:val="216"/>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August 1, 2009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75,000</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8.75</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2,619</w:t>
            </w:r>
          </w:p>
        </w:tc>
      </w:tr>
      <w:tr>
        <w:trPr>
          <w:trHeight w:val="216"/>
        </w:trPr>
        <w:tc>
          <w:tcPr>
            <w:tcW w:w="4000" w:type="dxa"/>
            <w:vAlign w:val="bottom"/>
          </w:tcPr>
          <w:p>
            <w:pPr>
              <w:ind w:left="200"/>
              <w:spacing w:after="0"/>
              <w:rPr>
                <w:sz w:val="20"/>
                <w:szCs w:val="20"/>
                <w:color w:val="auto"/>
              </w:rPr>
            </w:pPr>
            <w:r>
              <w:rPr>
                <w:rFonts w:ascii="Arial" w:cs="Arial" w:eastAsia="Arial" w:hAnsi="Arial"/>
                <w:sz w:val="18"/>
                <w:szCs w:val="18"/>
                <w:color w:val="auto"/>
              </w:rPr>
              <w:t>November 1, 2009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75,000</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8.75</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3,090</w:t>
            </w:r>
          </w:p>
        </w:tc>
      </w:tr>
      <w:tr>
        <w:trPr>
          <w:trHeight w:val="216"/>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February 4, 2010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100,000</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8.75</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4,692</w:t>
            </w:r>
          </w:p>
        </w:tc>
      </w:tr>
      <w:tr>
        <w:trPr>
          <w:trHeight w:val="216"/>
        </w:trPr>
        <w:tc>
          <w:tcPr>
            <w:tcW w:w="4000" w:type="dxa"/>
            <w:vAlign w:val="bottom"/>
          </w:tcPr>
          <w:p>
            <w:pPr>
              <w:ind w:left="200"/>
              <w:spacing w:after="0"/>
              <w:rPr>
                <w:sz w:val="20"/>
                <w:szCs w:val="20"/>
                <w:color w:val="auto"/>
              </w:rPr>
            </w:pPr>
            <w:r>
              <w:rPr>
                <w:rFonts w:ascii="Arial" w:cs="Arial" w:eastAsia="Arial" w:hAnsi="Arial"/>
                <w:sz w:val="18"/>
                <w:szCs w:val="18"/>
                <w:color w:val="auto"/>
              </w:rPr>
              <w:t>May 4, 2010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100,000</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8.75</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5,172</w:t>
            </w:r>
          </w:p>
        </w:tc>
      </w:tr>
      <w:tr>
        <w:trPr>
          <w:trHeight w:val="216"/>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August 1, 2010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50,000</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8.75</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2,811</w:t>
            </w:r>
          </w:p>
        </w:tc>
      </w:tr>
      <w:tr>
        <w:trPr>
          <w:trHeight w:val="216"/>
        </w:trPr>
        <w:tc>
          <w:tcPr>
            <w:tcW w:w="4000" w:type="dxa"/>
            <w:vAlign w:val="bottom"/>
          </w:tcPr>
          <w:p>
            <w:pPr>
              <w:ind w:left="200"/>
              <w:spacing w:after="0"/>
              <w:rPr>
                <w:sz w:val="20"/>
                <w:szCs w:val="20"/>
                <w:color w:val="auto"/>
              </w:rPr>
            </w:pPr>
            <w:r>
              <w:rPr>
                <w:rFonts w:ascii="Arial" w:cs="Arial" w:eastAsia="Arial" w:hAnsi="Arial"/>
                <w:sz w:val="18"/>
                <w:szCs w:val="18"/>
                <w:color w:val="auto"/>
              </w:rPr>
              <w:t>August 4, 2010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50,000</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8.75</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2,815</w:t>
            </w: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500,000</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22,403</w:t>
            </w:r>
          </w:p>
        </w:tc>
      </w:tr>
      <w:tr>
        <w:trPr>
          <w:trHeight w:val="230"/>
        </w:trPr>
        <w:tc>
          <w:tcPr>
            <w:tcW w:w="4000" w:type="dxa"/>
            <w:vAlign w:val="bottom"/>
          </w:tcPr>
          <w:p>
            <w:pPr>
              <w:ind w:left="400"/>
              <w:spacing w:after="0"/>
              <w:rPr>
                <w:sz w:val="20"/>
                <w:szCs w:val="20"/>
                <w:color w:val="auto"/>
              </w:rPr>
            </w:pPr>
            <w:r>
              <w:rPr>
                <w:rFonts w:ascii="Arial" w:cs="Arial" w:eastAsia="Arial" w:hAnsi="Arial"/>
                <w:sz w:val="18"/>
                <w:szCs w:val="18"/>
                <w:color w:val="auto"/>
              </w:rPr>
              <w:t>Total Cash Flow Hedges:</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1,230,000</w:t>
            </w: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27,526</w:t>
            </w:r>
          </w:p>
        </w:tc>
        <w:tc>
          <w:tcPr>
            <w:tcW w:w="80" w:type="dxa"/>
            <w:vAlign w:val="bottom"/>
          </w:tcPr>
          <w:p>
            <w:pPr>
              <w:spacing w:after="0"/>
              <w:rPr>
                <w:sz w:val="20"/>
                <w:szCs w:val="20"/>
                <w:color w:val="auto"/>
              </w:rPr>
            </w:pPr>
          </w:p>
        </w:tc>
      </w:tr>
      <w:tr>
        <w:trPr>
          <w:trHeight w:val="216"/>
        </w:trPr>
        <w:tc>
          <w:tcPr>
            <w:tcW w:w="400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Total Derivative Contracts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1,300,000</w:t>
            </w: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28,356</w:t>
            </w:r>
          </w:p>
        </w:tc>
      </w:tr>
      <w:tr>
        <w:trPr>
          <w:trHeight w:val="20"/>
        </w:trPr>
        <w:tc>
          <w:tcPr>
            <w:tcW w:w="4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hanging="348"/>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Rate Paid equals 1-Month LIBOR minus .0075</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Rate Paid equals 1-Month LIBOR minus .2725</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Rate Paid equals 1-Month LIBOR minus .1101</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Rate Paid equals 1-Month LIBOR minus .1280</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Rate Paid equals Prime rate as of June 30, 2008</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Floor contracts receive cash payments equal to the floor rate less the prime rate.</w:t>
      </w:r>
    </w:p>
    <w:p>
      <w:pPr>
        <w:spacing w:after="0" w:line="76" w:lineRule="exact"/>
        <w:rPr>
          <w:rFonts w:ascii="Arial" w:cs="Arial" w:eastAsia="Arial" w:hAnsi="Arial"/>
          <w:sz w:val="18"/>
          <w:szCs w:val="18"/>
          <w:color w:val="auto"/>
        </w:rPr>
      </w:pPr>
    </w:p>
    <w:p>
      <w:pPr>
        <w:ind w:left="680" w:hanging="348"/>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accrued interest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United’s derivative financial instruments are classified as either cash flow or fair value hedges. The change in fair value of cash flow hedges is recognized in other comprehensive income. Fair value hedges recognize currently in earnings both the effect of the change in the fair value of the derivative financial instrument and the offsetting effect of the change in fair value of the hedged asset or liability associated with the particular risk of that asset or liability being hedged. At June 30, 2008, United had interest rate swap contracts with a total notional amount of $730 million that were designated as cash flow hedges of prime-based loans. United had interest rate floor contracts with a total notional of $500 million that were also designated as cash flow hedges of prime-based loans. United also had receive fixed, pay LIBOR swap contracts with a total notional of $70 million that were accounted for as fair value hedges of brokered deposits and fixed-rate FHLB advances.</w:t>
      </w:r>
    </w:p>
    <w:p>
      <w:pPr>
        <w:spacing w:after="0" w:line="152"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United’s policy requires all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minimal and should not have any material unintended effect on the financial condition or results of operations. In order to mitigate potential credit risk, from time to time United may require the counterparties to derivative contracts to pledge securities as collateral to cover the net exposure.</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Management</w:t>
      </w:r>
    </w:p>
    <w:p>
      <w:pPr>
        <w:spacing w:after="0" w:line="189"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The objective of liquidity management is to ensure that sufficient funding is available, at reasonable cost, to meet the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Liquidity is defined as the ability to convert assets into cash or cash equivalents without significant loss and to raise additional funds by increasing liabilities. Liquidity management involves maintaining United’s ability to meet the daily cash flow requirements of the Banks’ customers, both depositors and borrowers.</w:t>
      </w:r>
    </w:p>
    <w:p>
      <w:pPr>
        <w:spacing w:after="0" w:line="138"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Two key objectives of asset/liability management are to provide for adequate liquidity in order to meet the needs of customers and to maintain an optimal balance between interest-sensitive assets and interest-sensitive liabilities to optimize net interest revenue. Daily monitoring of the sources and uses of funds is necessary to maintain a position that meets both requirements.</w:t>
      </w:r>
    </w:p>
    <w:p>
      <w:pPr>
        <w:spacing w:after="0" w:line="146"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asset portion of the balance sheet provides liquidity primarily through loan principal repayments and the maturities and sales of securities. Mortgage loans held for sale totaled $27 million at June 30, 2008, and typically turn over every 45 days as the closed loans are sold to investors in the secondary market.</w:t>
      </w:r>
    </w:p>
    <w:p>
      <w:pPr>
        <w:spacing w:after="0" w:line="141"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liability section of the balance sheet provides liquidity through interest-bearing and noninterest-bearing deposit accounts. Federal funds purchased, Federal Reserve short-term borrowings, FHLB advances and securities sold under agreements to repurchase are additional sources of liquidity and represent United’s incremental borrowing capacity. These sources of liquidity are generally short-term in nature and are used as necessary to fund asset growth and meet other short-term liquidity needs.</w:t>
      </w:r>
    </w:p>
    <w:p>
      <w:pPr>
        <w:spacing w:after="0" w:line="161"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United had sufficient qualifying collateral to increase FHLB advances by $915 million at June 30, 2008. United’s internal policy limits brokered deposits to 25% of total non-brokered deposits. At June 30, 2008, United had the capacity to increase brokered deposits by $1.0 billion and still remain within this limit. Also, United had sufficient qualifying assets pledged to the Federal Reserve under the Term Auction Facility to increase short-term borrowings by $479 million and federal funds lines available of $445 million.</w:t>
      </w:r>
    </w:p>
    <w:p>
      <w:pPr>
        <w:spacing w:after="0" w:line="148"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As disclosed in United’s consolidated statement of cash flows, net cash provided by operating activities was $67.1 million for the six months ended June 30, 2008. The major contributors in this category were net income of $23.2 million, plus non-cash expenses for depreciation, amortization and accretion of $7.2 million, provision for loan losses of $23.0 million, stock based compensation of $1.9 million, and a net increase in accrued expenses and other liabilities of $25.3 million, offset by an increase in other assets and accrued interest receivable of $14.1 million. Net cash used by investing activities of $128.7 million consisted primarily of a net increase in loans totaling $65.1 million, purchases of premises and equipment of $7.3 million, and $511.6 million used to purchase investment securities, partially offset by proceeds from sales of securities of $79.7 million, maturities and calls of investment securities of $344.6 million, and sales of other real estate of $30.6 million. Net cash provided by financing activities of $30.7 million consisted primarily of a net increase in deposits of $620.5 million offset by a net decrease of $349.8 million in federal funds purchased, repurchase agreements, and other short-term borrowings, a net decrease in FHLB advances of $234.0 million, and cash dividends paid of $8.5 million. In the opinion of management, the liquidity position at June 30, 2008 is sufficient to meet its expected cash flow requirements.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Capital Resources and Dividends</w:t>
      </w:r>
    </w:p>
    <w:p>
      <w:pPr>
        <w:spacing w:after="0" w:line="202" w:lineRule="exact"/>
        <w:rPr>
          <w:sz w:val="20"/>
          <w:szCs w:val="20"/>
          <w:color w:val="auto"/>
        </w:rPr>
      </w:pPr>
    </w:p>
    <w:p>
      <w:pPr>
        <w:jc w:val="both"/>
        <w:ind w:left="340" w:right="559" w:firstLine="373"/>
        <w:spacing w:after="0" w:line="289" w:lineRule="auto"/>
        <w:rPr>
          <w:sz w:val="20"/>
          <w:szCs w:val="20"/>
          <w:color w:val="auto"/>
        </w:rPr>
      </w:pPr>
      <w:r>
        <w:rPr>
          <w:rFonts w:ascii="Arial" w:cs="Arial" w:eastAsia="Arial" w:hAnsi="Arial"/>
          <w:sz w:val="16"/>
          <w:szCs w:val="16"/>
          <w:color w:val="auto"/>
        </w:rPr>
        <w:t>Shareholders’ equity at June 30, 2008 was $837.9 million, an increase of $6.0 million from December 31, 2007. Accumulated other comprehensive income (loss) is not included in the calculation of regulatory capital adequacy ratios. Excluding the change in the accumulated other comprehensive income (loss), shareholders’ equity increased $19.9 million from December 31, 2007. Dividends of $8.5 million, or $.18 per share, were declared on common stock during the first six months of 2008, an increase of 2% from the amount declared in the same period in 2007 due to an increase in the number of outstanding shares since the dividend rate remained unchanged. The dividend payout ratio was 60% for the second quarter of 2008, compared to 19% for the second quarter of 2007. Although, United retains a portion of its earnings in order to provide a cost effective source of capital for continued growth and expansion, United recognizes that cash dividends are an important component of shareholder value, and therefore, provides for cash dividends when earnings and capital levels permit.</w:t>
      </w:r>
    </w:p>
    <w:p>
      <w:pPr>
        <w:spacing w:after="0" w:line="126"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United’s Board of Directors has authorized the repurchase of United’s outstanding common stock for general corporate purposes. At June 30, 2008, 1,000,000 shares remained available to be repurchased under the current 3,000,000 share authorization through December 31, 2008. During the first six months of 2008, optionees delivered 5,179 shares to exercise stock options.</w:t>
      </w:r>
    </w:p>
    <w:p>
      <w:pPr>
        <w:spacing w:after="0" w:line="146"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United’s common stock trades on the Nasdaq Global Select Market under the symbol “UCBI”. Below is a quarterly schedule of high, low and closing stock prices and average daily volume for 2008 and 2007.</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Table 12 — Stock Price Information</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w w:val="94"/>
              </w:rPr>
              <w:t>2008</w:t>
            </w: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w w:val="94"/>
              </w:rPr>
              <w:t>2007</w:t>
            </w: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7"/>
              </w:rPr>
              <w:t>Avg Daily</w:t>
            </w: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7"/>
              </w:rPr>
              <w:t>Avg Daily</w:t>
            </w:r>
          </w:p>
        </w:tc>
        <w:tc>
          <w:tcPr>
            <w:tcW w:w="80" w:type="dxa"/>
            <w:vAlign w:val="bottom"/>
          </w:tcPr>
          <w:p>
            <w:pPr>
              <w:spacing w:after="0"/>
              <w:rPr>
                <w:sz w:val="16"/>
                <w:szCs w:val="16"/>
                <w:color w:val="auto"/>
              </w:rPr>
            </w:pPr>
          </w:p>
        </w:tc>
      </w:tr>
      <w:tr>
        <w:trPr>
          <w:trHeight w:val="234"/>
        </w:trPr>
        <w:tc>
          <w:tcPr>
            <w:tcW w:w="202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b w:val="1"/>
                <w:bCs w:val="1"/>
                <w:color w:val="auto"/>
              </w:rPr>
              <w:t>High</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Low</w:t>
            </w:r>
          </w:p>
        </w:tc>
        <w:tc>
          <w:tcPr>
            <w:tcW w:w="30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Close</w:t>
            </w: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Volume</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High</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Low</w:t>
            </w:r>
          </w:p>
        </w:tc>
        <w:tc>
          <w:tcPr>
            <w:tcW w:w="30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Close</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8"/>
              </w:rPr>
              <w:t>Volume</w:t>
            </w:r>
          </w:p>
        </w:tc>
      </w:tr>
      <w:tr>
        <w:trPr>
          <w:trHeight w:val="210"/>
        </w:trPr>
        <w:tc>
          <w:tcPr>
            <w:tcW w:w="20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$ 20.80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$ 13.38</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$ 16.98</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441,659</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$ 34.98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$ 30.81</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$ 32.79</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232,269</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Second quarter</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18.51</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8.51</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8.53</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464,566</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33.03</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25.80</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25.89</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266,682</w:t>
            </w: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27.50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22.16</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24.52</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346,596</w:t>
            </w: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Fourth quarter</w:t>
            </w: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25.73</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15.13</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15.80</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421,910</w:t>
            </w:r>
          </w:p>
        </w:tc>
      </w:tr>
    </w:tbl>
    <w:p>
      <w:pPr>
        <w:spacing w:after="0" w:line="147"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following table presents the quarterly cash dividends declared in 2008 and 2007 and the respective payout ratios as a percentage of basic operating earnings per share, which excludes special fraud related provisions for loan losses in the second and fourth quarters of 2007.</w:t>
      </w:r>
    </w:p>
    <w:p>
      <w:pPr>
        <w:spacing w:after="0" w:line="13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r>
              <w:rPr>
                <w:rFonts w:ascii="Arial" w:cs="Arial" w:eastAsia="Arial" w:hAnsi="Arial"/>
                <w:sz w:val="18"/>
                <w:szCs w:val="18"/>
                <w:b w:val="1"/>
                <w:bCs w:val="1"/>
                <w:color w:val="auto"/>
              </w:rPr>
              <w:t>Table 13 — Dividend Payout Information</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2008</w:t>
            </w:r>
          </w:p>
        </w:tc>
        <w:tc>
          <w:tcPr>
            <w:tcW w:w="94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2007</w:t>
            </w: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4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Dividend</w:t>
            </w:r>
          </w:p>
        </w:tc>
        <w:tc>
          <w:tcPr>
            <w:tcW w:w="380" w:type="dxa"/>
            <w:vAlign w:val="bottom"/>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Payout %</w:t>
            </w: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2"/>
              </w:rPr>
              <w:t>Dividend</w:t>
            </w:r>
          </w:p>
        </w:tc>
        <w:tc>
          <w:tcPr>
            <w:tcW w:w="340" w:type="dxa"/>
            <w:vAlign w:val="bottom"/>
          </w:tcPr>
          <w:p>
            <w:pPr>
              <w:spacing w:after="0"/>
              <w:rPr>
                <w:sz w:val="18"/>
                <w:szCs w:val="18"/>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Payout %</w:t>
            </w:r>
          </w:p>
        </w:tc>
        <w:tc>
          <w:tcPr>
            <w:tcW w:w="80" w:type="dxa"/>
            <w:vAlign w:val="bottom"/>
          </w:tcPr>
          <w:p>
            <w:pPr>
              <w:spacing w:after="0"/>
              <w:rPr>
                <w:sz w:val="18"/>
                <w:szCs w:val="18"/>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w:t>
            </w:r>
          </w:p>
        </w:tc>
        <w:tc>
          <w:tcPr>
            <w:tcW w:w="10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20</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Second quarter</w:t>
            </w: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.09</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.09</w:t>
            </w:r>
          </w:p>
        </w:tc>
        <w:tc>
          <w:tcPr>
            <w:tcW w:w="1000" w:type="dxa"/>
            <w:vAlign w:val="bottom"/>
            <w:gridSpan w:val="2"/>
          </w:tcPr>
          <w:p>
            <w:pPr>
              <w:ind w:left="740"/>
              <w:spacing w:after="0"/>
              <w:rPr>
                <w:sz w:val="20"/>
                <w:szCs w:val="20"/>
                <w:color w:val="auto"/>
              </w:rPr>
            </w:pPr>
            <w:r>
              <w:rPr>
                <w:rFonts w:ascii="Arial" w:cs="Arial" w:eastAsia="Arial" w:hAnsi="Arial"/>
                <w:sz w:val="18"/>
                <w:szCs w:val="18"/>
                <w:color w:val="auto"/>
                <w:w w:val="92"/>
              </w:rPr>
              <w:t>19</w:t>
            </w:r>
            <w:r>
              <w:rPr>
                <w:rFonts w:ascii="Arial" w:cs="Arial" w:eastAsia="Arial" w:hAnsi="Arial"/>
                <w:sz w:val="15"/>
                <w:szCs w:val="15"/>
                <w:color w:val="auto"/>
                <w:w w:val="92"/>
              </w:rPr>
              <w:t>*</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w:t>
            </w:r>
          </w:p>
        </w:tc>
        <w:tc>
          <w:tcPr>
            <w:tcW w:w="10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19</w:t>
            </w:r>
          </w:p>
        </w:tc>
      </w:tr>
      <w:tr>
        <w:trPr>
          <w:trHeight w:val="235"/>
        </w:trPr>
        <w:tc>
          <w:tcPr>
            <w:tcW w:w="4400" w:type="dxa"/>
            <w:vAlign w:val="bottom"/>
          </w:tcPr>
          <w:p>
            <w:pPr>
              <w:spacing w:after="0"/>
              <w:rPr>
                <w:sz w:val="20"/>
                <w:szCs w:val="20"/>
                <w:color w:val="auto"/>
              </w:rPr>
            </w:pPr>
            <w:r>
              <w:rPr>
                <w:rFonts w:ascii="Arial" w:cs="Arial" w:eastAsia="Arial" w:hAnsi="Arial"/>
                <w:sz w:val="18"/>
                <w:szCs w:val="18"/>
                <w:color w:val="auto"/>
              </w:rPr>
              <w:t>Fourth quarter</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.09</w:t>
            </w:r>
          </w:p>
        </w:tc>
        <w:tc>
          <w:tcPr>
            <w:tcW w:w="1000" w:type="dxa"/>
            <w:vAlign w:val="bottom"/>
            <w:gridSpan w:val="2"/>
          </w:tcPr>
          <w:p>
            <w:pPr>
              <w:ind w:left="740"/>
              <w:spacing w:after="0"/>
              <w:rPr>
                <w:sz w:val="20"/>
                <w:szCs w:val="20"/>
                <w:color w:val="auto"/>
              </w:rPr>
            </w:pPr>
            <w:r>
              <w:rPr>
                <w:rFonts w:ascii="Arial" w:cs="Arial" w:eastAsia="Arial" w:hAnsi="Arial"/>
                <w:sz w:val="18"/>
                <w:szCs w:val="18"/>
                <w:color w:val="auto"/>
                <w:w w:val="92"/>
              </w:rPr>
              <w:t>69</w:t>
            </w:r>
            <w:r>
              <w:rPr>
                <w:rFonts w:ascii="Arial" w:cs="Arial" w:eastAsia="Arial" w:hAnsi="Arial"/>
                <w:sz w:val="15"/>
                <w:szCs w:val="15"/>
                <w:color w:val="auto"/>
                <w:w w:val="92"/>
              </w:rPr>
              <w:t>*</w:t>
            </w:r>
          </w:p>
        </w:tc>
      </w:tr>
    </w:tbl>
    <w:p>
      <w:pPr>
        <w:spacing w:after="0" w:line="88" w:lineRule="exact"/>
        <w:rPr>
          <w:sz w:val="20"/>
          <w:szCs w:val="20"/>
          <w:color w:val="auto"/>
        </w:rPr>
      </w:pPr>
    </w:p>
    <w:p>
      <w:pPr>
        <w:jc w:val="both"/>
        <w:ind w:left="680" w:right="559" w:hanging="348"/>
        <w:spacing w:after="0" w:line="286" w:lineRule="auto"/>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basic operating earnings per share which excludes the effect of the $15 million special fraud-related provision for loan losses in the second quarter of 2007 and $3 million in the fourth quarter of 2007. Including the special provisions, the dividend payout ratio was 35% and 100%, respectively, for the second and fourth quarters of 2007.</w:t>
      </w:r>
    </w:p>
    <w:p>
      <w:pPr>
        <w:spacing w:after="0" w:line="139"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The Board of Governors of the Federal Reserve System has issued guidelines for the implementation of risk-based capital requirements by U.S. banks and bank holding companies. These risk-based capital guidelines take into consideration risk factors, as defined by regulators, associated with various categories of assets, both on and off-balance sheet. Under the guidelines, capital strength is measured in two tiers that are used in conjunction with risk-adjusted assets to determine the risk based capital ratios. The guidelines require an 8% total risk-based capital ratio, of which 4% must be Tier I capital. To be considered well-capitalized under the guidelines, a 10% total risk-based capital ratio is required, of which 6% must be Tier I capital.</w:t>
      </w:r>
    </w:p>
    <w:p>
      <w:pPr>
        <w:spacing w:after="0" w:line="124"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A minimum leverage ratio is required in addition to the risk-based capital standards and is defined as Tier I capital divided by average assets adjusted for goodwill and deposit-based intangibles. Although a minimum leverage ratio of 3% is required for the highest-rated bank holding companies which are not undertaking significant expansion programs, the Federal Reserve Board requires a bank holding company to maintain a leverage ratio greater than 3% if it is experiencing or anticipating significant growth or is operating with less than well-diversified risks in the opinion of the Federal Reserve Board. The Federal Reserve Board uses the leverage and risk-based capital ratios to assess capital adequacy of banks and bank holding companies.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shows United’s capital ratios, as calculated under regulatory guidelines, at June 30, 2008 and 2007.</w:t>
      </w:r>
    </w:p>
    <w:p>
      <w:pPr>
        <w:spacing w:after="0" w:line="20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Arial" w:cs="Arial" w:eastAsia="Arial" w:hAnsi="Arial"/>
                <w:sz w:val="18"/>
                <w:szCs w:val="18"/>
                <w:b w:val="1"/>
                <w:bCs w:val="1"/>
                <w:color w:val="auto"/>
              </w:rPr>
              <w:t>Table 14 — Capital Ratios</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4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2008</w:t>
            </w: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2007</w:t>
            </w: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91"/>
        </w:trPr>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right"/>
              <w:ind w:right="620"/>
              <w:spacing w:after="0" w:line="191" w:lineRule="exact"/>
              <w:rPr>
                <w:sz w:val="20"/>
                <w:szCs w:val="20"/>
                <w:color w:val="auto"/>
              </w:rPr>
            </w:pPr>
            <w:r>
              <w:rPr>
                <w:rFonts w:ascii="Arial" w:cs="Arial" w:eastAsia="Arial" w:hAnsi="Arial"/>
                <w:sz w:val="18"/>
                <w:szCs w:val="18"/>
                <w:b w:val="1"/>
                <w:bCs w:val="1"/>
                <w:color w:val="auto"/>
              </w:rPr>
              <w:t>Actual</w:t>
            </w:r>
          </w:p>
        </w:tc>
        <w:tc>
          <w:tcPr>
            <w:tcW w:w="940" w:type="dxa"/>
            <w:vAlign w:val="bottom"/>
            <w:gridSpan w:val="2"/>
          </w:tcPr>
          <w:p>
            <w:pPr>
              <w:ind w:left="40"/>
              <w:spacing w:after="0" w:line="191" w:lineRule="exact"/>
              <w:rPr>
                <w:sz w:val="20"/>
                <w:szCs w:val="20"/>
                <w:color w:val="auto"/>
              </w:rPr>
            </w:pPr>
            <w:r>
              <w:rPr>
                <w:rFonts w:ascii="Arial" w:cs="Arial" w:eastAsia="Arial" w:hAnsi="Arial"/>
                <w:sz w:val="18"/>
                <w:szCs w:val="18"/>
                <w:b w:val="1"/>
                <w:bCs w:val="1"/>
                <w:color w:val="auto"/>
                <w:w w:val="93"/>
              </w:rPr>
              <w:t>Regulatory</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600"/>
              <w:spacing w:after="0" w:line="191" w:lineRule="exact"/>
              <w:rPr>
                <w:sz w:val="20"/>
                <w:szCs w:val="20"/>
                <w:color w:val="auto"/>
              </w:rPr>
            </w:pPr>
            <w:r>
              <w:rPr>
                <w:rFonts w:ascii="Arial" w:cs="Arial" w:eastAsia="Arial" w:hAnsi="Arial"/>
                <w:sz w:val="18"/>
                <w:szCs w:val="18"/>
                <w:b w:val="1"/>
                <w:bCs w:val="1"/>
                <w:color w:val="auto"/>
              </w:rPr>
              <w:t>Actual</w:t>
            </w:r>
          </w:p>
        </w:tc>
        <w:tc>
          <w:tcPr>
            <w:tcW w:w="940" w:type="dxa"/>
            <w:vAlign w:val="bottom"/>
            <w:gridSpan w:val="2"/>
          </w:tcPr>
          <w:p>
            <w:pPr>
              <w:ind w:left="60"/>
              <w:spacing w:after="0" w:line="191" w:lineRule="exact"/>
              <w:rPr>
                <w:sz w:val="20"/>
                <w:szCs w:val="20"/>
                <w:color w:val="auto"/>
              </w:rPr>
            </w:pPr>
            <w:r>
              <w:rPr>
                <w:rFonts w:ascii="Arial" w:cs="Arial" w:eastAsia="Arial" w:hAnsi="Arial"/>
                <w:sz w:val="18"/>
                <w:szCs w:val="18"/>
                <w:b w:val="1"/>
                <w:bCs w:val="1"/>
                <w:color w:val="auto"/>
                <w:w w:val="91"/>
              </w:rPr>
              <w:t>Regulatory</w:t>
            </w:r>
          </w:p>
        </w:tc>
        <w:tc>
          <w:tcPr>
            <w:tcW w:w="180" w:type="dxa"/>
            <w:vAlign w:val="bottom"/>
          </w:tcPr>
          <w:p>
            <w:pPr>
              <w:spacing w:after="0"/>
              <w:rPr>
                <w:sz w:val="16"/>
                <w:szCs w:val="16"/>
                <w:color w:val="auto"/>
              </w:rPr>
            </w:pPr>
          </w:p>
        </w:tc>
      </w:tr>
      <w:tr>
        <w:trPr>
          <w:trHeight w:val="234"/>
        </w:trPr>
        <w:tc>
          <w:tcPr>
            <w:tcW w:w="4160" w:type="dxa"/>
            <w:vAlign w:val="bottom"/>
          </w:tcPr>
          <w:p>
            <w:pPr>
              <w:spacing w:after="0"/>
              <w:rPr>
                <w:sz w:val="20"/>
                <w:szCs w:val="20"/>
                <w:color w:val="auto"/>
              </w:rPr>
            </w:pPr>
            <w:r>
              <w:rPr>
                <w:rFonts w:ascii="Arial" w:cs="Arial" w:eastAsia="Arial" w:hAnsi="Arial"/>
                <w:sz w:val="18"/>
                <w:szCs w:val="18"/>
                <w:i w:val="1"/>
                <w:iCs w:val="1"/>
                <w:color w:val="auto"/>
              </w:rPr>
              <w:t>(dollars in thousands)</w:t>
            </w:r>
          </w:p>
        </w:tc>
        <w:tc>
          <w:tcPr>
            <w:tcW w:w="8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260" w:type="dxa"/>
            <w:vAlign w:val="bottom"/>
            <w:gridSpan w:val="3"/>
          </w:tcPr>
          <w:p>
            <w:pPr>
              <w:ind w:left="120"/>
              <w:spacing w:after="0"/>
              <w:rPr>
                <w:sz w:val="20"/>
                <w:szCs w:val="20"/>
                <w:color w:val="auto"/>
              </w:rPr>
            </w:pPr>
            <w:r>
              <w:rPr>
                <w:rFonts w:ascii="Arial" w:cs="Arial" w:eastAsia="Arial" w:hAnsi="Arial"/>
                <w:sz w:val="18"/>
                <w:szCs w:val="18"/>
                <w:b w:val="1"/>
                <w:bCs w:val="1"/>
                <w:color w:val="auto"/>
              </w:rPr>
              <w:t>Minimum</w:t>
            </w:r>
          </w:p>
        </w:tc>
        <w:tc>
          <w:tcPr>
            <w:tcW w:w="10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Minimum</w:t>
            </w:r>
          </w:p>
        </w:tc>
      </w:tr>
      <w:tr>
        <w:trPr>
          <w:trHeight w:val="210"/>
        </w:trPr>
        <w:tc>
          <w:tcPr>
            <w:tcW w:w="4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Tier I Leverage:</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Amount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560,820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239,362</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567,478</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216,007</w:t>
            </w: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Ratio</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r>
      <w:tr>
        <w:trPr>
          <w:trHeight w:val="432"/>
        </w:trPr>
        <w:tc>
          <w:tcPr>
            <w:tcW w:w="4160" w:type="dxa"/>
            <w:vAlign w:val="bottom"/>
          </w:tcPr>
          <w:p>
            <w:pPr>
              <w:spacing w:after="0"/>
              <w:rPr>
                <w:sz w:val="20"/>
                <w:szCs w:val="20"/>
                <w:color w:val="auto"/>
              </w:rPr>
            </w:pPr>
            <w:r>
              <w:rPr>
                <w:rFonts w:ascii="Arial" w:cs="Arial" w:eastAsia="Arial" w:hAnsi="Arial"/>
                <w:sz w:val="18"/>
                <w:szCs w:val="18"/>
                <w:color w:val="auto"/>
              </w:rPr>
              <w:t>Tier I Risk-Based:</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560,820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244,680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567,478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253,182</w:t>
            </w:r>
          </w:p>
        </w:tc>
      </w:tr>
      <w:tr>
        <w:trPr>
          <w:trHeight w:val="230"/>
        </w:trPr>
        <w:tc>
          <w:tcPr>
            <w:tcW w:w="4160" w:type="dxa"/>
            <w:vAlign w:val="bottom"/>
          </w:tcPr>
          <w:p>
            <w:pPr>
              <w:ind w:left="200"/>
              <w:spacing w:after="0"/>
              <w:rPr>
                <w:sz w:val="20"/>
                <w:szCs w:val="20"/>
                <w:color w:val="auto"/>
              </w:rPr>
            </w:pPr>
            <w:r>
              <w:rPr>
                <w:rFonts w:ascii="Arial" w:cs="Arial" w:eastAsia="Arial" w:hAnsi="Arial"/>
                <w:sz w:val="18"/>
                <w:szCs w:val="18"/>
                <w:color w:val="auto"/>
              </w:rPr>
              <w:t>Ratio</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r>
      <w:tr>
        <w:trPr>
          <w:trHeight w:val="202"/>
        </w:trPr>
        <w:tc>
          <w:tcPr>
            <w:tcW w:w="4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Risk-Based:</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160" w:type="dxa"/>
            <w:vAlign w:val="bottom"/>
          </w:tcPr>
          <w:p>
            <w:pPr>
              <w:ind w:left="200"/>
              <w:spacing w:after="0"/>
              <w:rPr>
                <w:sz w:val="20"/>
                <w:szCs w:val="20"/>
                <w:color w:val="auto"/>
              </w:rPr>
            </w:pPr>
            <w:r>
              <w:rPr>
                <w:rFonts w:ascii="Arial" w:cs="Arial" w:eastAsia="Arial" w:hAnsi="Arial"/>
                <w:sz w:val="18"/>
                <w:szCs w:val="18"/>
                <w:color w:val="auto"/>
              </w:rPr>
              <w:t>Amount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697,597</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489,359</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713,237</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506,365</w:t>
            </w:r>
          </w:p>
        </w:tc>
      </w:tr>
      <w:tr>
        <w:trPr>
          <w:trHeight w:val="216"/>
        </w:trPr>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Ratio</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r>
    </w:tbl>
    <w:p>
      <w:pPr>
        <w:spacing w:after="0" w:line="161"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United’s Tier I capital excludes other comprehensive income, and consists of stockholders’ equity and qualifying capital securities, less goodwill and deposit-based intangibles. Tier II capital components include supplemental capital items such as a qualifying allowance for loan losses and qualifying subordinated debt. Tier I capital plus Tier II capital components is referred to as Total Risk-Based capital.</w:t>
      </w:r>
    </w:p>
    <w:p>
      <w:pPr>
        <w:spacing w:after="0" w:line="146"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capital ratios of United and the Banks currently exceed the minimum ratios as defined by federal regulators. United monitors these ratios to ensure that United and the Banks remain above regulatory minimum guidelines.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189"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46"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United’s management believes the effect of inflation on financial results depends on United’s ability to react to changes in interest rates, and by such reaction, reduce the inflationary effect on performance. United has an asset/liability management program to manage interest rate sensitivity. In addition, periodic reviews of banking services and products are conducted to adjust pricing in view of current and expected costs.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89"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There have been no material changes in United’s quantitative and qualitative disclosures about market risk as of June 30, 2008 from that presented in the Annual Report on Form 10-K for the year ended December 31, 2007. The interest rate sensitivity position at June 30, 2008 is included in management’s discussion and analysis on page 25 of this report.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United’s management, including the Chief Executive Officer and Chief Financial Officer, supervised and participated in an evaluation of the company’s disclosure controls and procedures as of June 30, 2008.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Securities and Exchange Commission’s rules and forms and that the disclosure controls and procedures are designed to ensure that the information required to be disclosed in reports that are filed or submitted by United under the Act is recorded, processed, summarized and reported within the time periods specified in the Securities and Exchange Commission’s rules and forms.</w:t>
      </w:r>
    </w:p>
    <w:p>
      <w:pPr>
        <w:spacing w:after="0" w:line="157"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There were no significant changes in the internal controls or in other factors that could significantly affect these controls subsequent to the date of their evaluation.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 the ordinary course of operations, United and the Banks are defendants in various legal proceedings. In the opinion of management, there is no pending or threatened proceeding in which an adverse decision could result in a material adverse change in the consolidated financial condition or results of operations of United.</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There have been no material changes from the risk factors previously disclosed in United’s Form 10-K for the year ended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December 31, 2007, but United did add the following risk factor:</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Our ability to raise capital could be limited and could affect our liquidity and could be dilutive to existing shareholders.</w:t>
      </w:r>
    </w:p>
    <w:p>
      <w:pPr>
        <w:spacing w:after="0" w:line="212"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Current conditions in the capital markets are such that traditional sources of capital may not be available to us on reasonable terms if we needed to raise capital. In such case, there is no guarantee that we will be able to borrow funds or successfully raise additional capital at all or on terms that are favorable or otherwise not dilutive to existing shareholders.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 — None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Defaults upon Senior Securities — None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United held its annual meeting of shareholders on April 30, 2008.</w:t>
      </w:r>
    </w:p>
    <w:p>
      <w:pPr>
        <w:spacing w:after="0" w:line="185" w:lineRule="exact"/>
        <w:rPr>
          <w:sz w:val="20"/>
          <w:szCs w:val="20"/>
          <w:color w:val="auto"/>
        </w:rPr>
      </w:pPr>
    </w:p>
    <w:p>
      <w:pPr>
        <w:jc w:val="both"/>
        <w:ind w:left="700" w:right="559"/>
        <w:spacing w:after="0" w:line="257" w:lineRule="auto"/>
        <w:rPr>
          <w:sz w:val="20"/>
          <w:szCs w:val="20"/>
          <w:color w:val="auto"/>
        </w:rPr>
      </w:pPr>
      <w:r>
        <w:rPr>
          <w:rFonts w:ascii="Arial" w:cs="Arial" w:eastAsia="Arial" w:hAnsi="Arial"/>
          <w:sz w:val="18"/>
          <w:szCs w:val="18"/>
          <w:color w:val="auto"/>
        </w:rPr>
        <w:t>At the annual meeting, the shareholders elected Jimmy C. Tallent, Robert L. Head, Jr., W.C. Nelson, Jr., A. William Bennett, Robert H. Blalock, Guy W. Freeman, Charles E. Hill, Hoyt O. Holloway, John D. Stephens, and Tim Wallis as directors to serve until the next annual meeting and until their successors are elected and qualified. Of the 46,984,672 shares outstanding on the record date, 38,095,236 were voted representing 81% of the outstanding shares. The elections were approved by the votes set forth in the following table.</w:t>
      </w:r>
    </w:p>
    <w:p>
      <w:pPr>
        <w:spacing w:after="0" w:line="18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Election of Directors</w:t>
            </w:r>
          </w:p>
        </w:tc>
        <w:tc>
          <w:tcPr>
            <w:tcW w:w="28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Shares Voted in Favor</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Shares Withheld</w:t>
            </w:r>
          </w:p>
        </w:tc>
      </w:tr>
      <w:tr>
        <w:trPr>
          <w:trHeight w:val="20"/>
        </w:trPr>
        <w:tc>
          <w:tcPr>
            <w:tcW w:w="5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Jimmy C. Tallent</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37,766,554</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328,682</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Robert L. Head, Jr.</w:t>
            </w:r>
          </w:p>
        </w:tc>
        <w:tc>
          <w:tcPr>
            <w:tcW w:w="2200" w:type="dxa"/>
            <w:vAlign w:val="bottom"/>
            <w:gridSpan w:val="3"/>
          </w:tcPr>
          <w:p>
            <w:pPr>
              <w:jc w:val="right"/>
              <w:ind w:right="340"/>
              <w:spacing w:after="0"/>
              <w:rPr>
                <w:sz w:val="20"/>
                <w:szCs w:val="20"/>
                <w:color w:val="auto"/>
              </w:rPr>
            </w:pPr>
            <w:r>
              <w:rPr>
                <w:rFonts w:ascii="Arial" w:cs="Arial" w:eastAsia="Arial" w:hAnsi="Arial"/>
                <w:sz w:val="18"/>
                <w:szCs w:val="18"/>
                <w:color w:val="auto"/>
              </w:rPr>
              <w:t>37,764,302</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330,934</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W.C. Nelson, Jr.</w:t>
            </w:r>
          </w:p>
        </w:tc>
        <w:tc>
          <w:tcPr>
            <w:tcW w:w="2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37,621,040</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474,196</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A. William Bennett</w:t>
            </w:r>
          </w:p>
        </w:tc>
        <w:tc>
          <w:tcPr>
            <w:tcW w:w="2200" w:type="dxa"/>
            <w:vAlign w:val="bottom"/>
            <w:gridSpan w:val="3"/>
          </w:tcPr>
          <w:p>
            <w:pPr>
              <w:jc w:val="right"/>
              <w:ind w:right="340"/>
              <w:spacing w:after="0"/>
              <w:rPr>
                <w:sz w:val="20"/>
                <w:szCs w:val="20"/>
                <w:color w:val="auto"/>
              </w:rPr>
            </w:pPr>
            <w:r>
              <w:rPr>
                <w:rFonts w:ascii="Arial" w:cs="Arial" w:eastAsia="Arial" w:hAnsi="Arial"/>
                <w:sz w:val="18"/>
                <w:szCs w:val="18"/>
                <w:color w:val="auto"/>
              </w:rPr>
              <w:t>37,651,575</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443,661</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Robert H. Blalock</w:t>
            </w:r>
          </w:p>
        </w:tc>
        <w:tc>
          <w:tcPr>
            <w:tcW w:w="2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37,841,310</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253,926</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Guy W. Freeman</w:t>
            </w:r>
          </w:p>
        </w:tc>
        <w:tc>
          <w:tcPr>
            <w:tcW w:w="2200" w:type="dxa"/>
            <w:vAlign w:val="bottom"/>
            <w:gridSpan w:val="3"/>
          </w:tcPr>
          <w:p>
            <w:pPr>
              <w:jc w:val="right"/>
              <w:ind w:right="340"/>
              <w:spacing w:after="0"/>
              <w:rPr>
                <w:sz w:val="20"/>
                <w:szCs w:val="20"/>
                <w:color w:val="auto"/>
              </w:rPr>
            </w:pPr>
            <w:r>
              <w:rPr>
                <w:rFonts w:ascii="Arial" w:cs="Arial" w:eastAsia="Arial" w:hAnsi="Arial"/>
                <w:sz w:val="18"/>
                <w:szCs w:val="18"/>
                <w:color w:val="auto"/>
              </w:rPr>
              <w:t>37,689,374</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405,862</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Charles E. Hill</w:t>
            </w:r>
          </w:p>
        </w:tc>
        <w:tc>
          <w:tcPr>
            <w:tcW w:w="2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37,105,317</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989,919</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Hoyt O. Holloway</w:t>
            </w:r>
          </w:p>
        </w:tc>
        <w:tc>
          <w:tcPr>
            <w:tcW w:w="2200" w:type="dxa"/>
            <w:vAlign w:val="bottom"/>
            <w:gridSpan w:val="3"/>
          </w:tcPr>
          <w:p>
            <w:pPr>
              <w:jc w:val="right"/>
              <w:ind w:right="340"/>
              <w:spacing w:after="0"/>
              <w:rPr>
                <w:sz w:val="20"/>
                <w:szCs w:val="20"/>
                <w:color w:val="auto"/>
              </w:rPr>
            </w:pPr>
            <w:r>
              <w:rPr>
                <w:rFonts w:ascii="Arial" w:cs="Arial" w:eastAsia="Arial" w:hAnsi="Arial"/>
                <w:sz w:val="18"/>
                <w:szCs w:val="18"/>
                <w:color w:val="auto"/>
              </w:rPr>
              <w:t>37,618,252</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476,984</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John D. Stephens</w:t>
            </w:r>
          </w:p>
        </w:tc>
        <w:tc>
          <w:tcPr>
            <w:tcW w:w="2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37,845,581</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249,655</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Tim Wallis</w:t>
            </w:r>
          </w:p>
        </w:tc>
        <w:tc>
          <w:tcPr>
            <w:tcW w:w="2200" w:type="dxa"/>
            <w:vAlign w:val="bottom"/>
            <w:gridSpan w:val="3"/>
          </w:tcPr>
          <w:p>
            <w:pPr>
              <w:jc w:val="right"/>
              <w:ind w:right="340"/>
              <w:spacing w:after="0"/>
              <w:rPr>
                <w:sz w:val="20"/>
                <w:szCs w:val="20"/>
                <w:color w:val="auto"/>
              </w:rPr>
            </w:pPr>
            <w:r>
              <w:rPr>
                <w:rFonts w:ascii="Arial" w:cs="Arial" w:eastAsia="Arial" w:hAnsi="Arial"/>
                <w:sz w:val="18"/>
                <w:szCs w:val="18"/>
                <w:color w:val="auto"/>
              </w:rPr>
              <w:t>37,628,656</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466,580</w:t>
            </w:r>
          </w:p>
        </w:tc>
      </w:tr>
    </w:tbl>
    <w:p>
      <w:pPr>
        <w:spacing w:after="0" w:line="147" w:lineRule="exact"/>
        <w:rPr>
          <w:sz w:val="20"/>
          <w:szCs w:val="20"/>
          <w:color w:val="auto"/>
        </w:rPr>
      </w:pPr>
    </w:p>
    <w:p>
      <w:pPr>
        <w:jc w:val="both"/>
        <w:ind w:left="700" w:right="559"/>
        <w:spacing w:after="0" w:line="264" w:lineRule="auto"/>
        <w:rPr>
          <w:sz w:val="20"/>
          <w:szCs w:val="20"/>
          <w:color w:val="auto"/>
        </w:rPr>
      </w:pPr>
      <w:r>
        <w:rPr>
          <w:rFonts w:ascii="Arial" w:cs="Arial" w:eastAsia="Arial" w:hAnsi="Arial"/>
          <w:sz w:val="18"/>
          <w:szCs w:val="18"/>
          <w:color w:val="auto"/>
        </w:rPr>
        <w:t>Shareholders also voted on the ratification of the independent auditors, Porter Keadle Moore. Of the 46,984,672 shares outstanding on the record date, 38,095,241 were voted, representing 81% of the outstanding shares. The ratification was approved by the votes set forth in the following table.</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Other Proposals</w:t>
            </w:r>
          </w:p>
        </w:tc>
        <w:tc>
          <w:tcPr>
            <w:tcW w:w="22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Shares Voted in Favor</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Shares Voted Against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Shares Withheld</w:t>
            </w:r>
          </w:p>
        </w:tc>
      </w:tr>
      <w:tr>
        <w:trPr>
          <w:trHeight w:val="195"/>
        </w:trPr>
        <w:tc>
          <w:tcPr>
            <w:tcW w:w="41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5"/>
              </w:rPr>
              <w:t>Ratification of the independent auditors, Porter Keadle</w:t>
            </w:r>
          </w:p>
        </w:tc>
        <w:tc>
          <w:tcPr>
            <w:tcW w:w="220" w:type="dxa"/>
            <w:vAlign w:val="bottom"/>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0"/>
        </w:trPr>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Moore</w:t>
            </w:r>
          </w:p>
        </w:tc>
        <w:tc>
          <w:tcPr>
            <w:tcW w:w="2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37,822,674</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107,328</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165,239</w:t>
            </w: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Other Information — None</w:t>
      </w:r>
    </w:p>
    <w:p>
      <w:pPr>
        <w:spacing w:after="0" w:line="200" w:lineRule="exact"/>
        <w:rPr>
          <w:sz w:val="20"/>
          <w:szCs w:val="20"/>
          <w:color w:val="auto"/>
        </w:rPr>
      </w:pPr>
    </w:p>
    <w:p>
      <w:pPr>
        <w:spacing w:after="0" w:line="3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 Exhibits</w:t>
      </w:r>
    </w:p>
    <w:p>
      <w:pPr>
        <w:spacing w:after="0" w:line="202" w:lineRule="exact"/>
        <w:rPr>
          <w:sz w:val="20"/>
          <w:szCs w:val="20"/>
          <w:color w:val="auto"/>
        </w:rPr>
      </w:pPr>
    </w:p>
    <w:p>
      <w:pPr>
        <w:jc w:val="both"/>
        <w:ind w:left="1060" w:right="559" w:hanging="728"/>
        <w:spacing w:after="0" w:line="264" w:lineRule="auto"/>
        <w:tabs>
          <w:tab w:leader="none" w:pos="10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Articles of Incorporation of United Community Banks, Inc., (incorporated herein by reference to Exhibit 3.1 to United Community Banks, Inc.’s Quarterly Report on Form 10-Q for the quarter ended June 30, 2001, File No. 0-21656, filed with the Commission on August 14, 2001).</w:t>
      </w:r>
    </w:p>
    <w:p>
      <w:pPr>
        <w:spacing w:after="0" w:line="114" w:lineRule="exact"/>
        <w:rPr>
          <w:sz w:val="20"/>
          <w:szCs w:val="20"/>
          <w:color w:val="auto"/>
        </w:rPr>
      </w:pPr>
    </w:p>
    <w:p>
      <w:pPr>
        <w:jc w:val="both"/>
        <w:ind w:left="1060" w:right="559" w:hanging="728"/>
        <w:spacing w:after="0" w:line="264" w:lineRule="auto"/>
        <w:tabs>
          <w:tab w:leader="none" w:pos="10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Amendment to the Restated Articles of Incorporation of United Community Banks, Inc. (incorporated herein by reference to Exhibit 3.3 to United Community Banks, Inc.’s Registration Statement on Form S-4, File No. 333-118893, filed with the Commission on September 9, 2004).</w:t>
      </w:r>
    </w:p>
    <w:p>
      <w:pPr>
        <w:spacing w:after="0" w:line="114" w:lineRule="exact"/>
        <w:rPr>
          <w:sz w:val="20"/>
          <w:szCs w:val="20"/>
          <w:color w:val="auto"/>
        </w:rPr>
      </w:pPr>
    </w:p>
    <w:p>
      <w:pPr>
        <w:jc w:val="both"/>
        <w:ind w:left="1060" w:right="559" w:hanging="728"/>
        <w:spacing w:after="0" w:line="264" w:lineRule="auto"/>
        <w:tabs>
          <w:tab w:leader="none" w:pos="10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Amended and Restated Bylaws of United Community Banks, Inc., dated September 12, 1997 (incorporated herein by reference to Exhibit 3.1 to United Community Banks, Inc.’s Annual Report on Form 10-K, for the year ended December 31, 1997, File No. 0-21656, filed with the Commission on March 27, 1998).</w:t>
      </w:r>
    </w:p>
    <w:p>
      <w:pPr>
        <w:spacing w:after="0" w:line="114" w:lineRule="exact"/>
        <w:rPr>
          <w:sz w:val="20"/>
          <w:szCs w:val="20"/>
          <w:color w:val="auto"/>
        </w:rPr>
      </w:pPr>
    </w:p>
    <w:p>
      <w:pPr>
        <w:jc w:val="both"/>
        <w:ind w:left="1060" w:right="559" w:hanging="728"/>
        <w:spacing w:after="0" w:line="277" w:lineRule="auto"/>
        <w:tabs>
          <w:tab w:leader="none" w:pos="10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See Exhibits 3.1, 3.2 and 3.3 for provisions of the Restated Articles of Incorporation, as amended, and Amended and Restated Bylaws, which define the rights of the Shareholders.</w:t>
      </w:r>
    </w:p>
    <w:p>
      <w:pPr>
        <w:spacing w:after="0" w:line="103" w:lineRule="exact"/>
        <w:rPr>
          <w:sz w:val="20"/>
          <w:szCs w:val="20"/>
          <w:color w:val="auto"/>
        </w:rPr>
      </w:pPr>
    </w:p>
    <w:p>
      <w:pPr>
        <w:jc w:val="both"/>
        <w:ind w:left="1060" w:right="559" w:hanging="728"/>
        <w:spacing w:after="0" w:line="277" w:lineRule="auto"/>
        <w:tabs>
          <w:tab w:leader="none" w:pos="10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by Jimmy C. Tallent, President and Chief Executive Officer of United Community Banks, Inc., as adopted pursuant to Section 302 of the Sarbanes-Oxley Act of 2002.</w:t>
      </w:r>
    </w:p>
    <w:p>
      <w:pPr>
        <w:spacing w:after="0" w:line="103" w:lineRule="exact"/>
        <w:rPr>
          <w:sz w:val="20"/>
          <w:szCs w:val="20"/>
          <w:color w:val="auto"/>
        </w:rPr>
      </w:pPr>
    </w:p>
    <w:p>
      <w:pPr>
        <w:jc w:val="both"/>
        <w:ind w:left="1060" w:right="559" w:hanging="728"/>
        <w:spacing w:after="0" w:line="277" w:lineRule="auto"/>
        <w:tabs>
          <w:tab w:leader="none" w:pos="10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by Rex S. Schuette, Executive Vice President and Chief Financial Officer of United Community Banks, Inc., as adopted pursuant to Section 302 of the Sarbanes-Oxley Act of 2002.</w:t>
      </w:r>
    </w:p>
    <w:p>
      <w:pPr>
        <w:spacing w:after="0" w:line="103" w:lineRule="exact"/>
        <w:rPr>
          <w:sz w:val="20"/>
          <w:szCs w:val="20"/>
          <w:color w:val="auto"/>
        </w:rPr>
      </w:pPr>
    </w:p>
    <w:p>
      <w:pPr>
        <w:ind w:left="1060" w:right="559" w:hanging="728"/>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4460"/>
        <w:spacing w:after="0"/>
        <w:rPr>
          <w:sz w:val="20"/>
          <w:szCs w:val="20"/>
          <w:color w:val="auto"/>
        </w:rPr>
      </w:pP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-130810</wp:posOffset>
            </wp:positionV>
            <wp:extent cx="24269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4460"/>
        <w:spacing w:after="0"/>
        <w:rPr>
          <w:sz w:val="20"/>
          <w:szCs w:val="20"/>
          <w:color w:val="auto"/>
        </w:rPr>
      </w:pP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-130810</wp:posOffset>
            </wp:positionV>
            <wp:extent cx="24269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4460"/>
        <w:spacing w:after="0"/>
        <w:rPr>
          <w:sz w:val="20"/>
          <w:szCs w:val="20"/>
          <w:color w:val="auto"/>
        </w:rPr>
      </w:pPr>
      <w:r>
        <w:rPr>
          <w:rFonts w:ascii="Arial" w:cs="Arial" w:eastAsia="Arial" w:hAnsi="Arial"/>
          <w:sz w:val="18"/>
          <w:szCs w:val="18"/>
          <w:b w:val="1"/>
          <w:bCs w:val="1"/>
          <w:i w:val="1"/>
          <w:iCs w:val="1"/>
          <w:color w:val="auto"/>
        </w:rPr>
        <w:t>/s/ Alan H. Kumler</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-130810</wp:posOffset>
            </wp:positionV>
            <wp:extent cx="24269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Senior Vice President and Controller</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Date: August 8, 2008</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219"/>
          </w:cols>
          <w:pgMar w:left="240" w:top="419" w:right="1440" w:bottom="1440" w:gutter="0" w:footer="0" w:header="0"/>
        </w:sectPr>
      </w:pPr>
    </w:p>
    <w:bookmarkStart w:id="36" w:name="page37"/>
    <w:bookmarkEnd w:id="36"/>
    <w:p>
      <w:pPr>
        <w:jc w:val="center"/>
        <w:ind w:right="551"/>
        <w:spacing w:after="0"/>
        <w:rPr>
          <w:sz w:val="20"/>
          <w:szCs w:val="20"/>
          <w:color w:val="auto"/>
        </w:rPr>
      </w:pPr>
      <w:r>
        <w:rPr>
          <w:rFonts w:ascii="Arial" w:cs="Arial" w:eastAsia="Arial" w:hAnsi="Arial"/>
          <w:sz w:val="18"/>
          <w:szCs w:val="18"/>
          <w:b w:val="1"/>
          <w:bCs w:val="1"/>
          <w:color w:val="auto"/>
        </w:rPr>
        <w:t>Exhibit 31.1</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17"/>
          <w:szCs w:val="17"/>
          <w:color w:val="auto"/>
        </w:rPr>
        <w:t>I, Jimmy C. Tallent, President and Chief Executive Officer of United Community Banks, Inc. (the “registrant”), certify that:</w:t>
      </w:r>
    </w:p>
    <w:p>
      <w:pPr>
        <w:spacing w:after="0" w:line="196" w:lineRule="exact"/>
        <w:rPr>
          <w:sz w:val="20"/>
          <w:szCs w:val="20"/>
          <w:color w:val="auto"/>
        </w:rPr>
      </w:pPr>
    </w:p>
    <w:p>
      <w:pPr>
        <w:ind w:left="188" w:hanging="188"/>
        <w:spacing w:after="0"/>
        <w:tabs>
          <w:tab w:leader="none" w:pos="188"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84" w:lineRule="exact"/>
        <w:rPr>
          <w:rFonts w:ascii="Arial" w:cs="Arial" w:eastAsia="Arial" w:hAnsi="Arial"/>
          <w:sz w:val="18"/>
          <w:szCs w:val="18"/>
          <w:color w:val="auto"/>
        </w:rPr>
      </w:pPr>
    </w:p>
    <w:p>
      <w:pPr>
        <w:jc w:val="both"/>
        <w:ind w:left="8" w:right="559" w:hanging="8"/>
        <w:spacing w:after="0" w:line="264" w:lineRule="auto"/>
        <w:tabs>
          <w:tab w:leader="none" w:pos="201"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left="8" w:right="559" w:hanging="8"/>
        <w:spacing w:after="0" w:line="264" w:lineRule="auto"/>
        <w:tabs>
          <w:tab w:leader="none" w:pos="1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8" w:right="559" w:hanging="8"/>
        <w:spacing w:after="0" w:line="264" w:lineRule="auto"/>
        <w:tabs>
          <w:tab w:leader="none" w:pos="2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40" w:lineRule="exact"/>
        <w:rPr>
          <w:rFonts w:ascii="Arial" w:cs="Arial" w:eastAsia="Arial" w:hAnsi="Arial"/>
          <w:sz w:val="18"/>
          <w:szCs w:val="18"/>
          <w:color w:val="auto"/>
        </w:rPr>
      </w:pPr>
    </w:p>
    <w:p>
      <w:pPr>
        <w:jc w:val="both"/>
        <w:ind w:left="368" w:right="559" w:firstLine="5"/>
        <w:spacing w:after="0" w:line="312" w:lineRule="auto"/>
        <w:tabs>
          <w:tab w:leader="none" w:pos="578"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jc w:val="both"/>
        <w:ind w:left="368" w:right="559" w:firstLine="5"/>
        <w:spacing w:after="0" w:line="286" w:lineRule="auto"/>
        <w:tabs>
          <w:tab w:leader="none" w:pos="584"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jc w:val="both"/>
        <w:ind w:left="368" w:right="559" w:firstLine="5"/>
        <w:spacing w:after="0" w:line="264" w:lineRule="auto"/>
        <w:tabs>
          <w:tab w:leader="none" w:pos="595"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368" w:right="559" w:firstLine="5"/>
        <w:spacing w:after="0" w:line="264" w:lineRule="auto"/>
        <w:tabs>
          <w:tab w:leader="none" w:pos="57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8" w:right="559" w:hanging="8"/>
        <w:spacing w:after="0" w:line="308" w:lineRule="auto"/>
        <w:tabs>
          <w:tab w:leader="none" w:pos="20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6" w:lineRule="exact"/>
        <w:rPr>
          <w:rFonts w:ascii="Arial" w:cs="Arial" w:eastAsia="Arial" w:hAnsi="Arial"/>
          <w:sz w:val="17"/>
          <w:szCs w:val="17"/>
          <w:color w:val="auto"/>
        </w:rPr>
      </w:pPr>
    </w:p>
    <w:p>
      <w:pPr>
        <w:jc w:val="both"/>
        <w:ind w:left="368" w:right="559" w:firstLine="5"/>
        <w:spacing w:after="0" w:line="264" w:lineRule="auto"/>
        <w:tabs>
          <w:tab w:leader="none" w:pos="55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368" w:right="559" w:firstLine="5"/>
        <w:spacing w:after="0" w:line="277" w:lineRule="auto"/>
        <w:tabs>
          <w:tab w:leader="none" w:pos="58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348"/>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4708"/>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2984500</wp:posOffset>
            </wp:positionH>
            <wp:positionV relativeFrom="paragraph">
              <wp:posOffset>-130810</wp:posOffset>
            </wp:positionV>
            <wp:extent cx="20751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3" w:lineRule="exact"/>
        <w:rPr>
          <w:sz w:val="20"/>
          <w:szCs w:val="20"/>
          <w:color w:val="auto"/>
        </w:rPr>
      </w:pPr>
    </w:p>
    <w:p>
      <w:pPr>
        <w:ind w:left="4708"/>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jc w:val="center"/>
        <w:ind w:right="-348"/>
        <w:spacing w:after="0"/>
        <w:rPr>
          <w:sz w:val="20"/>
          <w:szCs w:val="20"/>
          <w:color w:val="auto"/>
        </w:rPr>
      </w:pPr>
      <w:r>
        <w:rPr>
          <w:rFonts w:ascii="Arial" w:cs="Arial" w:eastAsia="Arial" w:hAnsi="Arial"/>
          <w:sz w:val="18"/>
          <w:szCs w:val="18"/>
          <w:color w:val="auto"/>
        </w:rPr>
        <w:t>Date: August 8, 2008</w:t>
      </w:r>
    </w:p>
    <w:p>
      <w:pPr>
        <w:sectPr>
          <w:pgSz w:w="11900" w:h="16838" w:orient="portrait"/>
          <w:cols w:equalWidth="0" w:num="1">
            <w:col w:w="9887"/>
          </w:cols>
          <w:pgMar w:left="572" w:top="513" w:right="1440" w:bottom="1440" w:gutter="0" w:footer="0" w:header="0"/>
        </w:sectPr>
      </w:pPr>
    </w:p>
    <w:bookmarkStart w:id="37" w:name="page38"/>
    <w:bookmarkEnd w:id="37"/>
    <w:p>
      <w:pPr>
        <w:jc w:val="center"/>
        <w:ind w:right="551"/>
        <w:spacing w:after="0"/>
        <w:rPr>
          <w:sz w:val="20"/>
          <w:szCs w:val="20"/>
          <w:color w:val="auto"/>
        </w:rPr>
      </w:pPr>
      <w:r>
        <w:rPr>
          <w:rFonts w:ascii="Arial" w:cs="Arial" w:eastAsia="Arial" w:hAnsi="Arial"/>
          <w:sz w:val="18"/>
          <w:szCs w:val="18"/>
          <w:b w:val="1"/>
          <w:bCs w:val="1"/>
          <w:color w:val="auto"/>
        </w:rPr>
        <w:t>Exhibit 31.2</w:t>
      </w:r>
    </w:p>
    <w:p>
      <w:pPr>
        <w:spacing w:after="0" w:line="189" w:lineRule="exact"/>
        <w:rPr>
          <w:sz w:val="20"/>
          <w:szCs w:val="20"/>
          <w:color w:val="auto"/>
        </w:rPr>
      </w:pPr>
    </w:p>
    <w:p>
      <w:pPr>
        <w:ind w:left="8" w:right="559"/>
        <w:spacing w:after="0" w:line="277" w:lineRule="auto"/>
        <w:rPr>
          <w:sz w:val="20"/>
          <w:szCs w:val="20"/>
          <w:color w:val="auto"/>
        </w:rPr>
      </w:pPr>
      <w:r>
        <w:rPr>
          <w:rFonts w:ascii="Arial" w:cs="Arial" w:eastAsia="Arial" w:hAnsi="Arial"/>
          <w:sz w:val="18"/>
          <w:szCs w:val="18"/>
          <w:color w:val="auto"/>
        </w:rPr>
        <w:t>I, Rex S. Schuette, Executive Vice President and Chief Financial Officer of United Community Banks, Inc. (the “registrant”), certify that:</w:t>
      </w:r>
    </w:p>
    <w:p>
      <w:pPr>
        <w:spacing w:after="0" w:line="143" w:lineRule="exact"/>
        <w:rPr>
          <w:sz w:val="20"/>
          <w:szCs w:val="20"/>
          <w:color w:val="auto"/>
        </w:rPr>
      </w:pPr>
    </w:p>
    <w:p>
      <w:pPr>
        <w:ind w:left="188" w:hanging="188"/>
        <w:spacing w:after="0"/>
        <w:tabs>
          <w:tab w:leader="none" w:pos="188"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84" w:lineRule="exact"/>
        <w:rPr>
          <w:rFonts w:ascii="Arial" w:cs="Arial" w:eastAsia="Arial" w:hAnsi="Arial"/>
          <w:sz w:val="18"/>
          <w:szCs w:val="18"/>
          <w:color w:val="auto"/>
        </w:rPr>
      </w:pPr>
    </w:p>
    <w:p>
      <w:pPr>
        <w:jc w:val="both"/>
        <w:ind w:left="8" w:right="559" w:hanging="8"/>
        <w:spacing w:after="0" w:line="264" w:lineRule="auto"/>
        <w:tabs>
          <w:tab w:leader="none" w:pos="201"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left="8" w:right="559" w:hanging="8"/>
        <w:spacing w:after="0" w:line="264" w:lineRule="auto"/>
        <w:tabs>
          <w:tab w:leader="none" w:pos="1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4" w:lineRule="exact"/>
        <w:rPr>
          <w:rFonts w:ascii="Arial" w:cs="Arial" w:eastAsia="Arial" w:hAnsi="Arial"/>
          <w:sz w:val="18"/>
          <w:szCs w:val="18"/>
          <w:color w:val="auto"/>
        </w:rPr>
      </w:pPr>
    </w:p>
    <w:p>
      <w:pPr>
        <w:jc w:val="both"/>
        <w:ind w:left="8" w:right="559" w:hanging="8"/>
        <w:spacing w:after="0" w:line="264" w:lineRule="auto"/>
        <w:tabs>
          <w:tab w:leader="none" w:pos="2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40" w:lineRule="exact"/>
        <w:rPr>
          <w:rFonts w:ascii="Arial" w:cs="Arial" w:eastAsia="Arial" w:hAnsi="Arial"/>
          <w:sz w:val="18"/>
          <w:szCs w:val="18"/>
          <w:color w:val="auto"/>
        </w:rPr>
      </w:pPr>
    </w:p>
    <w:p>
      <w:pPr>
        <w:jc w:val="both"/>
        <w:ind w:left="368" w:right="559" w:firstLine="5"/>
        <w:spacing w:after="0" w:line="312" w:lineRule="auto"/>
        <w:tabs>
          <w:tab w:leader="none" w:pos="578"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jc w:val="both"/>
        <w:ind w:left="368" w:right="559" w:firstLine="5"/>
        <w:spacing w:after="0" w:line="286" w:lineRule="auto"/>
        <w:tabs>
          <w:tab w:leader="none" w:pos="584"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Arial" w:cs="Arial" w:eastAsia="Arial" w:hAnsi="Arial"/>
          <w:sz w:val="17"/>
          <w:szCs w:val="17"/>
          <w:color w:val="auto"/>
        </w:rPr>
      </w:pPr>
    </w:p>
    <w:p>
      <w:pPr>
        <w:jc w:val="both"/>
        <w:ind w:left="368" w:right="559" w:firstLine="5"/>
        <w:spacing w:after="0" w:line="264" w:lineRule="auto"/>
        <w:tabs>
          <w:tab w:leader="none" w:pos="595"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368" w:right="559" w:firstLine="5"/>
        <w:spacing w:after="0" w:line="264" w:lineRule="auto"/>
        <w:tabs>
          <w:tab w:leader="none" w:pos="57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8" w:right="559" w:hanging="8"/>
        <w:spacing w:after="0" w:line="308" w:lineRule="auto"/>
        <w:tabs>
          <w:tab w:leader="none" w:pos="20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19" w:lineRule="exact"/>
        <w:rPr>
          <w:rFonts w:ascii="Arial" w:cs="Arial" w:eastAsia="Arial" w:hAnsi="Arial"/>
          <w:sz w:val="17"/>
          <w:szCs w:val="17"/>
          <w:color w:val="auto"/>
        </w:rPr>
      </w:pPr>
    </w:p>
    <w:p>
      <w:pPr>
        <w:jc w:val="both"/>
        <w:ind w:left="368" w:right="559" w:firstLine="5"/>
        <w:spacing w:after="0" w:line="264" w:lineRule="auto"/>
        <w:tabs>
          <w:tab w:leader="none" w:pos="554"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368" w:right="559" w:firstLine="5"/>
        <w:spacing w:after="0" w:line="277" w:lineRule="auto"/>
        <w:tabs>
          <w:tab w:leader="none" w:pos="584"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3868"/>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4228"/>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2684145</wp:posOffset>
            </wp:positionH>
            <wp:positionV relativeFrom="paragraph">
              <wp:posOffset>-130810</wp:posOffset>
            </wp:positionV>
            <wp:extent cx="24701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ind w:left="4228"/>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ind w:left="3868"/>
        <w:spacing w:after="0"/>
        <w:rPr>
          <w:sz w:val="20"/>
          <w:szCs w:val="20"/>
          <w:color w:val="auto"/>
        </w:rPr>
      </w:pPr>
      <w:r>
        <w:rPr>
          <w:rFonts w:ascii="Arial" w:cs="Arial" w:eastAsia="Arial" w:hAnsi="Arial"/>
          <w:sz w:val="18"/>
          <w:szCs w:val="18"/>
          <w:color w:val="auto"/>
        </w:rPr>
        <w:t>Date: August 8, 2008</w:t>
      </w:r>
    </w:p>
    <w:p>
      <w:pPr>
        <w:sectPr>
          <w:pgSz w:w="11900" w:h="16838" w:orient="portrait"/>
          <w:cols w:equalWidth="0" w:num="1">
            <w:col w:w="9887"/>
          </w:cols>
          <w:pgMar w:left="572" w:top="121" w:right="1440" w:bottom="1440" w:gutter="0" w:footer="0" w:header="0"/>
        </w:sectPr>
      </w:pPr>
    </w:p>
    <w:bookmarkStart w:id="38" w:name="page39"/>
    <w:bookmarkEnd w:id="38"/>
    <w:p>
      <w:pPr>
        <w:ind w:left="4260"/>
        <w:spacing w:after="0"/>
        <w:rPr>
          <w:sz w:val="20"/>
          <w:szCs w:val="20"/>
          <w:color w:val="auto"/>
        </w:rPr>
      </w:pPr>
      <w:r>
        <w:rPr>
          <w:rFonts w:ascii="Arial" w:cs="Arial" w:eastAsia="Arial" w:hAnsi="Arial"/>
          <w:sz w:val="18"/>
          <w:szCs w:val="18"/>
          <w:b w:val="1"/>
          <w:bCs w:val="1"/>
          <w:color w:val="auto"/>
        </w:rPr>
        <w:t>Exhibit 32</w:t>
      </w:r>
    </w:p>
    <w:p>
      <w:pPr>
        <w:spacing w:after="0" w:line="18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right="559"/>
        <w:spacing w:after="0" w:line="302" w:lineRule="auto"/>
        <w:rPr>
          <w:sz w:val="20"/>
          <w:szCs w:val="20"/>
          <w:color w:val="auto"/>
        </w:rPr>
      </w:pPr>
      <w:r>
        <w:rPr>
          <w:rFonts w:ascii="Arial" w:cs="Arial" w:eastAsia="Arial" w:hAnsi="Arial"/>
          <w:sz w:val="16"/>
          <w:szCs w:val="16"/>
          <w:color w:val="auto"/>
        </w:rPr>
        <w:t>In connection with the Quarterly Report of United Community Banks, Inc. (“United”) on Form 10-Q for the period ending June 30, 2008 filed with the Securities and Exchange Commission on the date hereof (the “Report”), I, Jimmy C. Tallent, President and Chief Executive Officer of United, and I, Rex S. Schuette, Executive Vice President and Chief Financial Officer of United, certify, pursuant to 18 U.S.C. Section 1350, as adopted pursuant to Section 906 of the Sarbanes-Oxley Act of 2002, that:</w:t>
      </w:r>
    </w:p>
    <w:p>
      <w:pPr>
        <w:spacing w:after="0" w:line="114" w:lineRule="exact"/>
        <w:rPr>
          <w:sz w:val="20"/>
          <w:szCs w:val="20"/>
          <w:color w:val="auto"/>
        </w:rPr>
      </w:pPr>
    </w:p>
    <w:p>
      <w:pPr>
        <w:ind w:left="700" w:hanging="343"/>
        <w:spacing w:after="0"/>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80" w:lineRule="exact"/>
        <w:rPr>
          <w:rFonts w:ascii="Arial" w:cs="Arial" w:eastAsia="Arial" w:hAnsi="Arial"/>
          <w:sz w:val="16"/>
          <w:szCs w:val="16"/>
          <w:color w:val="auto"/>
        </w:rPr>
      </w:pPr>
    </w:p>
    <w:p>
      <w:pPr>
        <w:ind w:left="700" w:right="559" w:hanging="343"/>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United.</w:t>
      </w:r>
    </w:p>
    <w:p>
      <w:pPr>
        <w:spacing w:after="0" w:line="170"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2661920</wp:posOffset>
            </wp:positionH>
            <wp:positionV relativeFrom="paragraph">
              <wp:posOffset>-130810</wp:posOffset>
            </wp:positionV>
            <wp:extent cx="25641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-130810</wp:posOffset>
            </wp:positionV>
            <wp:extent cx="25984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Date: August 8, 2008</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32"/>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2019-12-11T14:50:45Z</dcterms:created>
  <dcterms:modified xsi:type="dcterms:W3CDTF">2019-12-11T14:50:45Z</dcterms:modified>
</cp:coreProperties>
</file>