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FORM 10-Q </w:t>
      </w:r>
    </w:p>
    <w:tbl>
      <w:tblPr>
        <w:tblW w:w="664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176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w:t>
              <w:br/>
              <w:t>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2024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664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176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w:t>
              <w:br/>
              <w:t>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___________ to 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center"/>
        <w:rPr>
          <w:rFonts w:ascii="Times New Roman;sans-serif" w:hAnsi="Times New Roman;sans-serif"/>
          <w:b/>
          <w:color w:val="000000"/>
          <w:sz w:val="18"/>
        </w:rPr>
      </w:pPr>
      <w:r>
        <w:rPr>
          <w:rFonts w:ascii="Times New Roman;sans-serif" w:hAnsi="Times New Roman;sans-serif"/>
          <w:b/>
          <w:color w:val="000000"/>
          <w:sz w:val="18"/>
        </w:rPr>
        <w:t>Commission file number 001-35095</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UNITED COMMUNITY BANKS,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5156" w:type="dxa"/>
        <w:jc w:val="center"/>
        <w:tblInd w:w="0" w:type="dxa"/>
        <w:tblLayout w:type="fixed"/>
        <w:tblCellMar>
          <w:top w:w="28" w:type="dxa"/>
          <w:left w:w="28" w:type="dxa"/>
          <w:bottom w:w="28" w:type="dxa"/>
          <w:right w:w="28" w:type="dxa"/>
        </w:tblCellMar>
      </w:tblPr>
      <w:tblGrid>
        <w:gridCol w:w="693"/>
        <w:gridCol w:w="608"/>
        <w:gridCol w:w="618"/>
        <w:gridCol w:w="109"/>
        <w:gridCol w:w="109"/>
        <w:gridCol w:w="109"/>
        <w:gridCol w:w="849"/>
        <w:gridCol w:w="849"/>
        <w:gridCol w:w="1212"/>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Georgia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58-1807304</w:t>
            </w:r>
          </w:p>
        </w:tc>
      </w:tr>
      <w:tr>
        <w:trPr/>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 Identification No.)</w:t>
            </w:r>
          </w:p>
        </w:tc>
      </w:tr>
    </w:tbl>
    <w:tbl>
      <w:tblPr>
        <w:tblW w:w="4331" w:type="dxa"/>
        <w:jc w:val="center"/>
        <w:tblInd w:w="0" w:type="dxa"/>
        <w:tblLayout w:type="fixed"/>
        <w:tblCellMar>
          <w:top w:w="28" w:type="dxa"/>
          <w:left w:w="28" w:type="dxa"/>
          <w:bottom w:w="28" w:type="dxa"/>
          <w:right w:w="28" w:type="dxa"/>
        </w:tblCellMar>
      </w:tblPr>
      <w:tblGrid>
        <w:gridCol w:w="1115"/>
        <w:gridCol w:w="978"/>
        <w:gridCol w:w="982"/>
        <w:gridCol w:w="109"/>
        <w:gridCol w:w="109"/>
        <w:gridCol w:w="109"/>
        <w:gridCol w:w="272"/>
        <w:gridCol w:w="272"/>
        <w:gridCol w:w="385"/>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125 Highway 515 East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Blairsville,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30512</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(706) 781-2265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bl>
      <w:tblPr>
        <w:tblW w:w="9959" w:type="dxa"/>
        <w:jc w:val="center"/>
        <w:tblInd w:w="0" w:type="dxa"/>
        <w:tblLayout w:type="fixed"/>
        <w:tblCellMar>
          <w:top w:w="28" w:type="dxa"/>
          <w:left w:w="28" w:type="dxa"/>
          <w:bottom w:w="28" w:type="dxa"/>
          <w:right w:w="28" w:type="dxa"/>
        </w:tblCellMar>
      </w:tblPr>
      <w:tblGrid>
        <w:gridCol w:w="1828"/>
        <w:gridCol w:w="1606"/>
        <w:gridCol w:w="1606"/>
        <w:gridCol w:w="485"/>
        <w:gridCol w:w="485"/>
        <w:gridCol w:w="485"/>
        <w:gridCol w:w="1015"/>
        <w:gridCol w:w="1015"/>
        <w:gridCol w:w="1434"/>
      </w:tblGrid>
      <w:tr>
        <w:trPr/>
        <w:tc>
          <w:tcPr>
            <w:tcW w:w="182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99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$1 per share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UCBI</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Depositary shares, each representing 1/1000th interest in a share of </w:t>
              <w:br/>
              <w:t>Series I Non-Cumulative Preferred Stock</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UCBIO</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center"/>
        <w:rPr/>
      </w:pPr>
      <w:r>
        <w:rPr>
          <w:rFonts w:ascii="Times New Roman;sans-serif" w:hAnsi="Times New Roman;sans-serif"/>
          <w:b/>
          <w:color w:val="000000"/>
          <w:sz w:val="18"/>
        </w:rPr>
        <w:t xml:space="preserve">Yes </w:t>
      </w:r>
      <w:r>
        <w:rPr>
          <w:color w:val="000000"/>
        </w:rPr>
        <w:t xml:space="preserve">☒ </w:t>
      </w:r>
      <w:r>
        <w:rPr>
          <w:rFonts w:ascii="Times New Roman;sans-serif" w:hAnsi="Times New Roman;sans-serif"/>
          <w:b/>
          <w:color w:val="000000"/>
          <w:sz w:val="18"/>
        </w:rPr>
        <w:t xml:space="preserve">No </w:t>
      </w:r>
      <w:r>
        <w:rPr>
          <w:color w:val="000000"/>
        </w:rPr>
        <w: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ans-serif" w:hAnsi="Times New Roman;sans-serif"/>
          <w:b/>
          <w:color w:val="000000"/>
          <w:sz w:val="18"/>
        </w:rPr>
        <w:t xml:space="preserve">Yes </w:t>
      </w:r>
      <w:r>
        <w:rPr>
          <w:color w:val="000000"/>
        </w:rPr>
        <w:t xml:space="preserve">☒ </w:t>
      </w:r>
      <w:r>
        <w:rPr>
          <w:rFonts w:ascii="Times New Roman;sans-serif" w:hAnsi="Times New Roman;sans-serif"/>
          <w:b/>
          <w:color w:val="000000"/>
          <w:sz w:val="18"/>
        </w:rPr>
        <w:t xml:space="preserve">No </w:t>
      </w:r>
      <w:r>
        <w:rPr>
          <w:color w:val="000000"/>
        </w:rPr>
        <w:t>☐</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31" w:type="dxa"/>
        <w:jc w:val="left"/>
        <w:tblInd w:w="0" w:type="dxa"/>
        <w:tblLayout w:type="fixed"/>
        <w:tblCellMar>
          <w:top w:w="28" w:type="dxa"/>
          <w:left w:w="28" w:type="dxa"/>
          <w:bottom w:w="28" w:type="dxa"/>
          <w:right w:w="28" w:type="dxa"/>
        </w:tblCellMar>
      </w:tblPr>
      <w:tblGrid>
        <w:gridCol w:w="652"/>
        <w:gridCol w:w="573"/>
        <w:gridCol w:w="575"/>
        <w:gridCol w:w="109"/>
        <w:gridCol w:w="109"/>
        <w:gridCol w:w="109"/>
        <w:gridCol w:w="109"/>
        <w:gridCol w:w="109"/>
        <w:gridCol w:w="109"/>
        <w:gridCol w:w="734"/>
        <w:gridCol w:w="734"/>
        <w:gridCol w:w="737"/>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Indicate by check mark whether the registrant is a shell company (as defined in Rule 12b-2 of the Exchange Act). </w:t>
      </w:r>
    </w:p>
    <w:p>
      <w:pPr>
        <w:pStyle w:val="TextBody"/>
        <w:bidi w:val="0"/>
        <w:spacing w:lineRule="auto" w:line="288" w:before="0" w:after="0"/>
        <w:jc w:val="center"/>
        <w:rPr/>
      </w:pPr>
      <w:r>
        <w:rPr>
          <w:rFonts w:ascii="Times New Roman;sans-serif" w:hAnsi="Times New Roman;sans-serif"/>
          <w:b/>
          <w:color w:val="000000"/>
          <w:sz w:val="18"/>
        </w:rPr>
        <w:t xml:space="preserve">Yes </w:t>
      </w:r>
      <w:r>
        <w:rPr>
          <w:color w:val="000000"/>
        </w:rPr>
        <w:t xml:space="preserve">☐ </w:t>
      </w:r>
      <w:r>
        <w:rPr>
          <w:rFonts w:ascii="Times New Roman;sans-serif" w:hAnsi="Times New Roman;sans-serif"/>
          <w:b/>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There were 119,141,235 shares of the registrant’s common stock, par value $1 per share, outstanding as of April 30,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097"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2517"/>
        <w:gridCol w:w="2517"/>
        <w:gridCol w:w="25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0">
              <w:r>
                <w:rPr>
                  <w:rStyle w:val="InternetLink"/>
                  <w:rFonts w:ascii="Times New Roman;sans-serif" w:hAnsi="Times New Roman;sans-serif"/>
                  <w:b/>
                  <w:color w:val="0000FF"/>
                  <w:sz w:val="20"/>
                  <w:u w:val="single"/>
                </w:rPr>
                <w:t>Glossary of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0">
              <w:r>
                <w:rPr>
                  <w:rStyle w:val="InternetLink"/>
                  <w:rFonts w:ascii="Times New Roman;sans-serif" w:hAnsi="Times New Roman;sans-serif"/>
                  <w:b w:val="false"/>
                  <w:color w:val="0000FF"/>
                  <w:sz w:val="20"/>
                  <w:u w:val="single"/>
                </w:rPr>
                <w:t>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3">
              <w:r>
                <w:rPr>
                  <w:rStyle w:val="InternetLink"/>
                  <w:rFonts w:ascii="Times New Roman;sans-serif" w:hAnsi="Times New Roman;sans-serif"/>
                  <w:b/>
                  <w:color w:val="0000FF"/>
                  <w:sz w:val="20"/>
                  <w:u w:val="single"/>
                </w:rPr>
                <w:t>Cautionary Note Regarding 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3">
              <w:r>
                <w:rPr>
                  <w:rStyle w:val="InternetLink"/>
                  <w:rFonts w:ascii="Times New Roman;sans-serif" w:hAnsi="Times New Roman;sans-serif"/>
                  <w:b w:val="false"/>
                  <w:color w:val="0000FF"/>
                  <w:sz w:val="20"/>
                  <w:u w:val="single"/>
                </w:rPr>
                <w:t>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7"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baf2e911c5c4157a3220abe3d8abaca_16">
              <w:r>
                <w:rPr>
                  <w:rStyle w:val="InternetLink"/>
                  <w:rFonts w:ascii="Times New Roman;sans-serif" w:hAnsi="Times New Roman;sans-serif"/>
                  <w:b/>
                  <w:color w:val="0000FF"/>
                  <w:sz w:val="20"/>
                  <w:u w:val="single"/>
                </w:rPr>
                <w:t>PART I - Financial Information</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9">
              <w:r>
                <w:rPr>
                  <w:rStyle w:val="InternetLink"/>
                  <w:rFonts w:ascii="Times New Roman;sans-serif" w:hAnsi="Times New Roman;sans-serif"/>
                  <w:b/>
                  <w:color w:val="0000FF"/>
                  <w:sz w:val="20"/>
                  <w:u w:val="single"/>
                </w:rPr>
                <w:t>Consolidated Balance Sheets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9">
              <w:r>
                <w:rPr>
                  <w:rStyle w:val="InternetLink"/>
                  <w:rFonts w:ascii="Times New Roman;sans-serif" w:hAnsi="Times New Roman;sans-serif"/>
                  <w:b w:val="false"/>
                  <w:color w:val="0000FF"/>
                  <w:sz w:val="20"/>
                  <w:u w:val="single"/>
                </w:rPr>
                <w:t>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2">
              <w:r>
                <w:rPr>
                  <w:rStyle w:val="InternetLink"/>
                  <w:rFonts w:ascii="Times New Roman;sans-serif" w:hAnsi="Times New Roman;sans-serif"/>
                  <w:b/>
                  <w:color w:val="0000FF"/>
                  <w:sz w:val="20"/>
                  <w:u w:val="single"/>
                </w:rPr>
                <w:t>Consolidated Statements of Income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22">
              <w:r>
                <w:rPr>
                  <w:rStyle w:val="InternetLink"/>
                  <w:rFonts w:ascii="Times New Roman;sans-serif" w:hAnsi="Times New Roman;sans-serif"/>
                  <w:b w:val="false"/>
                  <w:color w:val="0000FF"/>
                  <w:sz w:val="20"/>
                  <w:u w:val="single"/>
                </w:rPr>
                <w:t>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5">
              <w:r>
                <w:rPr>
                  <w:rStyle w:val="InternetLink"/>
                  <w:rFonts w:ascii="Times New Roman;sans-serif" w:hAnsi="Times New Roman;sans-serif"/>
                  <w:b/>
                  <w:color w:val="0000FF"/>
                  <w:sz w:val="20"/>
                  <w:u w:val="single"/>
                </w:rPr>
                <w:t>Consolidated Statements of Comprehensive Income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25">
              <w:r>
                <w:rPr>
                  <w:rStyle w:val="InternetLink"/>
                  <w:rFonts w:ascii="Times New Roman;sans-serif" w:hAnsi="Times New Roman;sans-serif"/>
                  <w:b w:val="false"/>
                  <w:color w:val="0000FF"/>
                  <w:sz w:val="20"/>
                  <w:u w:val="single"/>
                </w:rPr>
                <w:t>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31">
              <w:r>
                <w:rPr>
                  <w:rStyle w:val="InternetLink"/>
                  <w:rFonts w:ascii="Times New Roman;sans-serif" w:hAnsi="Times New Roman;sans-serif"/>
                  <w:b/>
                  <w:color w:val="0000FF"/>
                  <w:sz w:val="20"/>
                  <w:u w:val="single"/>
                </w:rPr>
                <w:t>Consolidated Statements of Changes in Shareholders’ Equity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31">
              <w:r>
                <w:rPr>
                  <w:rStyle w:val="InternetLink"/>
                  <w:rFonts w:ascii="Times New Roman;sans-serif" w:hAnsi="Times New Roman;sans-serif"/>
                  <w:b w:val="false"/>
                  <w:color w:val="0000FF"/>
                  <w:sz w:val="20"/>
                  <w:u w:val="single"/>
                </w:rPr>
                <w:t>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34">
              <w:r>
                <w:rPr>
                  <w:rStyle w:val="InternetLink"/>
                  <w:rFonts w:ascii="Times New Roman;sans-serif" w:hAnsi="Times New Roman;sans-serif"/>
                  <w:b/>
                  <w:color w:val="0000FF"/>
                  <w:sz w:val="20"/>
                  <w:u w:val="single"/>
                </w:rPr>
                <w:t>Consolidated Statements of Cash Flows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34">
              <w:r>
                <w:rPr>
                  <w:rStyle w:val="InternetLink"/>
                  <w:rFonts w:ascii="Times New Roman;sans-serif" w:hAnsi="Times New Roman;sans-serif"/>
                  <w:b w:val="false"/>
                  <w:color w:val="0000FF"/>
                  <w:sz w:val="20"/>
                  <w:u w:val="single"/>
                </w:rPr>
                <w:t>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37">
              <w:r>
                <w:rPr>
                  <w:rStyle w:val="InternetLink"/>
                  <w:rFonts w:ascii="Times New Roman;sans-serif" w:hAnsi="Times New Roman;sans-serif"/>
                  <w:b/>
                  <w:color w:val="0000FF"/>
                  <w:sz w:val="20"/>
                  <w:u w:val="single"/>
                </w:rPr>
                <w:t>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37">
              <w:r>
                <w:rPr>
                  <w:rStyle w:val="InternetLink"/>
                  <w:rFonts w:ascii="Times New Roman;sans-serif" w:hAnsi="Times New Roman;sans-serif"/>
                  <w:b w:val="false"/>
                  <w:color w:val="0000FF"/>
                  <w:sz w:val="20"/>
                  <w:u w:val="single"/>
                </w:rPr>
                <w:t>10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12">
              <w:r>
                <w:rPr>
                  <w:rStyle w:val="InternetLink"/>
                  <w:rFonts w:ascii="Times New Roman;sans-serif" w:hAnsi="Times New Roman;sans-serif"/>
                  <w:b/>
                  <w:color w:val="0000FF"/>
                  <w:sz w:val="20"/>
                  <w:u w:val="single"/>
                </w:rPr>
                <w:t>Item 2.</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12">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12">
              <w:r>
                <w:rPr>
                  <w:rStyle w:val="InternetLink"/>
                  <w:rFonts w:ascii="Times New Roman;sans-serif" w:hAnsi="Times New Roman;sans-serif"/>
                  <w:b w:val="false"/>
                  <w:color w:val="0000FF"/>
                  <w:sz w:val="20"/>
                  <w:u w:val="single"/>
                </w:rPr>
                <w:t>36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78">
              <w:r>
                <w:rPr>
                  <w:rStyle w:val="InternetLink"/>
                  <w:rFonts w:ascii="Times New Roman;sans-serif" w:hAnsi="Times New Roman;sans-serif"/>
                  <w:b/>
                  <w:color w:val="0000FF"/>
                  <w:sz w:val="20"/>
                  <w:u w:val="single"/>
                </w:rPr>
                <w:t>Item 3.</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78">
              <w:r>
                <w:rPr>
                  <w:rStyle w:val="InternetLink"/>
                  <w:rFonts w:ascii="Times New Roman;sans-serif" w:hAnsi="Times New Roman;sans-serif"/>
                  <w:b/>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78">
              <w:r>
                <w:rPr>
                  <w:rStyle w:val="InternetLink"/>
                  <w:rFonts w:ascii="Times New Roman;sans-serif" w:hAnsi="Times New Roman;sans-serif"/>
                  <w:b w:val="false"/>
                  <w:color w:val="0000FF"/>
                  <w:sz w:val="20"/>
                  <w:u w:val="single"/>
                </w:rPr>
                <w:t>56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81">
              <w:r>
                <w:rPr>
                  <w:rStyle w:val="InternetLink"/>
                  <w:rFonts w:ascii="Times New Roman;sans-serif" w:hAnsi="Times New Roman;sans-serif"/>
                  <w:b/>
                  <w:color w:val="0000FF"/>
                  <w:sz w:val="20"/>
                  <w:u w:val="single"/>
                </w:rPr>
                <w:t>Item 4.</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81">
              <w:r>
                <w:rPr>
                  <w:rStyle w:val="InternetLink"/>
                  <w:rFonts w:ascii="Times New Roman;sans-serif" w:hAnsi="Times New Roman;sans-serif"/>
                  <w:b/>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81">
              <w:r>
                <w:rPr>
                  <w:rStyle w:val="InternetLink"/>
                  <w:rFonts w:ascii="Times New Roman;sans-serif" w:hAnsi="Times New Roman;sans-serif"/>
                  <w:b w:val="false"/>
                  <w:color w:val="0000FF"/>
                  <w:sz w:val="20"/>
                  <w:u w:val="single"/>
                </w:rPr>
                <w:t>56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097"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baf2e911c5c4157a3220abe3d8abaca_184">
              <w:r>
                <w:rPr>
                  <w:rStyle w:val="InternetLink"/>
                  <w:rFonts w:ascii="Times New Roman;sans-serif" w:hAnsi="Times New Roman;sans-serif"/>
                  <w:b/>
                  <w:color w:val="0000FF"/>
                  <w:sz w:val="20"/>
                  <w:u w:val="single"/>
                </w:rPr>
                <w:t>PART II - Other Information</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87">
              <w:r>
                <w:rPr>
                  <w:rStyle w:val="InternetLink"/>
                  <w:rFonts w:ascii="Times New Roman;sans-serif" w:hAnsi="Times New Roman;sans-serif"/>
                  <w:b/>
                  <w:color w:val="0000FF"/>
                  <w:sz w:val="20"/>
                  <w:u w:val="single"/>
                </w:rPr>
                <w:t>Item 1.</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87">
              <w:r>
                <w:rPr>
                  <w:rStyle w:val="InternetLink"/>
                  <w:rFonts w:ascii="Times New Roman;sans-serif" w:hAnsi="Times New Roman;sans-serif"/>
                  <w:b/>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87">
              <w:r>
                <w:rPr>
                  <w:rStyle w:val="InternetLink"/>
                  <w:rFonts w:ascii="Times New Roman;sans-serif" w:hAnsi="Times New Roman;sans-serif"/>
                  <w:b w:val="false"/>
                  <w:color w:val="0000FF"/>
                  <w:sz w:val="20"/>
                  <w:u w:val="single"/>
                </w:rPr>
                <w:t>57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90">
              <w:r>
                <w:rPr>
                  <w:rStyle w:val="InternetLink"/>
                  <w:rFonts w:ascii="Times New Roman;sans-serif" w:hAnsi="Times New Roman;sans-serif"/>
                  <w:b/>
                  <w:color w:val="0000FF"/>
                  <w:sz w:val="20"/>
                  <w:u w:val="single"/>
                </w:rPr>
                <w:t>Item 1A.</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190">
              <w:r>
                <w:rPr>
                  <w:rStyle w:val="InternetLink"/>
                  <w:rFonts w:ascii="Times New Roman;sans-serif" w:hAnsi="Times New Roman;sans-serif"/>
                  <w:b/>
                  <w:color w:val="0000FF"/>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190">
              <w:r>
                <w:rPr>
                  <w:rStyle w:val="InternetLink"/>
                  <w:rFonts w:ascii="Times New Roman;sans-serif" w:hAnsi="Times New Roman;sans-serif"/>
                  <w:b w:val="false"/>
                  <w:color w:val="0000FF"/>
                  <w:sz w:val="20"/>
                  <w:u w:val="single"/>
                </w:rPr>
                <w:t>57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02">
              <w:r>
                <w:rPr>
                  <w:rStyle w:val="InternetLink"/>
                  <w:rFonts w:ascii="Times New Roman;sans-serif" w:hAnsi="Times New Roman;sans-serif"/>
                  <w:b/>
                  <w:color w:val="0000FF"/>
                  <w:sz w:val="20"/>
                  <w:u w:val="single"/>
                </w:rPr>
                <w:t>Item 5.</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02">
              <w:r>
                <w:rPr>
                  <w:rStyle w:val="InternetLink"/>
                  <w:rFonts w:ascii="Times New Roman;sans-serif" w:hAnsi="Times New Roman;sans-serif"/>
                  <w:b/>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202">
              <w:r>
                <w:rPr>
                  <w:rStyle w:val="InternetLink"/>
                  <w:rFonts w:ascii="Times New Roman;sans-serif" w:hAnsi="Times New Roman;sans-serif"/>
                  <w:b w:val="false"/>
                  <w:color w:val="0000FF"/>
                  <w:sz w:val="20"/>
                  <w:u w:val="single"/>
                </w:rPr>
                <w:t>57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05">
              <w:r>
                <w:rPr>
                  <w:rStyle w:val="InternetLink"/>
                  <w:rFonts w:ascii="Times New Roman;sans-serif" w:hAnsi="Times New Roman;sans-serif"/>
                  <w:b/>
                  <w:color w:val="0000FF"/>
                  <w:sz w:val="20"/>
                  <w:u w:val="single"/>
                </w:rPr>
                <w:t>Item 6.</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baf2e911c5c4157a3220abe3d8abaca_205">
              <w:r>
                <w:rPr>
                  <w:rStyle w:val="InternetLink"/>
                  <w:rFonts w:ascii="Times New Roman;sans-serif" w:hAnsi="Times New Roman;sans-serif"/>
                  <w:b/>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baf2e911c5c4157a3220abe3d8abaca_205">
              <w:r>
                <w:rPr>
                  <w:rStyle w:val="InternetLink"/>
                  <w:rFonts w:ascii="Times New Roman;sans-serif" w:hAnsi="Times New Roman;sans-serif"/>
                  <w:b w:val="false"/>
                  <w:color w:val="0000FF"/>
                  <w:sz w:val="20"/>
                  <w:u w:val="single"/>
                </w:rPr>
                <w:t>57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Glossary of Defined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terms may be used throughout this report, including the consolidated financial statements and related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0"/>
        <w:gridCol w:w="483"/>
        <w:gridCol w:w="476"/>
        <w:gridCol w:w="109"/>
        <w:gridCol w:w="109"/>
        <w:gridCol w:w="109"/>
        <w:gridCol w:w="2572"/>
        <w:gridCol w:w="2396"/>
        <w:gridCol w:w="3401"/>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Definition</w:t>
            </w:r>
          </w:p>
        </w:tc>
      </w:tr>
      <w:tr>
        <w:trPr/>
        <w:tc>
          <w:tcPr>
            <w:tcW w:w="1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United’s Annual Report on Form 10-K for the year ended December 31, 2023 filed with the SEC on February 23, 2024</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Asset/Liability Management Committee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Community Bank</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Community Banks Inc., Board of Directors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Bank-owned life insurance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expected credit loss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Chicago Mercantile Exchange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Community Banks Inc. (interchangeable with "United" below)</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CVA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valuation adjustment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 made to borrowers experiencing financial difficulty</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 System</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Miami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Miami Bancorp, Inc. and its wholly-owned subsidiary, First National Bank of South Miami</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Reserve’s Federal Open Markets Committee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taxable equivalent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Community Banks, Inc. on an unconsolidated basis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LIHTC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 income housing tax credit</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Negotiable order of withdrawal</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asset</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amortization method</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PCD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credit deteriorated</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Progress Financial Corporation and its wholly-owned subsidiary, Progress Bank &amp; Trust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on Form 10-Q for the quarterly period ending March 31, 2024</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Small Business Administration</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Department of the Treasury</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Community Banks, Inc. and its direct and indirect subsidiaries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Department of Agriculture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interest entity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loan underwriting, credit review or loss policies associated with economic conditions, examination conclusions or regulatory developments;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potential effects of pandemics or public health conditions on the economic and business environments in which we operate, including the impact of actions taken by governmental authorities to address these situations;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strategic, market, operational, liquidity and interest rate risks associated with our business;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unanticipated or greater than anticipated adverse conditions in the national or local economies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loan concentration in industries or sectors that may experience unanticipated or greater than anticipated adverse conditions than other industries or sectors in the national or local economies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risks of expansion into new geographic or product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risks with respect to our ability to identify and complete future mergers or acquisitions as well as our ability to successfully expand and integrate those businesses and operations that we acquire;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key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competition from financial institutions and other financial service providers including non-bank financial technology providers and our ability to attract customers from other financial institutions;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losses due to fraudulent and negligent conduct of our customers, third-party service providers or employees;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reliance on third parties to provide key components of our business infrastructure and services required to operate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we may be required to make substantial expenditures to keep pace with regulatory initiatives and the rapid technological changes in the financial services market;</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the availability of and access to capital, particularly if there were to be increased capital requirements or enhanced regulatory supervision;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legislative, regulatory or accounting changes that may adversely affect us;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volatility in the ACL resulting from the CECL methodology, either alone or as that may be affected by conditions affecting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any matter that would cause us to conclude that there was impairment of any asset, including intangible assets, such as goodwill;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limitations on our ability to declare and pay dividends and other distributions from the Bank to the Holding Company, which could affect Holding Company liquidity, including its ability to pay dividends to shareholders or take other capital 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potential effects of events beyond our control that may have a destabilizing effect on financial markets and the economy, such as inflation or recession, terrorist activities, wars and other foreign conflicts, climate change, disruptions in our customers’ supply chains, disruptions in transportation, essential utility outages or trade disputes and related tariffs;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2023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 The financial statements and information contained herein have not been reviewed, or confirmed for accuracy or relevance, by the FDIC or any other regulator.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Item 1. Financial Statements</w:t>
      </w:r>
    </w:p>
    <w:p>
      <w:pPr>
        <w:pStyle w:val="TextBody"/>
        <w:bidi w:val="0"/>
        <w:spacing w:before="0" w:after="0"/>
        <w:jc w:val="left"/>
        <w:rPr/>
      </w:pPr>
      <w:r>
        <w:rPr/>
      </w:r>
    </w:p>
    <w:tbl>
      <w:tblPr>
        <w:tblW w:w="3630" w:type="dxa"/>
        <w:jc w:val="left"/>
        <w:tblInd w:w="0" w:type="dxa"/>
        <w:tblLayout w:type="fixed"/>
        <w:tblCellMar>
          <w:top w:w="28" w:type="dxa"/>
          <w:left w:w="28" w:type="dxa"/>
          <w:bottom w:w="28" w:type="dxa"/>
          <w:right w:w="28" w:type="dxa"/>
        </w:tblCellMar>
      </w:tblPr>
      <w:tblGrid>
        <w:gridCol w:w="1161"/>
        <w:gridCol w:w="1020"/>
        <w:gridCol w:w="1449"/>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COMMUNITY BANKS, INC.</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Consolidated Balance Sheets</w:t>
            </w:r>
            <w:r>
              <w:rPr>
                <w:color w:val="000000"/>
              </w:rPr>
              <w:t xml:space="preserve"> </w:t>
            </w:r>
            <w:r>
              <w:rPr>
                <w:rFonts w:ascii="Times New Roman;sans-serif" w:hAnsi="Times New Roman;sans-serif"/>
                <w:b w:val="false"/>
                <w:i/>
                <w:color w:val="000000"/>
                <w:sz w:val="20"/>
              </w:rPr>
              <w:t>(Unaudited)</w:t>
            </w:r>
          </w:p>
        </w:tc>
      </w:tr>
      <w:tr>
        <w:trPr/>
        <w:tc>
          <w:tcPr>
            <w:tcW w:w="3630" w:type="dxa"/>
            <w:gridSpan w:val="3"/>
            <w:tcBorders/>
            <w:vAlign w:val="center"/>
          </w:tcPr>
          <w:p>
            <w:pPr>
              <w:pStyle w:val="TableContents"/>
              <w:bidi w:val="0"/>
              <w:spacing w:before="0" w:after="283"/>
              <w:jc w:val="left"/>
              <w:rPr>
                <w:sz w:val="4"/>
                <w:szCs w:val="4"/>
              </w:rPr>
            </w:pPr>
            <w:r>
              <w:rPr>
                <w:sz w:val="4"/>
                <w:szCs w:val="4"/>
              </w:rPr>
            </w:r>
          </w:p>
        </w:tc>
      </w:tr>
    </w:tbl>
    <w:tbl>
      <w:tblPr>
        <w:tblW w:w="9981" w:type="dxa"/>
        <w:jc w:val="left"/>
        <w:tblInd w:w="0" w:type="dxa"/>
        <w:tblLayout w:type="fixed"/>
        <w:tblCellMar>
          <w:top w:w="28" w:type="dxa"/>
          <w:left w:w="28" w:type="dxa"/>
          <w:bottom w:w="28" w:type="dxa"/>
          <w:right w:w="28" w:type="dxa"/>
        </w:tblCellMar>
      </w:tblPr>
      <w:tblGrid>
        <w:gridCol w:w="2441"/>
        <w:gridCol w:w="2150"/>
        <w:gridCol w:w="2159"/>
        <w:gridCol w:w="109"/>
        <w:gridCol w:w="109"/>
        <w:gridCol w:w="109"/>
        <w:gridCol w:w="196"/>
        <w:gridCol w:w="961"/>
        <w:gridCol w:w="109"/>
        <w:gridCol w:w="109"/>
        <w:gridCol w:w="109"/>
        <w:gridCol w:w="109"/>
        <w:gridCol w:w="196"/>
        <w:gridCol w:w="961"/>
        <w:gridCol w:w="154"/>
      </w:tblGrid>
      <w:tr>
        <w:trPr/>
        <w:tc>
          <w:tcPr>
            <w:tcW w:w="244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r>
      <w:tr>
        <w:trPr/>
        <w:tc>
          <w:tcPr>
            <w:tcW w:w="67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 in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securities held-to-maturity (fair value $2,042,912 and $2,095,620,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Loans held for sale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18,318,755 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 -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18,163,910 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27,364,888 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27,297,251 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16,776,304 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24,064,778 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24,035,726 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Preferred stock, $1 par value: 10,000,000 shares authorized; 3,662 shares Series I issued and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outstanding; $25,000 per share liquidation preference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$1 par value: 200,000,000 shares authorized,</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119,136,518 and 119,010,319 shares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issuable: 560,833 and 620,108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27,364,888 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27,297,251 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9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tbl>
      <w:tblPr>
        <w:tblW w:w="3825" w:type="dxa"/>
        <w:jc w:val="left"/>
        <w:tblInd w:w="0" w:type="dxa"/>
        <w:tblLayout w:type="fixed"/>
        <w:tblCellMar>
          <w:top w:w="28" w:type="dxa"/>
          <w:left w:w="28" w:type="dxa"/>
          <w:bottom w:w="28" w:type="dxa"/>
          <w:right w:w="28" w:type="dxa"/>
        </w:tblCellMar>
      </w:tblPr>
      <w:tblGrid>
        <w:gridCol w:w="1223"/>
        <w:gridCol w:w="1075"/>
        <w:gridCol w:w="1527"/>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COMMUNITY BANKS, INC.</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Consolidated Statements of Income</w:t>
            </w:r>
            <w:r>
              <w:rPr>
                <w:color w:val="000000"/>
              </w:rPr>
              <w:t xml:space="preserve"> </w:t>
            </w:r>
            <w:r>
              <w:rPr>
                <w:rFonts w:ascii="Times New Roman;sans-serif" w:hAnsi="Times New Roman;sans-serif"/>
                <w:b w:val="false"/>
                <w:i/>
                <w:color w:val="000000"/>
                <w:sz w:val="18"/>
              </w:rPr>
              <w:t>(Unaudited)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71" w:type="dxa"/>
        <w:jc w:val="left"/>
        <w:tblInd w:w="0" w:type="dxa"/>
        <w:tblLayout w:type="fixed"/>
        <w:tblCellMar>
          <w:top w:w="28" w:type="dxa"/>
          <w:left w:w="28" w:type="dxa"/>
          <w:bottom w:w="28" w:type="dxa"/>
          <w:right w:w="28" w:type="dxa"/>
        </w:tblCellMar>
      </w:tblPr>
      <w:tblGrid>
        <w:gridCol w:w="124"/>
        <w:gridCol w:w="1863"/>
        <w:gridCol w:w="1863"/>
        <w:gridCol w:w="1869"/>
        <w:gridCol w:w="109"/>
        <w:gridCol w:w="109"/>
        <w:gridCol w:w="109"/>
        <w:gridCol w:w="118"/>
        <w:gridCol w:w="118"/>
        <w:gridCol w:w="118"/>
        <w:gridCol w:w="118"/>
        <w:gridCol w:w="213"/>
        <w:gridCol w:w="800"/>
        <w:gridCol w:w="118"/>
        <w:gridCol w:w="109"/>
        <w:gridCol w:w="109"/>
        <w:gridCol w:w="109"/>
        <w:gridCol w:w="196"/>
        <w:gridCol w:w="73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Interest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including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including tax exempt of $1,721 and $2,110,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in banks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Federal Home Loan Bank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revenue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186,250 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 gains and other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Wealth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from sales of other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Lending and loan 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39,587 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225,837 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Communications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Advertising and public relations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Postage, printing and supplies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Lending and loan servicing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Outside services - electronic banking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assessments and other regulatory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145,002 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tbl>
      <w:tblPr>
        <w:tblW w:w="5069" w:type="dxa"/>
        <w:jc w:val="left"/>
        <w:tblInd w:w="0" w:type="dxa"/>
        <w:tblLayout w:type="fixed"/>
        <w:tblCellMar>
          <w:top w:w="28" w:type="dxa"/>
          <w:left w:w="28" w:type="dxa"/>
          <w:bottom w:w="28" w:type="dxa"/>
          <w:right w:w="28" w:type="dxa"/>
        </w:tblCellMar>
      </w:tblPr>
      <w:tblGrid>
        <w:gridCol w:w="1621"/>
        <w:gridCol w:w="1425"/>
        <w:gridCol w:w="2023"/>
      </w:tblGrid>
      <w:tr>
        <w:trPr/>
        <w:tc>
          <w:tcPr>
            <w:tcW w:w="16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COMMUNITY BANKS, INC.</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Consolidated Statements of Comprehensive Income</w:t>
            </w:r>
            <w:r>
              <w:rPr>
                <w:color w:val="000000"/>
              </w:rPr>
              <w:t xml:space="preserve"> </w:t>
            </w:r>
            <w:r>
              <w:rPr>
                <w:rFonts w:ascii="Times New Roman;sans-serif" w:hAnsi="Times New Roman;sans-serif"/>
                <w:b w:val="false"/>
                <w:i/>
                <w:color w:val="000000"/>
                <w:sz w:val="18"/>
              </w:rPr>
              <w:t>(Unaudited)</w:t>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29"/>
        <w:gridCol w:w="1558"/>
        <w:gridCol w:w="1571"/>
        <w:gridCol w:w="109"/>
        <w:gridCol w:w="109"/>
        <w:gridCol w:w="109"/>
        <w:gridCol w:w="145"/>
        <w:gridCol w:w="145"/>
        <w:gridCol w:w="145"/>
        <w:gridCol w:w="145"/>
        <w:gridCol w:w="145"/>
        <w:gridCol w:w="145"/>
        <w:gridCol w:w="262"/>
        <w:gridCol w:w="984"/>
        <w:gridCol w:w="145"/>
        <w:gridCol w:w="109"/>
        <w:gridCol w:w="109"/>
        <w:gridCol w:w="109"/>
        <w:gridCol w:w="196"/>
        <w:gridCol w:w="699"/>
        <w:gridCol w:w="109"/>
        <w:gridCol w:w="109"/>
        <w:gridCol w:w="109"/>
        <w:gridCol w:w="109"/>
        <w:gridCol w:w="196"/>
        <w:gridCol w:w="646"/>
        <w:gridCol w:w="159"/>
      </w:tblGrid>
      <w:tr>
        <w:trPr/>
        <w:tc>
          <w:tcPr>
            <w:tcW w:w="182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659" w:type="dxa"/>
            <w:gridSpan w:val="12"/>
            <w:tcBorders/>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Before-tax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of Tax</w:t>
              <w:br/>
              <w:t>Amount</w:t>
            </w:r>
          </w:p>
        </w:tc>
      </w:tr>
      <w:tr>
        <w:trPr/>
        <w:tc>
          <w:tcPr>
            <w:tcW w:w="4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80,835 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gains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unrealized losses on held-to-maturity securities transferred from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 designated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holding gains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 on derivative instruments realized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flow hedge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defined benefit pension plan net periodic pension cost components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2,557 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84,382 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65,188 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80,091 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gains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holding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Reclassification adjustment for losses included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unrealized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44,923 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34,265 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unrealized losses on held-to-maturity securities transferred from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 designated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Unrealized holding losses on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 on derivative instruments realized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flow hedge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defined benefit pension plan net periodic pension cost components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4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45,928 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35,051 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126,019 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97,351 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tbl>
      <w:tblPr>
        <w:tblW w:w="5745" w:type="dxa"/>
        <w:jc w:val="center"/>
        <w:tblInd w:w="0" w:type="dxa"/>
        <w:tblLayout w:type="fixed"/>
        <w:tblCellMar>
          <w:top w:w="28" w:type="dxa"/>
          <w:left w:w="28" w:type="dxa"/>
          <w:bottom w:w="28" w:type="dxa"/>
          <w:right w:w="28" w:type="dxa"/>
        </w:tblCellMar>
      </w:tblPr>
      <w:tblGrid>
        <w:gridCol w:w="1838"/>
        <w:gridCol w:w="1614"/>
        <w:gridCol w:w="2293"/>
      </w:tblGrid>
      <w:tr>
        <w:trPr/>
        <w:tc>
          <w:tcPr>
            <w:tcW w:w="1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UNITED COMMUNITY BANKS, INC.</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Consolidated Statement of Changes in Shareholders’ Equity</w:t>
            </w:r>
            <w:r>
              <w:rPr>
                <w:color w:val="000000"/>
              </w:rPr>
              <w:t xml:space="preserve"> </w:t>
            </w:r>
            <w:r>
              <w:rPr>
                <w:rFonts w:ascii="Times New Roman;sans-serif" w:hAnsi="Times New Roman;sans-serif"/>
                <w:b w:val="false"/>
                <w:i/>
                <w:color w:val="000000"/>
                <w:sz w:val="18"/>
              </w:rPr>
              <w:t>(Unaudited)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bl>
    <w:tbl>
      <w:tblPr>
        <w:tblW w:w="12489" w:type="dxa"/>
        <w:jc w:val="center"/>
        <w:tblInd w:w="0" w:type="dxa"/>
        <w:tblLayout w:type="fixed"/>
        <w:tblCellMar>
          <w:top w:w="28" w:type="dxa"/>
          <w:left w:w="28" w:type="dxa"/>
          <w:bottom w:w="28" w:type="dxa"/>
          <w:right w:w="28" w:type="dxa"/>
        </w:tblCellMar>
      </w:tblPr>
      <w:tblGrid>
        <w:gridCol w:w="611"/>
        <w:gridCol w:w="287"/>
        <w:gridCol w:w="288"/>
        <w:gridCol w:w="689"/>
        <w:gridCol w:w="362"/>
        <w:gridCol w:w="276"/>
        <w:gridCol w:w="109"/>
        <w:gridCol w:w="109"/>
        <w:gridCol w:w="109"/>
        <w:gridCol w:w="196"/>
        <w:gridCol w:w="64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736"/>
        <w:gridCol w:w="109"/>
        <w:gridCol w:w="109"/>
        <w:gridCol w:w="109"/>
        <w:gridCol w:w="109"/>
        <w:gridCol w:w="242"/>
        <w:gridCol w:w="928"/>
        <w:gridCol w:w="136"/>
        <w:gridCol w:w="109"/>
        <w:gridCol w:w="109"/>
        <w:gridCol w:w="109"/>
        <w:gridCol w:w="196"/>
        <w:gridCol w:w="871"/>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data) </w:t>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Issuable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119,010,319 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(239,192)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($0.23 per share)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equity-based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80,147 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other United sponsored equity plans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46,052 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119,136,518 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(236,635)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106,222,758 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(329,488)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acquisitions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8,770,531 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dividends</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($0.23 per share)</w:t>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equity-based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other United sponsored equity plans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115,151,566 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(294,437)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3,078,123 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tbl>
      <w:tblPr>
        <w:tblW w:w="4155" w:type="dxa"/>
        <w:jc w:val="left"/>
        <w:tblInd w:w="0" w:type="dxa"/>
        <w:tblLayout w:type="fixed"/>
        <w:tblCellMar>
          <w:top w:w="28" w:type="dxa"/>
          <w:left w:w="28" w:type="dxa"/>
          <w:bottom w:w="28" w:type="dxa"/>
          <w:right w:w="28" w:type="dxa"/>
        </w:tblCellMar>
      </w:tblPr>
      <w:tblGrid>
        <w:gridCol w:w="1329"/>
        <w:gridCol w:w="1168"/>
        <w:gridCol w:w="1658"/>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COMMUNITY BANKS, INC.</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Consolidated Statements of Cash Flows</w:t>
            </w:r>
            <w:r>
              <w:rPr>
                <w:color w:val="000000"/>
              </w:rPr>
              <w:t xml:space="preserve"> </w:t>
            </w:r>
            <w:r>
              <w:rPr>
                <w:rFonts w:ascii="Times New Roman;sans-serif" w:hAnsi="Times New Roman;sans-serif"/>
                <w:b w:val="false"/>
                <w:i/>
                <w:color w:val="000000"/>
                <w:sz w:val="18"/>
              </w:rPr>
              <w:t>(Unaudited)</w:t>
            </w:r>
          </w:p>
        </w:tc>
      </w:tr>
      <w:tr>
        <w:trPr/>
        <w:tc>
          <w:tcPr>
            <w:tcW w:w="4155" w:type="dxa"/>
            <w:gridSpan w:val="3"/>
            <w:tcBorders/>
            <w:tcMar>
              <w:top w:w="0" w:type="dxa"/>
              <w:left w:w="0" w:type="dxa"/>
              <w:bottom w:w="0" w:type="dxa"/>
              <w:right w:w="0" w:type="dxa"/>
            </w:tcMar>
            <w:vAlign w:val="center"/>
          </w:tcPr>
          <w:p>
            <w:pPr>
              <w:pStyle w:val="TableContents"/>
              <w:bidi w:val="0"/>
              <w:spacing w:before="0" w:after="0"/>
              <w:jc w:val="left"/>
              <w:rPr/>
            </w:pPr>
            <w:r>
              <w:rPr/>
            </w:r>
          </w:p>
        </w:tc>
      </w:tr>
    </w:tbl>
    <w:tbl>
      <w:tblPr>
        <w:tblW w:w="8508" w:type="dxa"/>
        <w:jc w:val="left"/>
        <w:tblInd w:w="0" w:type="dxa"/>
        <w:tblLayout w:type="fixed"/>
        <w:tblCellMar>
          <w:top w:w="28" w:type="dxa"/>
          <w:left w:w="28" w:type="dxa"/>
          <w:bottom w:w="28" w:type="dxa"/>
          <w:right w:w="28" w:type="dxa"/>
        </w:tblCellMar>
      </w:tblPr>
      <w:tblGrid>
        <w:gridCol w:w="2068"/>
        <w:gridCol w:w="1821"/>
        <w:gridCol w:w="1825"/>
        <w:gridCol w:w="109"/>
        <w:gridCol w:w="109"/>
        <w:gridCol w:w="109"/>
        <w:gridCol w:w="196"/>
        <w:gridCol w:w="736"/>
        <w:gridCol w:w="109"/>
        <w:gridCol w:w="109"/>
        <w:gridCol w:w="109"/>
        <w:gridCol w:w="109"/>
        <w:gridCol w:w="198"/>
        <w:gridCol w:w="747"/>
        <w:gridCol w:w="154"/>
      </w:tblGrid>
      <w:tr>
        <w:trPr/>
        <w:tc>
          <w:tcPr>
            <w:tcW w:w="2068"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 March 31,</w:t>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r>
      <w:tr>
        <w:trPr/>
        <w:tc>
          <w:tcPr>
            <w:tcW w:w="5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amortization and accretion,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Securities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Gains from sales of 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90,093 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Debt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maturities and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maturities and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in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(345,316)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for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sales of premises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received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investing inflows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793,162 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decrease in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 of FHLB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(2,195,000)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financing inflows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financing outflows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(140,560)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Net change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646,853 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961,933 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777,681 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consolidated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Basis of Presentation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2023 10-K.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2023 10-K.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 Accounting Standards Updates and Recently Adopted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Recently Adopted Standards</w:t>
      </w:r>
    </w:p>
    <w:p>
      <w:pPr>
        <w:pStyle w:val="TextBody"/>
        <w:bidi w:val="0"/>
        <w:spacing w:lineRule="auto" w:line="288" w:before="0" w:after="0"/>
        <w:jc w:val="both"/>
        <w:rPr/>
      </w:pPr>
      <w:r>
        <w:rPr>
          <w:rFonts w:ascii="Times New Roman;sans-serif" w:hAnsi="Times New Roman;sans-serif"/>
          <w:b w:val="false"/>
          <w:color w:val="000000"/>
          <w:sz w:val="20"/>
        </w:rPr>
        <w:t xml:space="preserve">In March 2023, the FASB issued ASU No. 2023-02, </w:t>
      </w:r>
      <w:r>
        <w:rPr>
          <w:rFonts w:ascii="Times New Roman;sans-serif" w:hAnsi="Times New Roman;sans-serif"/>
          <w:b w:val="false"/>
          <w:i/>
          <w:color w:val="000000"/>
          <w:sz w:val="20"/>
        </w:rPr>
        <w:t>Investments - Equity Method and Joint Ventures (Topic 323): Accounting for Investments in Tax Credit Structures Using the Proportional Amortization Method</w:t>
      </w:r>
      <w:r>
        <w:rPr>
          <w:rFonts w:ascii="Times New Roman;sans-serif" w:hAnsi="Times New Roman;sans-serif"/>
          <w:b w:val="false"/>
          <w:color w:val="000000"/>
          <w:sz w:val="20"/>
        </w:rPr>
        <w:t>. The update broadens the application of PAM and related disclosures to tax equity investments other than LIHTC, providing certain conditions are met. The election to apply PAM must be made on a tax-credit-program by tax-credit-program basis rather than at the reporting entity level or to individual investments. United adopted this update using a modified retrospective transition method as of January 1, 2024, with no impact to shareholders’ equity; thus, no cumulative effect adjustment to retained earnings was recorded.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Supplemental Cash Flow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supplemental schedule of significant non-cash investing and financing activities for the three months ended March 31, 2024 and 2023 is as follows.</w:t>
      </w:r>
    </w:p>
    <w:tbl>
      <w:tblPr>
        <w:tblW w:w="7535" w:type="dxa"/>
        <w:jc w:val="left"/>
        <w:tblInd w:w="0" w:type="dxa"/>
        <w:tblLayout w:type="fixed"/>
        <w:tblCellMar>
          <w:top w:w="28" w:type="dxa"/>
          <w:left w:w="28" w:type="dxa"/>
          <w:bottom w:w="28" w:type="dxa"/>
          <w:right w:w="28" w:type="dxa"/>
        </w:tblCellMar>
      </w:tblPr>
      <w:tblGrid>
        <w:gridCol w:w="1661"/>
        <w:gridCol w:w="1458"/>
        <w:gridCol w:w="1470"/>
        <w:gridCol w:w="109"/>
        <w:gridCol w:w="109"/>
        <w:gridCol w:w="109"/>
        <w:gridCol w:w="226"/>
        <w:gridCol w:w="745"/>
        <w:gridCol w:w="125"/>
        <w:gridCol w:w="125"/>
        <w:gridCol w:w="125"/>
        <w:gridCol w:w="125"/>
        <w:gridCol w:w="226"/>
        <w:gridCol w:w="745"/>
        <w:gridCol w:w="177"/>
      </w:tblGrid>
      <w:tr>
        <w:trPr/>
        <w:tc>
          <w:tcPr>
            <w:tcW w:w="1661"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Significant non-cash investing and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to fund equity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1,903,930 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1,597,022 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Common stock issued and options 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Acquisition of First Miami</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2023, United acquired all of the outstanding common stock of First Miami in a stock transaction. Information related to the fair value of assets and liabilities acquired is included in United’s 2023 10-K. During the first quarter of 2024, within the one-year measurement period related to the acquisition of First Miami, United received additional information regarding the lack of realizability of certain tax credits. As a result, the provisional fair value assigned to acquired other assets was adjusted to $18.8 million, other liabilities was adjusted to $16.9 million and goodwill was adjusted to $24.5 million, which represents a decrease of $2.06 million, a decrease of $726,000 and an increase of $1.34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 forma information - Progress</w: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certain pro forma information as if Progress had been acquired on January 1, 2022.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Merger-related costs related to the Progress acquisition of $7.49 million have been excluded from the three months ended March 31, 2023 pro forma information presented below. The actual results and pro forma information were as follows:</w:t>
      </w:r>
    </w:p>
    <w:tbl>
      <w:tblPr>
        <w:tblW w:w="9726" w:type="dxa"/>
        <w:jc w:val="left"/>
        <w:tblInd w:w="0" w:type="dxa"/>
        <w:tblLayout w:type="fixed"/>
        <w:tblCellMar>
          <w:top w:w="28" w:type="dxa"/>
          <w:left w:w="28" w:type="dxa"/>
          <w:bottom w:w="28" w:type="dxa"/>
          <w:right w:w="28" w:type="dxa"/>
        </w:tblCellMar>
      </w:tblPr>
      <w:tblGrid>
        <w:gridCol w:w="2275"/>
        <w:gridCol w:w="1997"/>
        <w:gridCol w:w="2013"/>
        <w:gridCol w:w="109"/>
        <w:gridCol w:w="109"/>
        <w:gridCol w:w="109"/>
        <w:gridCol w:w="147"/>
        <w:gridCol w:w="147"/>
        <w:gridCol w:w="147"/>
        <w:gridCol w:w="147"/>
        <w:gridCol w:w="265"/>
        <w:gridCol w:w="752"/>
        <w:gridCol w:w="147"/>
        <w:gridCol w:w="109"/>
        <w:gridCol w:w="109"/>
        <w:gridCol w:w="109"/>
        <w:gridCol w:w="224"/>
        <w:gridCol w:w="635"/>
        <w:gridCol w:w="176"/>
      </w:tblGrid>
      <w:tr>
        <w:trPr/>
        <w:tc>
          <w:tcPr>
            <w:tcW w:w="227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2023</w:t>
            </w:r>
          </w:p>
        </w:tc>
        <w:tc>
          <w:tcPr>
            <w:tcW w:w="1362" w:type="dxa"/>
            <w:gridSpan w:val="6"/>
            <w:tcBorders/>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Income</w:t>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Actual Progress results included in statement of income since acquisition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consolidated pro forma as if Progress had been acquired January 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Note 5 – Investment Securities</w:t>
      </w:r>
    </w:p>
    <w:p>
      <w:pPr>
        <w:pStyle w:val="TextBody"/>
        <w:bidi w:val="0"/>
        <w:spacing w:before="60" w:after="283"/>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unrealized gains and losses and fair value of HTM debt securities as of the dates indicated are as follows.</w:t>
      </w:r>
    </w:p>
    <w:tbl>
      <w:tblPr>
        <w:tblW w:w="9017" w:type="dxa"/>
        <w:jc w:val="left"/>
        <w:tblInd w:w="0" w:type="dxa"/>
        <w:tblLayout w:type="fixed"/>
        <w:tblCellMar>
          <w:top w:w="28" w:type="dxa"/>
          <w:left w:w="28" w:type="dxa"/>
          <w:bottom w:w="28" w:type="dxa"/>
          <w:right w:w="28" w:type="dxa"/>
        </w:tblCellMar>
      </w:tblPr>
      <w:tblGrid>
        <w:gridCol w:w="977"/>
        <w:gridCol w:w="858"/>
        <w:gridCol w:w="865"/>
        <w:gridCol w:w="196"/>
        <w:gridCol w:w="871"/>
        <w:gridCol w:w="109"/>
        <w:gridCol w:w="109"/>
        <w:gridCol w:w="109"/>
        <w:gridCol w:w="109"/>
        <w:gridCol w:w="396"/>
        <w:gridCol w:w="851"/>
        <w:gridCol w:w="222"/>
        <w:gridCol w:w="109"/>
        <w:gridCol w:w="109"/>
        <w:gridCol w:w="109"/>
        <w:gridCol w:w="276"/>
        <w:gridCol w:w="1040"/>
        <w:gridCol w:w="154"/>
        <w:gridCol w:w="109"/>
        <w:gridCol w:w="109"/>
        <w:gridCol w:w="109"/>
        <w:gridCol w:w="196"/>
        <w:gridCol w:w="871"/>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Supranational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1,176,974 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Supranational entities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2,095,620 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basis, unrealized gains and losses, and fair value of AFS debt securities as of the dates indicated are presented below. </w:t>
      </w:r>
    </w:p>
    <w:tbl>
      <w:tblPr>
        <w:tblW w:w="8928" w:type="dxa"/>
        <w:jc w:val="left"/>
        <w:tblInd w:w="0" w:type="dxa"/>
        <w:tblLayout w:type="fixed"/>
        <w:tblCellMar>
          <w:top w:w="28" w:type="dxa"/>
          <w:left w:w="28" w:type="dxa"/>
          <w:bottom w:w="28" w:type="dxa"/>
          <w:right w:w="28" w:type="dxa"/>
        </w:tblCellMar>
      </w:tblPr>
      <w:tblGrid>
        <w:gridCol w:w="977"/>
        <w:gridCol w:w="858"/>
        <w:gridCol w:w="865"/>
        <w:gridCol w:w="196"/>
        <w:gridCol w:w="871"/>
        <w:gridCol w:w="109"/>
        <w:gridCol w:w="109"/>
        <w:gridCol w:w="109"/>
        <w:gridCol w:w="109"/>
        <w:gridCol w:w="323"/>
        <w:gridCol w:w="920"/>
        <w:gridCol w:w="182"/>
        <w:gridCol w:w="109"/>
        <w:gridCol w:w="109"/>
        <w:gridCol w:w="109"/>
        <w:gridCol w:w="268"/>
        <w:gridCol w:w="1008"/>
        <w:gridCol w:w="149"/>
        <w:gridCol w:w="109"/>
        <w:gridCol w:w="109"/>
        <w:gridCol w:w="109"/>
        <w:gridCol w:w="196"/>
        <w:gridCol w:w="871"/>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259,152 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250,621 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with a carrying value of $2.90 billion and $4.12 billion, respectively, were pledged, primarily to secure public deposits at March 31, 2024 and to secure public deposits and provide contingent liquidity through the Bank Term Funding Program at the Federal Reserve Bank, at December 31, 2023. The Bank Term Funding Program was discontinued in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HTM debt securities in an unrealized loss position as of the dates indicated.</w:t>
      </w:r>
    </w:p>
    <w:tbl>
      <w:tblPr>
        <w:tblW w:w="10205" w:type="dxa"/>
        <w:jc w:val="left"/>
        <w:tblInd w:w="0" w:type="dxa"/>
        <w:tblLayout w:type="fixed"/>
        <w:tblCellMar>
          <w:top w:w="28" w:type="dxa"/>
          <w:left w:w="28" w:type="dxa"/>
          <w:bottom w:w="28" w:type="dxa"/>
          <w:right w:w="28" w:type="dxa"/>
        </w:tblCellMar>
      </w:tblPr>
      <w:tblGrid>
        <w:gridCol w:w="846"/>
        <w:gridCol w:w="678"/>
        <w:gridCol w:w="684"/>
        <w:gridCol w:w="196"/>
        <w:gridCol w:w="646"/>
        <w:gridCol w:w="109"/>
        <w:gridCol w:w="109"/>
        <w:gridCol w:w="109"/>
        <w:gridCol w:w="109"/>
        <w:gridCol w:w="251"/>
        <w:gridCol w:w="539"/>
        <w:gridCol w:w="141"/>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5"/>
      </w:tblGrid>
      <w:tr>
        <w:trPr/>
        <w:tc>
          <w:tcPr>
            <w:tcW w:w="8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Supranational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unrealized loss position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Supranational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unrealized loss position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395,423 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AFS debt securities in an unrealized loss position as of the dates indicated.</w:t>
      </w:r>
    </w:p>
    <w:tbl>
      <w:tblPr>
        <w:tblW w:w="10205" w:type="dxa"/>
        <w:jc w:val="left"/>
        <w:tblInd w:w="0" w:type="dxa"/>
        <w:tblLayout w:type="fixed"/>
        <w:tblCellMar>
          <w:top w:w="28" w:type="dxa"/>
          <w:left w:w="28" w:type="dxa"/>
          <w:bottom w:w="28" w:type="dxa"/>
          <w:right w:w="28" w:type="dxa"/>
        </w:tblCellMar>
      </w:tblPr>
      <w:tblGrid>
        <w:gridCol w:w="818"/>
        <w:gridCol w:w="647"/>
        <w:gridCol w:w="652"/>
        <w:gridCol w:w="196"/>
        <w:gridCol w:w="736"/>
        <w:gridCol w:w="109"/>
        <w:gridCol w:w="109"/>
        <w:gridCol w:w="109"/>
        <w:gridCol w:w="109"/>
        <w:gridCol w:w="211"/>
        <w:gridCol w:w="601"/>
        <w:gridCol w:w="11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81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w:t>
              <w:br/>
              <w:t>Loss</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unrealized loss position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3,120,394 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259,152 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Agency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Agency &amp; GSEs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unrealized loss position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2,587,704 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there were 639 AFS debt securities and 315 HTM debt securities that were in an unrealized loss position. United does not intend to sell nor does it believe it will be required to sell securities in an unrealized loss position prior to the recovery of their amortized cost basis. Unrealized losses at March 31, 2024 were primarily attributable to changes in interest rates.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estimated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March 31, 2024 or December 31, 2023. In addition, based on the assessments performed at March 31, 2024 and December 31, 2023, there was no ACL required related to the AFS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accrued interest receivable on HTM and AFS debt securities, which was excluded from the estimate of credit losses, for the periods indicated.</w:t>
      </w:r>
    </w:p>
    <w:tbl>
      <w:tblPr>
        <w:tblW w:w="5045"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294"/>
        <w:gridCol w:w="834"/>
        <w:gridCol w:w="162"/>
        <w:gridCol w:w="119"/>
        <w:gridCol w:w="119"/>
        <w:gridCol w:w="119"/>
        <w:gridCol w:w="352"/>
        <w:gridCol w:w="999"/>
        <w:gridCol w:w="1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Accrued Interest Receivable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HTM</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and fair value of AFS and HTM debt securities at March 31, 2024, by contractual maturity, are presented in the following table. </w:t>
      </w:r>
    </w:p>
    <w:tbl>
      <w:tblPr>
        <w:tblW w:w="9857" w:type="dxa"/>
        <w:jc w:val="left"/>
        <w:tblInd w:w="0" w:type="dxa"/>
        <w:tblLayout w:type="fixed"/>
        <w:tblCellMar>
          <w:top w:w="28" w:type="dxa"/>
          <w:left w:w="28" w:type="dxa"/>
          <w:bottom w:w="28" w:type="dxa"/>
          <w:right w:w="28" w:type="dxa"/>
        </w:tblCellMar>
      </w:tblPr>
      <w:tblGrid>
        <w:gridCol w:w="1389"/>
        <w:gridCol w:w="1221"/>
        <w:gridCol w:w="1229"/>
        <w:gridCol w:w="220"/>
        <w:gridCol w:w="978"/>
        <w:gridCol w:w="122"/>
        <w:gridCol w:w="109"/>
        <w:gridCol w:w="109"/>
        <w:gridCol w:w="109"/>
        <w:gridCol w:w="196"/>
        <w:gridCol w:w="871"/>
        <w:gridCol w:w="109"/>
        <w:gridCol w:w="109"/>
        <w:gridCol w:w="109"/>
        <w:gridCol w:w="109"/>
        <w:gridCol w:w="220"/>
        <w:gridCol w:w="978"/>
        <w:gridCol w:w="122"/>
        <w:gridCol w:w="109"/>
        <w:gridCol w:w="109"/>
        <w:gridCol w:w="109"/>
        <w:gridCol w:w="196"/>
        <w:gridCol w:w="87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HTM</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Within 1 year:</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1 to 5 years: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516,190 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47,069 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5 to 10 years: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Supranational entities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More than 10 years: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agencies &amp; GSEs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227,923 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 securities not due at a single maturity date:</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MBS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1,670,549 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1,360,395 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MBS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713,176 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678,578 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2,532,463 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2,038,973 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3,651,711 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2,465,133 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maturities may differ from contractual maturities because issuers and borrowers may have the right to call or prepay obligations.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20"/>
        </w:rPr>
        <w:t>Realized gains and losses are derived using the specific identification method for determining the cost of securities sold. The following table summarizes AFS securities sales activity for the three months ended March 31, 2024 and 2023</w:t>
      </w:r>
      <w:r>
        <w:rPr>
          <w:rFonts w:ascii="Times New Roman;sans-serif" w:hAnsi="Times New Roman;sans-serif"/>
          <w:b w:val="false"/>
          <w:i/>
          <w:color w:val="000000"/>
          <w:sz w:val="20"/>
        </w:rPr>
        <w:t>.</w:t>
      </w:r>
    </w:p>
    <w:p>
      <w:pPr>
        <w:pStyle w:val="TextBody"/>
        <w:bidi w:val="0"/>
        <w:spacing w:before="0" w:after="0"/>
        <w:jc w:val="both"/>
        <w:rPr/>
      </w:pPr>
      <w:r>
        <w:rPr/>
      </w:r>
    </w:p>
    <w:tbl>
      <w:tblPr>
        <w:tblW w:w="6420" w:type="dxa"/>
        <w:jc w:val="left"/>
        <w:tblInd w:w="0" w:type="dxa"/>
        <w:tblLayout w:type="fixed"/>
        <w:tblCellMar>
          <w:top w:w="28" w:type="dxa"/>
          <w:left w:w="28" w:type="dxa"/>
          <w:bottom w:w="28" w:type="dxa"/>
          <w:right w:w="28" w:type="dxa"/>
        </w:tblCellMar>
      </w:tblPr>
      <w:tblGrid>
        <w:gridCol w:w="124"/>
        <w:gridCol w:w="933"/>
        <w:gridCol w:w="933"/>
        <w:gridCol w:w="938"/>
        <w:gridCol w:w="109"/>
        <w:gridCol w:w="109"/>
        <w:gridCol w:w="164"/>
        <w:gridCol w:w="164"/>
        <w:gridCol w:w="164"/>
        <w:gridCol w:w="164"/>
        <w:gridCol w:w="296"/>
        <w:gridCol w:w="636"/>
        <w:gridCol w:w="164"/>
        <w:gridCol w:w="109"/>
        <w:gridCol w:w="109"/>
        <w:gridCol w:w="109"/>
        <w:gridCol w:w="196"/>
        <w:gridCol w:w="73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attributable to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Loans and Leases and Allowance for Credit Losses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Major classifications of the loan and lease portfolio (collectively referred to as the “loan portfolio” or “loans”) are summarized as of the dates indicated as follows.</w:t>
      </w:r>
    </w:p>
    <w:tbl>
      <w:tblPr>
        <w:tblW w:w="7880" w:type="dxa"/>
        <w:jc w:val="center"/>
        <w:tblInd w:w="0" w:type="dxa"/>
        <w:tblLayout w:type="fixed"/>
        <w:tblCellMar>
          <w:top w:w="28" w:type="dxa"/>
          <w:left w:w="28" w:type="dxa"/>
          <w:bottom w:w="28" w:type="dxa"/>
          <w:right w:w="28" w:type="dxa"/>
        </w:tblCellMar>
      </w:tblPr>
      <w:tblGrid>
        <w:gridCol w:w="124"/>
        <w:gridCol w:w="109"/>
        <w:gridCol w:w="109"/>
        <w:gridCol w:w="1333"/>
        <w:gridCol w:w="1333"/>
        <w:gridCol w:w="1339"/>
        <w:gridCol w:w="199"/>
        <w:gridCol w:w="979"/>
        <w:gridCol w:w="111"/>
        <w:gridCol w:w="109"/>
        <w:gridCol w:w="109"/>
        <w:gridCol w:w="109"/>
        <w:gridCol w:w="239"/>
        <w:gridCol w:w="1173"/>
        <w:gridCol w:w="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3,310,231 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3,264,051 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4,206,322 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4,263,952 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2,404,505 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2,411,045 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1,859,538 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1,543,905 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1,541,120 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13,401,037 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13,339,706 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3,239,687 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3,198,928 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969,020 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958,987 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loans excluding fair value hedge basis adjustment</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18,375,246 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18,316,862 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hedge basis adjustment</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loans</w:t>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18,374,844 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18,318,755 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ACL - loans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00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net</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18,163,910 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18,110,684 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 related to loans totaled $67.0 million at both March 31, 2024 and December 31, 2023, and was reported in other assets on the consolidated balance sheets. Accrued interest receivable was excluded from the estimate of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March 31, 2024 and December 31, 2023, the loan portfolio included certain loans specifically pledged to the Federal Reserve as well as loans covered by a blanket lien on qualifying loan types with the FHLB to secure contingent funding 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amortized cost of certain loans held for investment that were sold in the periods indicated. The gains on these loan sales were included in noninterest income on the consolidated statements of income. </w:t>
      </w:r>
    </w:p>
    <w:tbl>
      <w:tblPr>
        <w:tblW w:w="7394" w:type="dxa"/>
        <w:jc w:val="left"/>
        <w:tblInd w:w="0" w:type="dxa"/>
        <w:tblLayout w:type="fixed"/>
        <w:tblCellMar>
          <w:top w:w="28" w:type="dxa"/>
          <w:left w:w="28" w:type="dxa"/>
          <w:bottom w:w="28" w:type="dxa"/>
          <w:right w:w="28" w:type="dxa"/>
        </w:tblCellMar>
      </w:tblPr>
      <w:tblGrid>
        <w:gridCol w:w="124"/>
        <w:gridCol w:w="1013"/>
        <w:gridCol w:w="1013"/>
        <w:gridCol w:w="1018"/>
        <w:gridCol w:w="109"/>
        <w:gridCol w:w="109"/>
        <w:gridCol w:w="202"/>
        <w:gridCol w:w="202"/>
        <w:gridCol w:w="202"/>
        <w:gridCol w:w="202"/>
        <w:gridCol w:w="364"/>
        <w:gridCol w:w="1202"/>
        <w:gridCol w:w="202"/>
        <w:gridCol w:w="109"/>
        <w:gridCol w:w="109"/>
        <w:gridCol w:w="109"/>
        <w:gridCol w:w="196"/>
        <w:gridCol w:w="64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Guaranteed portion of SBA/USDA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37,711 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equipment financing receivables included leases of $74.8 million and $68.9 million, respectively. The components of the net investment in leases, which included both sales-type and direct financing, are presented below.</w:t>
      </w:r>
    </w:p>
    <w:tbl>
      <w:tblPr>
        <w:tblW w:w="7145" w:type="dxa"/>
        <w:jc w:val="left"/>
        <w:tblInd w:w="0" w:type="dxa"/>
        <w:tblLayout w:type="fixed"/>
        <w:tblCellMar>
          <w:top w:w="28" w:type="dxa"/>
          <w:left w:w="28" w:type="dxa"/>
          <w:bottom w:w="28" w:type="dxa"/>
          <w:right w:w="28" w:type="dxa"/>
        </w:tblCellMar>
      </w:tblPr>
      <w:tblGrid>
        <w:gridCol w:w="124"/>
        <w:gridCol w:w="109"/>
        <w:gridCol w:w="109"/>
        <w:gridCol w:w="1088"/>
        <w:gridCol w:w="1088"/>
        <w:gridCol w:w="1094"/>
        <w:gridCol w:w="266"/>
        <w:gridCol w:w="876"/>
        <w:gridCol w:w="147"/>
        <w:gridCol w:w="109"/>
        <w:gridCol w:w="109"/>
        <w:gridCol w:w="109"/>
        <w:gridCol w:w="318"/>
        <w:gridCol w:w="1050"/>
        <w:gridCol w:w="1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future lease payments receivable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residual value of leased equipment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Initial direct costs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deposits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0"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income</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 leases</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74,770 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68,921 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Minimum future lease payments expected to be received from equipment financing lease contracts as of March 31, 2024 were as follows: </w:t>
      </w:r>
    </w:p>
    <w:tbl>
      <w:tblPr>
        <w:tblW w:w="3135" w:type="dxa"/>
        <w:jc w:val="left"/>
        <w:tblInd w:w="0" w:type="dxa"/>
        <w:tblLayout w:type="fixed"/>
        <w:tblCellMar>
          <w:top w:w="28" w:type="dxa"/>
          <w:left w:w="28" w:type="dxa"/>
          <w:bottom w:w="28" w:type="dxa"/>
          <w:right w:w="28" w:type="dxa"/>
        </w:tblCellMar>
      </w:tblPr>
      <w:tblGrid>
        <w:gridCol w:w="124"/>
        <w:gridCol w:w="109"/>
        <w:gridCol w:w="109"/>
        <w:gridCol w:w="489"/>
        <w:gridCol w:w="489"/>
        <w:gridCol w:w="492"/>
        <w:gridCol w:w="196"/>
        <w:gridCol w:w="64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Nonaccrual and Past Due Loans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tbl>
      <w:tblPr>
        <w:tblW w:w="10205" w:type="dxa"/>
        <w:jc w:val="left"/>
        <w:tblInd w:w="0" w:type="dxa"/>
        <w:tblLayout w:type="fixed"/>
        <w:tblCellMar>
          <w:top w:w="28" w:type="dxa"/>
          <w:left w:w="28" w:type="dxa"/>
          <w:bottom w:w="28" w:type="dxa"/>
          <w:right w:w="28" w:type="dxa"/>
        </w:tblCellMar>
      </w:tblPr>
      <w:tblGrid>
        <w:gridCol w:w="615"/>
        <w:gridCol w:w="383"/>
        <w:gridCol w:w="386"/>
        <w:gridCol w:w="109"/>
        <w:gridCol w:w="109"/>
        <w:gridCol w:w="109"/>
        <w:gridCol w:w="196"/>
        <w:gridCol w:w="961"/>
        <w:gridCol w:w="109"/>
        <w:gridCol w:w="109"/>
        <w:gridCol w:w="109"/>
        <w:gridCol w:w="109"/>
        <w:gridCol w:w="202"/>
        <w:gridCol w:w="666"/>
        <w:gridCol w:w="112"/>
        <w:gridCol w:w="109"/>
        <w:gridCol w:w="109"/>
        <w:gridCol w:w="109"/>
        <w:gridCol w:w="209"/>
        <w:gridCol w:w="593"/>
        <w:gridCol w:w="116"/>
        <w:gridCol w:w="109"/>
        <w:gridCol w:w="109"/>
        <w:gridCol w:w="109"/>
        <w:gridCol w:w="209"/>
        <w:gridCol w:w="433"/>
        <w:gridCol w:w="116"/>
        <w:gridCol w:w="109"/>
        <w:gridCol w:w="109"/>
        <w:gridCol w:w="109"/>
        <w:gridCol w:w="109"/>
        <w:gridCol w:w="109"/>
        <w:gridCol w:w="109"/>
        <w:gridCol w:w="109"/>
        <w:gridCol w:w="223"/>
        <w:gridCol w:w="838"/>
        <w:gridCol w:w="123"/>
        <w:gridCol w:w="109"/>
        <w:gridCol w:w="109"/>
        <w:gridCol w:w="109"/>
        <w:gridCol w:w="196"/>
        <w:gridCol w:w="961"/>
        <w:gridCol w:w="160"/>
      </w:tblGrid>
      <w:tr>
        <w:trPr/>
        <w:tc>
          <w:tcPr>
            <w:tcW w:w="6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Accruing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Past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Pr>
          <w:p>
            <w:pPr>
              <w:pStyle w:val="TableContents"/>
              <w:bidi w:val="0"/>
              <w:spacing w:before="0" w:after="283"/>
              <w:jc w:val="left"/>
              <w:rPr>
                <w:sz w:val="4"/>
                <w:szCs w:val="4"/>
              </w:rPr>
            </w:pPr>
            <w:r>
              <w:rPr>
                <w:sz w:val="4"/>
                <w:szCs w:val="4"/>
              </w:rPr>
            </w:r>
          </w:p>
        </w:tc>
      </w:tr>
      <w:tr>
        <w:trPr/>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30 - 59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60 - 89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Loans</w:t>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3,310,231 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4,176,324 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2,404,505 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1,543,905 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13,305,800 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13,401,037 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3,239,687 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969,020 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18,375,246 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3,264,051 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4,263,952 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2,411,045 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1,859,538 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1,541,120 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13,339,706 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3,198,928 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958,987 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301,650 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18,171,292 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91,687 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18,316,862 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and December 31, 2023, United had $55.5 million and $48.5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income producing CRE and commercial and industrial loans.</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nonaccrual loans held for investment by loan class for the periods indicated.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559"/>
        <w:gridCol w:w="375"/>
        <w:gridCol w:w="376"/>
        <w:gridCol w:w="109"/>
        <w:gridCol w:w="109"/>
        <w:gridCol w:w="109"/>
        <w:gridCol w:w="228"/>
        <w:gridCol w:w="754"/>
        <w:gridCol w:w="127"/>
        <w:gridCol w:w="109"/>
        <w:gridCol w:w="109"/>
        <w:gridCol w:w="109"/>
        <w:gridCol w:w="228"/>
        <w:gridCol w:w="754"/>
        <w:gridCol w:w="127"/>
        <w:gridCol w:w="109"/>
        <w:gridCol w:w="109"/>
        <w:gridCol w:w="109"/>
        <w:gridCol w:w="196"/>
        <w:gridCol w:w="736"/>
        <w:gridCol w:w="109"/>
        <w:gridCol w:w="109"/>
        <w:gridCol w:w="109"/>
        <w:gridCol w:w="109"/>
        <w:gridCol w:w="228"/>
        <w:gridCol w:w="754"/>
        <w:gridCol w:w="127"/>
        <w:gridCol w:w="109"/>
        <w:gridCol w:w="109"/>
        <w:gridCol w:w="109"/>
        <w:gridCol w:w="228"/>
        <w:gridCol w:w="754"/>
        <w:gridCol w:w="127"/>
        <w:gridCol w:w="109"/>
        <w:gridCol w:w="109"/>
        <w:gridCol w:w="109"/>
        <w:gridCol w:w="196"/>
        <w:gridCol w:w="646"/>
        <w:gridCol w:w="109"/>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an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an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46,133 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27,235 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53,261 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60,940 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u w:val="single"/>
        </w:rPr>
        <w:t>Risk Ratings</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categorizes commercial loans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Pass.</w:t>
      </w:r>
      <w:r>
        <w:rPr>
          <w:color w:val="000000"/>
        </w:rPr>
        <w:t xml:space="preserve"> </w:t>
      </w:r>
      <w:r>
        <w:rPr>
          <w:rFonts w:ascii="Times New Roman;sans-serif" w:hAnsi="Times New Roman;sans-serif"/>
          <w:b w:val="false"/>
          <w:color w:val="000000"/>
          <w:sz w:val="20"/>
        </w:rPr>
        <w:t>Loans in this category are considered to have a low probability of default and do not meet the criteria of the risk categories below.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Special Mention.</w:t>
      </w:r>
      <w:r>
        <w:rPr>
          <w:color w:val="000000"/>
        </w:rPr>
        <w:t xml:space="preserve"> </w:t>
      </w:r>
      <w:r>
        <w:rPr>
          <w:rFonts w:ascii="Times New Roman;sans-serif" w:hAnsi="Times New Roman;sans-serif"/>
          <w:b w:val="false"/>
          <w:color w:val="000000"/>
          <w:sz w:val="20"/>
        </w:rPr>
        <w:t>Loans in this category are presently protected from apparent loss; however, weaknesses exist that could cause future impairment, including the deterioration of financial ratios, past due status and questionable management capabilities. These loans require more than the ordinary amount of supervision. Collateral values generally afford adequate coverage, but may not be immediately marketable.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Substandard.</w:t>
      </w:r>
      <w:r>
        <w:rPr>
          <w:color w:val="000000"/>
        </w:rPr>
        <w:t xml:space="preserve"> </w:t>
      </w:r>
      <w:r>
        <w:rPr>
          <w:rFonts w:ascii="Times New Roman;sans-serif" w:hAnsi="Times New Roman;sans-serif"/>
          <w:b w:val="false"/>
          <w:color w:val="000000"/>
          <w:sz w:val="20"/>
        </w:rPr>
        <w:t>These loans are inadequately protected by the current net worth and paying capacity of the obligor or by the collateral pledged. Specific 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Doubtful.</w:t>
      </w:r>
      <w:r>
        <w:rPr>
          <w:color w:val="000000"/>
        </w:rPr>
        <w:t xml:space="preserve"> </w:t>
      </w:r>
      <w:r>
        <w:rPr>
          <w:rFonts w:ascii="Times New Roman;sans-serif" w:hAnsi="Times New Roman;sans-serif"/>
          <w:b w:val="false"/>
          <w:color w:val="000000"/>
          <w:sz w:val="20"/>
        </w:rPr>
        <w:t>Specific weaknesses characterized as Substandard that are severe enough to make collection in full highly questionable and improbable. There is no reliable secondary source of full repayment.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Loss.</w:t>
      </w:r>
      <w:r>
        <w:rPr>
          <w:color w:val="000000"/>
        </w:rPr>
        <w:t xml:space="preserve"> </w:t>
      </w:r>
      <w:r>
        <w:rPr>
          <w:rFonts w:ascii="Times New Roman;sans-serif" w:hAnsi="Times New Roman;sans-serif"/>
          <w:b w:val="false"/>
          <w:color w:val="000000"/>
          <w:sz w:val="20"/>
        </w:rPr>
        <w:t>Loans categorized as Loss have the same characteristics as Doubtful; however, probability of loss is certain. Loans classified as Loss are charged off.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rPr>
        <w:t>Consumer Purpose Loans.</w:t>
      </w:r>
      <w:r>
        <w:rPr>
          <w:color w:val="000000"/>
        </w:rPr>
        <w:t xml:space="preserve"> </w:t>
      </w:r>
      <w:r>
        <w:rPr>
          <w:rFonts w:ascii="Times New Roman;sans-serif" w:hAnsi="Times New Roman;sans-serif"/>
          <w:b w:val="false"/>
          <w:color w:val="000000"/>
          <w:sz w:val="20"/>
        </w:rPr>
        <w:t>United applies a pass / fail grading system to all consumer purpose loans. Under this system, loans that are on nonaccrual status, become past due 90 days, or are in bankruptcy and 30 or more days past due are classified as “fail” and all other loans are classified as “pass”. For reporting purposes, loans in these categories that are classified as “fail” are reported as substandard and all other loans are reported as pass.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following tables present the risk category of term loans and gross charge-offs by vintage year, which is the year of origination or most recent renewal, as of the date indicated </w:t>
      </w:r>
      <w:r>
        <w:rPr>
          <w:rFonts w:ascii="Times New Roman;sans-serif" w:hAnsi="Times New Roman;sans-serif"/>
          <w:b w:val="false"/>
          <w:i/>
          <w:color w:val="000000"/>
          <w:sz w:val="20"/>
        </w:rPr>
        <w:t>(in thousands)</w:t>
      </w:r>
      <w:r>
        <w:rPr>
          <w:rFonts w:ascii="Times New Roman;sans-serif" w:hAnsi="Times New Roman;sans-serif"/>
          <w:b w:val="false"/>
          <w:color w:val="000000"/>
          <w:sz w:val="20"/>
        </w:rPr>
        <w:t>.</w:t>
      </w:r>
    </w:p>
    <w:tbl>
      <w:tblPr>
        <w:tblW w:w="12493" w:type="dxa"/>
        <w:jc w:val="left"/>
        <w:tblInd w:w="0" w:type="dxa"/>
        <w:tblLayout w:type="fixed"/>
        <w:tblCellMar>
          <w:top w:w="28" w:type="dxa"/>
          <w:left w:w="28" w:type="dxa"/>
          <w:bottom w:w="28" w:type="dxa"/>
          <w:right w:w="28" w:type="dxa"/>
        </w:tblCellMar>
      </w:tblPr>
      <w:tblGrid>
        <w:gridCol w:w="490"/>
        <w:gridCol w:w="272"/>
        <w:gridCol w:w="274"/>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766"/>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194" w:type="dxa"/>
            <w:gridSpan w:val="48"/>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Revolvers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Revolvers converted to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3,203,677 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653,388 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689,133 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559,995 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526,186 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3,310,231 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929,507 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3,906,604 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168,214 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223,732 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670,390 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715,985 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708,029 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4,206,322 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559,393 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197,346 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578,784 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2,240,468 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88,677 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587,532 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405,746 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298,107 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645,246 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2,404,505 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4,786 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627,053 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667,547 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1,921,272 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633,287 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263,125 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1,936,074 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578,878 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1,528,204 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192,828 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580,832 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457,478 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1,543,905 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823,173 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3,219,530 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825,945 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945,024 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723,803 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3,239,687 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935,162 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963,623 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969,020 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255,929 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177,055 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257,279 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Manufactured housing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306,568 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113,438 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328,121 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179,826 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180,102 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tbl>
      <w:tblPr>
        <w:tblW w:w="12493" w:type="dxa"/>
        <w:jc w:val="center"/>
        <w:tblInd w:w="0" w:type="dxa"/>
        <w:tblLayout w:type="fixed"/>
        <w:tblCellMar>
          <w:top w:w="28" w:type="dxa"/>
          <w:left w:w="28" w:type="dxa"/>
          <w:bottom w:w="28" w:type="dxa"/>
          <w:right w:w="28" w:type="dxa"/>
        </w:tblCellMar>
      </w:tblPr>
      <w:tblGrid>
        <w:gridCol w:w="490"/>
        <w:gridCol w:w="272"/>
        <w:gridCol w:w="274"/>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766"/>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Revolvers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Revolvers converted to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Total</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3,169,650 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698,640 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564,966 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118,733 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3,264,051 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750,415 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3,980,458 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777,483 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797,416 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445,635 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4,263,952 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7,858 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610,288 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425,626 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2,273,773 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35,755 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643,014 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2,411,045 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13,153 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25,538 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665,792 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1,840,380 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commercial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682,073 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640,669 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293,313 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59,598 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1,859,538 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496,336 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1,531,241 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equipment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674,672 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500,477 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1,541,120 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9,764 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24,206 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839,825 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245,648 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3,182,186 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841,826 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958,670 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736,793 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319,960 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3,198,928 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955,008 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926,596 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958,987 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300,590 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residential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209,676 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70,042 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301,650 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1,111 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Manufactured housing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318,643 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52,415 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46,755 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84,460 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336,474 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1,503 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180,884 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181,117 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Modifications to Borrowers Experiencing Financial Difficulty</w:t>
      </w:r>
    </w:p>
    <w:p>
      <w:pPr>
        <w:pStyle w:val="TextBody"/>
        <w:bidi w:val="0"/>
        <w:spacing w:lineRule="auto" w:line="288" w:before="0" w:after="0"/>
        <w:jc w:val="left"/>
        <w:rPr/>
      </w:pPr>
      <w:r>
        <w:rPr>
          <w:rFonts w:ascii="Times New Roman;sans-serif" w:hAnsi="Times New Roman;sans-serif"/>
          <w:b w:val="false"/>
          <w:color w:val="000000"/>
          <w:sz w:val="20"/>
        </w:rPr>
        <w:t>The period-end amortized cost and additional information regarding the modified terms of loans modified under the terms of a FDM during the three months ended March 31, 2024 and 2023 are presented in the following tables</w:t>
      </w:r>
      <w:r>
        <w:rPr>
          <w:rFonts w:ascii="Times New Roman;sans-serif" w:hAnsi="Times New Roman;sans-serif"/>
          <w:b w:val="false"/>
          <w:i/>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76"/>
        <w:gridCol w:w="456"/>
        <w:gridCol w:w="458"/>
        <w:gridCol w:w="194"/>
        <w:gridCol w:w="194"/>
        <w:gridCol w:w="194"/>
        <w:gridCol w:w="194"/>
        <w:gridCol w:w="194"/>
        <w:gridCol w:w="194"/>
        <w:gridCol w:w="194"/>
        <w:gridCol w:w="194"/>
        <w:gridCol w:w="109"/>
        <w:gridCol w:w="109"/>
        <w:gridCol w:w="109"/>
        <w:gridCol w:w="109"/>
        <w:gridCol w:w="109"/>
        <w:gridCol w:w="236"/>
        <w:gridCol w:w="778"/>
        <w:gridCol w:w="131"/>
        <w:gridCol w:w="109"/>
        <w:gridCol w:w="109"/>
        <w:gridCol w:w="109"/>
        <w:gridCol w:w="394"/>
        <w:gridCol w:w="394"/>
        <w:gridCol w:w="932"/>
        <w:gridCol w:w="109"/>
        <w:gridCol w:w="109"/>
        <w:gridCol w:w="109"/>
        <w:gridCol w:w="109"/>
        <w:gridCol w:w="610"/>
        <w:gridCol w:w="1315"/>
        <w:gridCol w:w="342"/>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2" w:type="dxa"/>
            <w:gridSpan w:val="23"/>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FDMs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Defaults within 12 months of modification</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Receivable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9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017" w:type="dxa"/>
        <w:jc w:val="left"/>
        <w:tblInd w:w="0" w:type="dxa"/>
        <w:tblLayout w:type="fixed"/>
        <w:tblCellMar>
          <w:top w:w="28" w:type="dxa"/>
          <w:left w:w="28" w:type="dxa"/>
          <w:bottom w:w="28" w:type="dxa"/>
          <w:right w:w="28" w:type="dxa"/>
        </w:tblCellMar>
      </w:tblPr>
      <w:tblGrid>
        <w:gridCol w:w="124"/>
        <w:gridCol w:w="109"/>
        <w:gridCol w:w="109"/>
        <w:gridCol w:w="949"/>
        <w:gridCol w:w="949"/>
        <w:gridCol w:w="951"/>
        <w:gridCol w:w="302"/>
        <w:gridCol w:w="998"/>
        <w:gridCol w:w="168"/>
        <w:gridCol w:w="168"/>
        <w:gridCol w:w="168"/>
        <w:gridCol w:w="168"/>
        <w:gridCol w:w="1384"/>
        <w:gridCol w:w="1384"/>
        <w:gridCol w:w="13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FDMs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Weighted Average Modification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Extension</w:t>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Delay</w:t>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Owner occupied CRE </w:t>
            </w:r>
            <w:r>
              <w:rPr>
                <w:rFonts w:ascii="Times New Roman;sans-serif" w:hAnsi="Times New Roman;sans-serif"/>
                <w:b w:val="false"/>
                <w:color w:val="000000"/>
                <w:sz w:val="12"/>
              </w:rPr>
              <w:t>(1)</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Commercial &amp; industrial </w:t>
            </w:r>
            <w:r>
              <w:rPr>
                <w:rFonts w:ascii="Times New Roman;sans-serif" w:hAnsi="Times New Roman;sans-serif"/>
                <w:b w:val="false"/>
                <w:color w:val="000000"/>
                <w:sz w:val="12"/>
              </w:rPr>
              <w:t>(1)</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Delay and Extension</w:t>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Payment delay: 4 months; Extension: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Extension and payment delay: 7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3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Rate Reduction and Extension</w:t>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49"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Rate reduction: 444 basis points; Extension: 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Rate reduction: 624 basis points; Extension: 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Rate Reduction and Payment Delay</w:t>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Rate reduction: 75 basis points; Payment delay: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Total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Payment delay FDMs in bankruptcy status are excluded from the weighted average payment delay calculation.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tbl>
      <w:tblPr>
        <w:tblW w:w="10432" w:type="dxa"/>
        <w:jc w:val="left"/>
        <w:tblInd w:w="0" w:type="dxa"/>
        <w:tblLayout w:type="fixed"/>
        <w:tblCellMar>
          <w:top w:w="28" w:type="dxa"/>
          <w:left w:w="28" w:type="dxa"/>
          <w:bottom w:w="28" w:type="dxa"/>
          <w:right w:w="28" w:type="dxa"/>
        </w:tblCellMar>
      </w:tblPr>
      <w:tblGrid>
        <w:gridCol w:w="553"/>
        <w:gridCol w:w="284"/>
        <w:gridCol w:w="274"/>
        <w:gridCol w:w="109"/>
        <w:gridCol w:w="109"/>
        <w:gridCol w:w="109"/>
        <w:gridCol w:w="198"/>
        <w:gridCol w:w="562"/>
        <w:gridCol w:w="111"/>
        <w:gridCol w:w="109"/>
        <w:gridCol w:w="109"/>
        <w:gridCol w:w="109"/>
        <w:gridCol w:w="196"/>
        <w:gridCol w:w="556"/>
        <w:gridCol w:w="109"/>
        <w:gridCol w:w="109"/>
        <w:gridCol w:w="109"/>
        <w:gridCol w:w="109"/>
        <w:gridCol w:w="109"/>
        <w:gridCol w:w="109"/>
        <w:gridCol w:w="109"/>
        <w:gridCol w:w="109"/>
        <w:gridCol w:w="287"/>
        <w:gridCol w:w="618"/>
        <w:gridCol w:w="161"/>
        <w:gridCol w:w="109"/>
        <w:gridCol w:w="109"/>
        <w:gridCol w:w="109"/>
        <w:gridCol w:w="109"/>
        <w:gridCol w:w="109"/>
        <w:gridCol w:w="109"/>
        <w:gridCol w:w="109"/>
        <w:gridCol w:w="196"/>
        <w:gridCol w:w="646"/>
        <w:gridCol w:w="109"/>
        <w:gridCol w:w="109"/>
        <w:gridCol w:w="109"/>
        <w:gridCol w:w="109"/>
        <w:gridCol w:w="210"/>
        <w:gridCol w:w="210"/>
        <w:gridCol w:w="496"/>
        <w:gridCol w:w="1066"/>
        <w:gridCol w:w="109"/>
        <w:gridCol w:w="109"/>
        <w:gridCol w:w="109"/>
        <w:gridCol w:w="196"/>
        <w:gridCol w:w="40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83" w:type="dxa"/>
            <w:gridSpan w:val="4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2149" w:type="dxa"/>
            <w:gridSpan w:val="7"/>
            <w:tcBorders/>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2"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New FDMs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Defaults within 12 months of modification</w:t>
            </w:r>
          </w:p>
        </w:tc>
        <w:tc>
          <w:tcPr>
            <w:tcW w:w="1083"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8"/>
              </w:rPr>
              <w:t>Amortized Cost by Type of Modification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83" w:type="dxa"/>
            <w:gridSpan w:val="6"/>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 Reduction &amp;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 Class of Receivable</w:t>
            </w:r>
          </w:p>
        </w:tc>
        <w:tc>
          <w:tcPr>
            <w:tcW w:w="106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equipment financing FDMs typically consist of one or more three-month extensions beyond the original maturity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commercial and industrial payment delay modifications consisted of one or more three-month periods during which principal payments were deferred but interest payments continued to be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FDMs categorized as rate reduction and extensions in the residential mortgage and manufactured housing categories resulted in a decrease in the weighted average interest rate on these FDMs of 621 bps and extended the weighted average maturity by 6.5 years.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Allowance for Credit Losses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ACL for loans represents management’s estimate of life of loan credit losses in the portfolio as of the end of the period. The ACL related to unfunded commitments is included in other liabilities in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both March 31, 2024 and December 31, 2023,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charge-off experience to produce an expected default rate, with the results subject to a floor.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commercial construction, income producing CRE, owner occupied CRE, multifamily loans (included in income producing CRE) and commercial &amp; industrial loans, at March 31, 2024, the expected default rate was adjusted by a model overlay based on expectations of future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the third party vendor’s baseline forecast was similar to the forecast at December 31, 2023. At March 31, 2024 United applied qualitative adjustments to the model output for the residential mortgage portfolio to account for the ongoing performance stability of the portfolio. United also applied qualitative adjustments to the equipment finance portfolio due to an elevated default rate that resulted from a higher level of recent charge-offs that was mostly coming from the long-haul trucking equipment segment, a small portion of the portfolio deemed not representative of the entire equipment financing portfolio.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periods beyond the reasonable and supportable forecast period of one year, United reverted to historical credit loss information on a straight line basis over two years. For most collateral types, United reverted to through-the-cycle average default rates using peer data from 2000 to 2017. For loans secured by residential mortgages and manufactured housing, the peer data was adjusted for changes in lending practices designed to mitigate the magnitude of losses observed during the 2008 mortgage crisis.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balance and activity in the ACL by portfolio segment for the periods indicated.</w:t>
      </w:r>
    </w:p>
    <w:tbl>
      <w:tblPr>
        <w:tblW w:w="10083" w:type="dxa"/>
        <w:jc w:val="left"/>
        <w:tblInd w:w="0" w:type="dxa"/>
        <w:tblLayout w:type="fixed"/>
        <w:tblCellMar>
          <w:top w:w="28" w:type="dxa"/>
          <w:left w:w="28" w:type="dxa"/>
          <w:bottom w:w="28" w:type="dxa"/>
          <w:right w:w="28" w:type="dxa"/>
        </w:tblCellMar>
      </w:tblPr>
      <w:tblGrid>
        <w:gridCol w:w="830"/>
        <w:gridCol w:w="730"/>
        <w:gridCol w:w="734"/>
        <w:gridCol w:w="109"/>
        <w:gridCol w:w="109"/>
        <w:gridCol w:w="109"/>
        <w:gridCol w:w="288"/>
        <w:gridCol w:w="1082"/>
        <w:gridCol w:w="160"/>
        <w:gridCol w:w="109"/>
        <w:gridCol w:w="109"/>
        <w:gridCol w:w="109"/>
        <w:gridCol w:w="109"/>
        <w:gridCol w:w="109"/>
        <w:gridCol w:w="216"/>
        <w:gridCol w:w="729"/>
        <w:gridCol w:w="121"/>
        <w:gridCol w:w="109"/>
        <w:gridCol w:w="109"/>
        <w:gridCol w:w="109"/>
        <w:gridCol w:w="208"/>
        <w:gridCol w:w="591"/>
        <w:gridCol w:w="117"/>
        <w:gridCol w:w="109"/>
        <w:gridCol w:w="109"/>
        <w:gridCol w:w="109"/>
        <w:gridCol w:w="196"/>
        <w:gridCol w:w="646"/>
        <w:gridCol w:w="109"/>
        <w:gridCol w:w="109"/>
        <w:gridCol w:w="109"/>
        <w:gridCol w:w="109"/>
        <w:gridCol w:w="248"/>
        <w:gridCol w:w="933"/>
        <w:gridCol w:w="138"/>
        <w:gridCol w:w="154"/>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5932" w:type="dxa"/>
            <w:gridSpan w:val="27"/>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4"/>
            <w:tcBorders/>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 Balance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224,128 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224,119 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693"/>
        <w:gridCol w:w="494"/>
        <w:gridCol w:w="497"/>
        <w:gridCol w:w="109"/>
        <w:gridCol w:w="109"/>
        <w:gridCol w:w="109"/>
        <w:gridCol w:w="196"/>
        <w:gridCol w:w="736"/>
        <w:gridCol w:w="109"/>
        <w:gridCol w:w="109"/>
        <w:gridCol w:w="109"/>
        <w:gridCol w:w="109"/>
        <w:gridCol w:w="341"/>
        <w:gridCol w:w="967"/>
        <w:gridCol w:w="189"/>
        <w:gridCol w:w="109"/>
        <w:gridCol w:w="109"/>
        <w:gridCol w:w="109"/>
        <w:gridCol w:w="238"/>
        <w:gridCol w:w="694"/>
        <w:gridCol w:w="134"/>
        <w:gridCol w:w="109"/>
        <w:gridCol w:w="109"/>
        <w:gridCol w:w="109"/>
        <w:gridCol w:w="208"/>
        <w:gridCol w:w="591"/>
        <w:gridCol w:w="117"/>
        <w:gridCol w:w="109"/>
        <w:gridCol w:w="109"/>
        <w:gridCol w:w="109"/>
        <w:gridCol w:w="196"/>
        <w:gridCol w:w="646"/>
        <w:gridCol w:w="109"/>
        <w:gridCol w:w="109"/>
        <w:gridCol w:w="109"/>
        <w:gridCol w:w="109"/>
        <w:gridCol w:w="196"/>
        <w:gridCol w:w="736"/>
        <w:gridCol w:w="156"/>
      </w:tblGrid>
      <w:tr>
        <w:trPr/>
        <w:tc>
          <w:tcPr>
            <w:tcW w:w="6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Initial ACL - PCD loans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w:t>
              <w:br/>
              <w:t>Balance</w:t>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unfunded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197,923 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Represents the initial ACL related to PCD loans acquired in the Progress transaction.</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Derivatives and Hedging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derivative financial instruments, which are included in other assets and other liabilities on the consolidated balance sheet, as of the dates indicated:</w:t>
      </w:r>
    </w:p>
    <w:tbl>
      <w:tblPr>
        <w:tblW w:w="10205" w:type="dxa"/>
        <w:jc w:val="center"/>
        <w:tblInd w:w="0" w:type="dxa"/>
        <w:tblLayout w:type="fixed"/>
        <w:tblCellMar>
          <w:top w:w="28" w:type="dxa"/>
          <w:left w:w="28" w:type="dxa"/>
          <w:bottom w:w="28" w:type="dxa"/>
          <w:right w:w="28" w:type="dxa"/>
        </w:tblCellMar>
      </w:tblPr>
      <w:tblGrid>
        <w:gridCol w:w="728"/>
        <w:gridCol w:w="500"/>
        <w:gridCol w:w="504"/>
        <w:gridCol w:w="207"/>
        <w:gridCol w:w="921"/>
        <w:gridCol w:w="115"/>
        <w:gridCol w:w="109"/>
        <w:gridCol w:w="109"/>
        <w:gridCol w:w="109"/>
        <w:gridCol w:w="216"/>
        <w:gridCol w:w="712"/>
        <w:gridCol w:w="120"/>
        <w:gridCol w:w="109"/>
        <w:gridCol w:w="109"/>
        <w:gridCol w:w="109"/>
        <w:gridCol w:w="227"/>
        <w:gridCol w:w="749"/>
        <w:gridCol w:w="126"/>
        <w:gridCol w:w="109"/>
        <w:gridCol w:w="109"/>
        <w:gridCol w:w="109"/>
        <w:gridCol w:w="207"/>
        <w:gridCol w:w="921"/>
        <w:gridCol w:w="115"/>
        <w:gridCol w:w="109"/>
        <w:gridCol w:w="109"/>
        <w:gridCol w:w="109"/>
        <w:gridCol w:w="216"/>
        <w:gridCol w:w="712"/>
        <w:gridCol w:w="120"/>
        <w:gridCol w:w="109"/>
        <w:gridCol w:w="109"/>
        <w:gridCol w:w="109"/>
        <w:gridCol w:w="225"/>
        <w:gridCol w:w="745"/>
        <w:gridCol w:w="184"/>
      </w:tblGrid>
      <w:tr>
        <w:trPr/>
        <w:tc>
          <w:tcPr>
            <w:tcW w:w="72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Liability</w:t>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hedging instruments:</w:t>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 of subordinated debt</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 of trust preferred securities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Fair value hedges of AFS debt securities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hedges of loans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2,419,520 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925,511 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not designated as hedging instruments: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derivative positions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1,173,714 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1,177,275 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Dealer offsets to customer derivative positions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1,173,714 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participations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banking - loan commitments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banking - forward sales commitment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Bifurcated embedded derivatives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Dealer offsets to bifurcated embedded derivatives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2,713,620 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2,699,229 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84,811 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5,133,140 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3,624,740 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derivative instruments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subject to master netting agreements</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collateral received/pledged</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(33,921)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77,376 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68,798 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Hedging Derivatives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Cash Flow Hedges of Interest Rate Risk</w:t>
      </w:r>
      <w:r>
        <w:rPr>
          <w:color w:val="000000"/>
        </w:rPr>
        <w:t>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United utilized interest rate caps and swaps to hedge the variability of cash flows due to changes in interest rates on certain of its variable-rate subordinated debt and trust preferred securities.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$5.32 million of gains from AOCI into earnings related to these agreements.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u w:val="single"/>
        </w:rPr>
        <w:t>Fair Value Hedges of Interest Rate Risk</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uses interest rate derivatives to manage its exposure to changes in fair value attributable to changes in interest rates on certain of its fixed-rate financial instruments.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first quarter of 2024, United entered into additional fair value hedges on stated amounts of closed portfolios of loans using the portfolio layer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derivatives in hedging relationships, all of which are interest rate contracts, on net interest income for the periods indicated. </w:t>
      </w:r>
    </w:p>
    <w:tbl>
      <w:tblPr>
        <w:tblW w:w="10205" w:type="dxa"/>
        <w:jc w:val="left"/>
        <w:tblInd w:w="0" w:type="dxa"/>
        <w:tblLayout w:type="fixed"/>
        <w:tblCellMar>
          <w:top w:w="28" w:type="dxa"/>
          <w:left w:w="28" w:type="dxa"/>
          <w:bottom w:w="28" w:type="dxa"/>
          <w:right w:w="28" w:type="dxa"/>
        </w:tblCellMar>
      </w:tblPr>
      <w:tblGrid>
        <w:gridCol w:w="1035"/>
        <w:gridCol w:w="892"/>
        <w:gridCol w:w="899"/>
        <w:gridCol w:w="109"/>
        <w:gridCol w:w="109"/>
        <w:gridCol w:w="109"/>
        <w:gridCol w:w="1159"/>
        <w:gridCol w:w="1159"/>
        <w:gridCol w:w="1162"/>
        <w:gridCol w:w="109"/>
        <w:gridCol w:w="109"/>
        <w:gridCol w:w="109"/>
        <w:gridCol w:w="109"/>
        <w:gridCol w:w="109"/>
        <w:gridCol w:w="194"/>
        <w:gridCol w:w="194"/>
        <w:gridCol w:w="349"/>
        <w:gridCol w:w="993"/>
        <w:gridCol w:w="194"/>
        <w:gridCol w:w="109"/>
        <w:gridCol w:w="109"/>
        <w:gridCol w:w="109"/>
        <w:gridCol w:w="196"/>
        <w:gridCol w:w="421"/>
        <w:gridCol w:w="159"/>
      </w:tblGrid>
      <w:tr>
        <w:trPr/>
        <w:tc>
          <w:tcPr>
            <w:tcW w:w="103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Affected Income Statement Line Item Increase/(Decrease)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03" w:type="dxa"/>
            <w:gridSpan w:val="6"/>
            <w:tcBorders/>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AFS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related to interest settlements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recognized on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recognized on hedged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recognized on AFS securities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related to interest settlements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recognized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recognized on hedged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recognized on loan 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 - 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Long-term debt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long 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premium amortization expense excluded from the assessment of hedge effectiveness of $118,000 and $116,000 for the three months ended March 31,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table below presents the carrying amount of hedged items and cumulative fair value hedging basis adjustments for the periods presented. All fair value hedges of AFS debt securities and loans at </w:t>
      </w:r>
      <w:r>
        <w:rPr>
          <w:rFonts w:ascii="Times New Roman;sans-serif" w:hAnsi="Times New Roman;sans-serif"/>
          <w:b w:val="false"/>
          <w:color w:val="000000"/>
          <w:sz w:val="18"/>
        </w:rPr>
        <w:t xml:space="preserve">March 31, 2024 and </w:t>
      </w:r>
      <w:r>
        <w:rPr>
          <w:rFonts w:ascii="Times New Roman;sans-serif" w:hAnsi="Times New Roman;sans-serif"/>
          <w:b w:val="false"/>
          <w:color w:val="000000"/>
          <w:sz w:val="20"/>
        </w:rPr>
        <w:t>December 31, 2023 were designated under the portfolio layer method.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4"/>
        <w:gridCol w:w="349"/>
        <w:gridCol w:w="352"/>
        <w:gridCol w:w="109"/>
        <w:gridCol w:w="109"/>
        <w:gridCol w:w="109"/>
        <w:gridCol w:w="207"/>
        <w:gridCol w:w="778"/>
        <w:gridCol w:w="115"/>
        <w:gridCol w:w="109"/>
        <w:gridCol w:w="109"/>
        <w:gridCol w:w="109"/>
        <w:gridCol w:w="259"/>
        <w:gridCol w:w="878"/>
        <w:gridCol w:w="145"/>
        <w:gridCol w:w="109"/>
        <w:gridCol w:w="109"/>
        <w:gridCol w:w="109"/>
        <w:gridCol w:w="216"/>
        <w:gridCol w:w="814"/>
        <w:gridCol w:w="120"/>
        <w:gridCol w:w="109"/>
        <w:gridCol w:w="109"/>
        <w:gridCol w:w="109"/>
        <w:gridCol w:w="207"/>
        <w:gridCol w:w="778"/>
        <w:gridCol w:w="115"/>
        <w:gridCol w:w="109"/>
        <w:gridCol w:w="109"/>
        <w:gridCol w:w="109"/>
        <w:gridCol w:w="286"/>
        <w:gridCol w:w="836"/>
        <w:gridCol w:w="161"/>
        <w:gridCol w:w="109"/>
        <w:gridCol w:w="109"/>
        <w:gridCol w:w="109"/>
        <w:gridCol w:w="215"/>
        <w:gridCol w:w="810"/>
        <w:gridCol w:w="178"/>
      </w:tblGrid>
      <w:tr>
        <w:trPr/>
        <w:tc>
          <w:tcPr>
            <w:tcW w:w="42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 Accounting Basis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Hedged Portfolio Layer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 Accounting Basis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Hedged Portfolio Layer</w:t>
            </w:r>
          </w:p>
        </w:tc>
      </w:tr>
      <w:tr>
        <w:trPr/>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Debt securities AFS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783,148 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(14,471)</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649,520 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789,908 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655,511 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5,408,116 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1,017,379 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Carrying amount for AFS debt securities reflects amortized cost, which excludes the hedge accounting basis adjustment.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u w:val="single"/>
        </w:rPr>
        <w:t>Derivatives Not Designated as Hedging Instruments</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and therefore provide an economic hedge.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gains and losses recognized in income on derivatives not designated as hedging instruments for the periods indicated. </w:t>
      </w:r>
    </w:p>
    <w:tbl>
      <w:tblPr>
        <w:tblW w:w="10205" w:type="dxa"/>
        <w:jc w:val="left"/>
        <w:tblInd w:w="0" w:type="dxa"/>
        <w:tblLayout w:type="fixed"/>
        <w:tblCellMar>
          <w:top w:w="28" w:type="dxa"/>
          <w:left w:w="28" w:type="dxa"/>
          <w:bottom w:w="28" w:type="dxa"/>
          <w:right w:w="28" w:type="dxa"/>
        </w:tblCellMar>
      </w:tblPr>
      <w:tblGrid>
        <w:gridCol w:w="962"/>
        <w:gridCol w:w="759"/>
        <w:gridCol w:w="764"/>
        <w:gridCol w:w="109"/>
        <w:gridCol w:w="109"/>
        <w:gridCol w:w="109"/>
        <w:gridCol w:w="1001"/>
        <w:gridCol w:w="1001"/>
        <w:gridCol w:w="1004"/>
        <w:gridCol w:w="109"/>
        <w:gridCol w:w="109"/>
        <w:gridCol w:w="109"/>
        <w:gridCol w:w="109"/>
        <w:gridCol w:w="109"/>
        <w:gridCol w:w="113"/>
        <w:gridCol w:w="177"/>
        <w:gridCol w:w="177"/>
        <w:gridCol w:w="177"/>
        <w:gridCol w:w="320"/>
        <w:gridCol w:w="782"/>
        <w:gridCol w:w="177"/>
        <w:gridCol w:w="168"/>
        <w:gridCol w:w="168"/>
        <w:gridCol w:w="168"/>
        <w:gridCol w:w="304"/>
        <w:gridCol w:w="863"/>
        <w:gridCol w:w="248"/>
      </w:tblGrid>
      <w:tr>
        <w:trPr/>
        <w:tc>
          <w:tcPr>
            <w:tcW w:w="9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Income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729"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Income on Derivatives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919" w:type="dxa"/>
            <w:gridSpan w:val="6"/>
            <w:tcBorders/>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919" w:type="dxa"/>
            <w:gridSpan w:val="6"/>
            <w:tcBorders/>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 derivatives and dealer offsets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Bifurcated embedded derivatives and dealer offsets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banking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0"/>
          <w:u w:val="single"/>
        </w:rPr>
        <w:t>Credit-Risk-Related Contingent Features</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Goodwill and Other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The carrying amount of goodwill and other intangible assets as of the dates indicated is summarized below</w:t>
      </w:r>
      <w:r>
        <w:rPr>
          <w:rFonts w:ascii="Times New Roman;sans-serif" w:hAnsi="Times New Roman;sans-serif"/>
          <w:b w:val="false"/>
          <w:i/>
          <w:color w:val="000000"/>
          <w:sz w:val="20"/>
        </w:rPr>
        <w:t xml:space="preserve">. </w:t>
      </w:r>
      <w:r>
        <w:rPr>
          <w:color w:val="000000"/>
        </w:rPr>
        <w:t> </w:t>
      </w:r>
    </w:p>
    <w:tbl>
      <w:tblPr>
        <w:tblW w:w="7281" w:type="dxa"/>
        <w:jc w:val="left"/>
        <w:tblInd w:w="0" w:type="dxa"/>
        <w:tblLayout w:type="fixed"/>
        <w:tblCellMar>
          <w:top w:w="28" w:type="dxa"/>
          <w:left w:w="28" w:type="dxa"/>
          <w:bottom w:w="28" w:type="dxa"/>
          <w:right w:w="28" w:type="dxa"/>
        </w:tblCellMar>
      </w:tblPr>
      <w:tblGrid>
        <w:gridCol w:w="124"/>
        <w:gridCol w:w="109"/>
        <w:gridCol w:w="109"/>
        <w:gridCol w:w="1134"/>
        <w:gridCol w:w="1134"/>
        <w:gridCol w:w="1137"/>
        <w:gridCol w:w="243"/>
        <w:gridCol w:w="912"/>
        <w:gridCol w:w="135"/>
        <w:gridCol w:w="109"/>
        <w:gridCol w:w="109"/>
        <w:gridCol w:w="109"/>
        <w:gridCol w:w="291"/>
        <w:gridCol w:w="1093"/>
        <w:gridCol w:w="1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 deposit intangible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100,694 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core deposit intangible</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 intangible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customer relationship intangible</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intangibles subject to amortization, net </w:t>
            </w:r>
            <w:r>
              <w:rPr>
                <w:rFonts w:ascii="Times New Roman;sans-serif" w:hAnsi="Times New Roman;sans-serif"/>
                <w:b w:val="false"/>
                <w:color w:val="000000"/>
                <w:sz w:val="12"/>
              </w:rPr>
              <w:t>(1)</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919,914 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goodwill and other intangible assets,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987,539 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990,087 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As intangible assets become fully amortized, they are excluded from balances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changes in the carrying amounts of goodwill: </w:t>
      </w:r>
    </w:p>
    <w:tbl>
      <w:tblPr>
        <w:tblW w:w="7004" w:type="dxa"/>
        <w:jc w:val="left"/>
        <w:tblInd w:w="0" w:type="dxa"/>
        <w:tblLayout w:type="fixed"/>
        <w:tblCellMar>
          <w:top w:w="28" w:type="dxa"/>
          <w:left w:w="28" w:type="dxa"/>
          <w:bottom w:w="28" w:type="dxa"/>
          <w:right w:w="28" w:type="dxa"/>
        </w:tblCellMar>
      </w:tblPr>
      <w:tblGrid>
        <w:gridCol w:w="124"/>
        <w:gridCol w:w="1182"/>
        <w:gridCol w:w="1182"/>
        <w:gridCol w:w="1190"/>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beginning of period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Measurement period adjustment - First Miami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Balance, end of period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Goodwill balances are shown net of accumulated impairment losses of $306 million incurred prior to 2023. </w:t>
      </w:r>
    </w:p>
    <w:p>
      <w:pPr>
        <w:pStyle w:val="TextBody"/>
        <w:bidi w:val="0"/>
        <w:spacing w:lineRule="auto" w:line="288" w:before="100" w:after="283"/>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See Note 4 for further details.</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aggregate amortization expense for future periods for finite-lived intangibles is as follows:</w:t>
      </w:r>
    </w:p>
    <w:tbl>
      <w:tblPr>
        <w:tblW w:w="3135" w:type="dxa"/>
        <w:jc w:val="left"/>
        <w:tblInd w:w="0" w:type="dxa"/>
        <w:tblLayout w:type="fixed"/>
        <w:tblCellMar>
          <w:top w:w="28" w:type="dxa"/>
          <w:left w:w="28" w:type="dxa"/>
          <w:bottom w:w="28" w:type="dxa"/>
          <w:right w:w="28" w:type="dxa"/>
        </w:tblCellMar>
      </w:tblPr>
      <w:tblGrid>
        <w:gridCol w:w="124"/>
        <w:gridCol w:w="109"/>
        <w:gridCol w:w="109"/>
        <w:gridCol w:w="489"/>
        <w:gridCol w:w="489"/>
        <w:gridCol w:w="492"/>
        <w:gridCol w:w="196"/>
        <w:gridCol w:w="64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9 – Assets and Liabilities Measured at Fair Value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determined based on the assumptions that market participants would use in pricing the asset or liability. As a basis for considering those assumptions, United uses a fair value hierarchy that distinguishes between assumptions based on market data obtained from sources independent of the reporting entity (observable inputs that are classified within Levels 1 and 2 of the hierarchy) and the reporting entity’s own assumptions (unobservable inputs classified within Level 3 of the hierarchy). United has processes in place to review the significant valuation inputs and to reassess how the instruments are classified in the valuation framework.</w:t>
      </w:r>
    </w:p>
    <w:p>
      <w:pPr>
        <w:pStyle w:val="TextBody"/>
        <w:bidi w:val="0"/>
        <w:spacing w:lineRule="auto" w:line="288" w:before="12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Fair Value Hierarchy</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0"/>
        </w:rPr>
        <w:t xml:space="preserve">Level 1 </w:t>
      </w:r>
      <w:r>
        <w:rPr>
          <w:rFonts w:ascii="Times New Roman;sans-serif" w:hAnsi="Times New Roman;sans-serif"/>
          <w:b w:val="false"/>
          <w:color w:val="000000"/>
          <w:sz w:val="20"/>
        </w:rPr>
        <w:t>Valuation is based upon quoted prices (unadjusted) in active markets for identical assets or liabilities that United has the ability to access.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0"/>
        </w:rPr>
        <w:t xml:space="preserve">Level 2 </w:t>
      </w:r>
      <w:r>
        <w:rPr>
          <w:rFonts w:ascii="Times New Roman;sans-serif" w:hAnsi="Times New Roman;sans-serif"/>
          <w:b w:val="false"/>
          <w:color w:val="000000"/>
          <w:sz w:val="20"/>
        </w:rPr>
        <w:t>Valuation is based upon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pStyle w:val="TextBody"/>
        <w:bidi w:val="0"/>
        <w:spacing w:lineRule="auto" w:line="288" w:before="120" w:after="120"/>
        <w:ind w:left="0" w:right="0" w:firstLine="720"/>
        <w:jc w:val="both"/>
        <w:rPr/>
      </w:pPr>
      <w:r>
        <w:rPr>
          <w:rFonts w:ascii="Times New Roman;sans-serif" w:hAnsi="Times New Roman;sans-serif"/>
          <w:b w:val="false"/>
          <w:i/>
          <w:color w:val="000000"/>
          <w:sz w:val="20"/>
        </w:rPr>
        <w:t xml:space="preserve">Level 3 </w:t>
      </w:r>
      <w:r>
        <w:rPr>
          <w:rFonts w:ascii="Times New Roman;sans-serif" w:hAnsi="Times New Roman;sans-serif"/>
          <w:b w:val="false"/>
          <w:color w:val="000000"/>
          <w:sz w:val="20"/>
        </w:rPr>
        <w:t>Valuation is generated from model-based techniques that use at least one significant assumption based on unobservable inputs for the asset or liability, which are typically based on an entity’s own assumptions, as there is little, if any, related market activity.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the valuation methodologies used for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Investment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Deferred Compensation Plan Assets and Liabilities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other assets in the consolidated balance sheet are assets purchased to provide returns mirroring those promised to participants in the employee deferred compensation plan. These assets are mutual funds classified as Level 1. Deferred compensation liabilities, also classified as Level 1, are carried at the fair value of the obligation to the participant, which mirrors the fair value of the invested assets and is included in other liabilities in the consolidated balance sheet. Deferred compensation plan liabilities are unsecured general obligations of United.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Mortgage Loans Held for Sale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Derivative Financial Instruments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when management’s assessment indicates that the CVA is a significant input, the related derivative is disclosed as a Level 3 value. In other cases, derivatives are categorized as Level 3 when there is not an observable forward-rate curve available for the duration of the contract.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Servicing Rights for Residential and SBA/USDA Loans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 and Liabilities Measured at Fair Value on a Recurring Basis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United’s assets and liabilities measured at fair value on a recurring basis as of the dates indicated, aggregated by the level in the fair value hierarchy within which those measurements fall.</w:t>
      </w:r>
    </w:p>
    <w:tbl>
      <w:tblPr>
        <w:tblW w:w="9537" w:type="dxa"/>
        <w:jc w:val="left"/>
        <w:tblInd w:w="0" w:type="dxa"/>
        <w:tblLayout w:type="fixed"/>
        <w:tblCellMar>
          <w:top w:w="28" w:type="dxa"/>
          <w:left w:w="28" w:type="dxa"/>
          <w:bottom w:w="28" w:type="dxa"/>
          <w:right w:w="28" w:type="dxa"/>
        </w:tblCellMar>
      </w:tblPr>
      <w:tblGrid>
        <w:gridCol w:w="1391"/>
        <w:gridCol w:w="1223"/>
        <w:gridCol w:w="1226"/>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AFS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agencies &amp; GSEs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with readily determinable fair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Servicing rights for SBA/USDA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3,072,777 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3,547,070 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537" w:type="dxa"/>
        <w:jc w:val="left"/>
        <w:tblInd w:w="0" w:type="dxa"/>
        <w:tblLayout w:type="fixed"/>
        <w:tblCellMar>
          <w:top w:w="28" w:type="dxa"/>
          <w:left w:w="28" w:type="dxa"/>
          <w:bottom w:w="28" w:type="dxa"/>
          <w:right w:w="28" w:type="dxa"/>
        </w:tblCellMar>
      </w:tblPr>
      <w:tblGrid>
        <w:gridCol w:w="1390"/>
        <w:gridCol w:w="1222"/>
        <w:gridCol w:w="1228"/>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AFS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agencies &amp; GSEs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with readily determinable fair values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Servicing rights for SBA/USDA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3,475,971 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compensation plan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a reconciliation of the beginning and ending balances for the periods indicated for assets measured at fair value on a recurring basis using significant unobservable inputs that are classified as Level 3 values. </w:t>
      </w:r>
    </w:p>
    <w:tbl>
      <w:tblPr>
        <w:tblW w:w="12132" w:type="dxa"/>
        <w:jc w:val="left"/>
        <w:tblInd w:w="0" w:type="dxa"/>
        <w:tblLayout w:type="fixed"/>
        <w:tblCellMar>
          <w:top w:w="28" w:type="dxa"/>
          <w:left w:w="28" w:type="dxa"/>
          <w:bottom w:w="28" w:type="dxa"/>
          <w:right w:w="28" w:type="dxa"/>
        </w:tblCellMar>
      </w:tblPr>
      <w:tblGrid>
        <w:gridCol w:w="434"/>
        <w:gridCol w:w="246"/>
        <w:gridCol w:w="236"/>
        <w:gridCol w:w="181"/>
        <w:gridCol w:w="541"/>
        <w:gridCol w:w="109"/>
        <w:gridCol w:w="109"/>
        <w:gridCol w:w="109"/>
        <w:gridCol w:w="109"/>
        <w:gridCol w:w="181"/>
        <w:gridCol w:w="541"/>
        <w:gridCol w:w="109"/>
        <w:gridCol w:w="109"/>
        <w:gridCol w:w="109"/>
        <w:gridCol w:w="109"/>
        <w:gridCol w:w="181"/>
        <w:gridCol w:w="466"/>
        <w:gridCol w:w="109"/>
        <w:gridCol w:w="109"/>
        <w:gridCol w:w="109"/>
        <w:gridCol w:w="109"/>
        <w:gridCol w:w="181"/>
        <w:gridCol w:w="541"/>
        <w:gridCol w:w="109"/>
        <w:gridCol w:w="109"/>
        <w:gridCol w:w="109"/>
        <w:gridCol w:w="109"/>
        <w:gridCol w:w="181"/>
        <w:gridCol w:w="466"/>
        <w:gridCol w:w="109"/>
        <w:gridCol w:w="109"/>
        <w:gridCol w:w="109"/>
        <w:gridCol w:w="109"/>
        <w:gridCol w:w="109"/>
        <w:gridCol w:w="109"/>
        <w:gridCol w:w="181"/>
        <w:gridCol w:w="541"/>
        <w:gridCol w:w="109"/>
        <w:gridCol w:w="109"/>
        <w:gridCol w:w="109"/>
        <w:gridCol w:w="109"/>
        <w:gridCol w:w="181"/>
        <w:gridCol w:w="541"/>
        <w:gridCol w:w="109"/>
        <w:gridCol w:w="109"/>
        <w:gridCol w:w="109"/>
        <w:gridCol w:w="109"/>
        <w:gridCol w:w="181"/>
        <w:gridCol w:w="466"/>
        <w:gridCol w:w="109"/>
        <w:gridCol w:w="109"/>
        <w:gridCol w:w="109"/>
        <w:gridCol w:w="109"/>
        <w:gridCol w:w="181"/>
        <w:gridCol w:w="541"/>
        <w:gridCol w:w="109"/>
        <w:gridCol w:w="109"/>
        <w:gridCol w:w="109"/>
        <w:gridCol w:w="109"/>
        <w:gridCol w:w="181"/>
        <w:gridCol w:w="46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Derivative</w:t>
              <w:b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SBA/USDA loan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mortgage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Bonds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Derivative</w:t>
              <w:b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SBA/USDA loan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mortgage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Bonds</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9"/>
            <w:tcBorders/>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9" w:type="dxa"/>
            <w:gridSpan w:val="9"/>
            <w:tcBorders/>
          </w:tcPr>
          <w:p>
            <w:pPr>
              <w:pStyle w:val="TableContents"/>
              <w:bidi w:val="0"/>
              <w:spacing w:before="0" w:after="283"/>
              <w:jc w:val="left"/>
              <w:rPr>
                <w:sz w:val="4"/>
                <w:szCs w:val="4"/>
              </w:rPr>
            </w:pPr>
            <w:r>
              <w:rPr>
                <w:sz w:val="4"/>
                <w:szCs w:val="4"/>
              </w:rPr>
            </w:r>
          </w:p>
        </w:tc>
      </w:tr>
      <w:tr>
        <w:trPr/>
        <w:tc>
          <w:tcPr>
            <w:tcW w:w="29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Beginning balance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Business combinations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Additions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Transfers from Level 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Sales and settlements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adjustments included in OCI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 value adjustments included in earnings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Ending balance</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quantitative information about significant Level 3 inputs for fair value on a recurring basis as of the dates indicated. </w:t>
      </w:r>
    </w:p>
    <w:tbl>
      <w:tblPr>
        <w:tblW w:w="10205" w:type="dxa"/>
        <w:jc w:val="left"/>
        <w:tblInd w:w="0" w:type="dxa"/>
        <w:tblLayout w:type="fixed"/>
        <w:tblCellMar>
          <w:top w:w="28" w:type="dxa"/>
          <w:left w:w="28" w:type="dxa"/>
          <w:bottom w:w="28" w:type="dxa"/>
          <w:right w:w="28" w:type="dxa"/>
        </w:tblCellMar>
      </w:tblPr>
      <w:tblGrid>
        <w:gridCol w:w="567"/>
        <w:gridCol w:w="481"/>
        <w:gridCol w:w="484"/>
        <w:gridCol w:w="109"/>
        <w:gridCol w:w="109"/>
        <w:gridCol w:w="109"/>
        <w:gridCol w:w="394"/>
        <w:gridCol w:w="394"/>
        <w:gridCol w:w="395"/>
        <w:gridCol w:w="109"/>
        <w:gridCol w:w="109"/>
        <w:gridCol w:w="109"/>
        <w:gridCol w:w="549"/>
        <w:gridCol w:w="549"/>
        <w:gridCol w:w="550"/>
        <w:gridCol w:w="109"/>
        <w:gridCol w:w="109"/>
        <w:gridCol w:w="109"/>
        <w:gridCol w:w="254"/>
        <w:gridCol w:w="254"/>
        <w:gridCol w:w="255"/>
        <w:gridCol w:w="113"/>
        <w:gridCol w:w="113"/>
        <w:gridCol w:w="113"/>
        <w:gridCol w:w="297"/>
        <w:gridCol w:w="244"/>
        <w:gridCol w:w="576"/>
        <w:gridCol w:w="109"/>
        <w:gridCol w:w="109"/>
        <w:gridCol w:w="109"/>
        <w:gridCol w:w="254"/>
        <w:gridCol w:w="254"/>
        <w:gridCol w:w="255"/>
        <w:gridCol w:w="121"/>
        <w:gridCol w:w="121"/>
        <w:gridCol w:w="121"/>
        <w:gridCol w:w="295"/>
        <w:gridCol w:w="232"/>
        <w:gridCol w:w="662"/>
      </w:tblGrid>
      <w:tr>
        <w:trPr/>
        <w:tc>
          <w:tcPr>
            <w:tcW w:w="56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Range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SBA/USDA loan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3.6% - 25.0%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8.4% - 25.0%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18"/>
              </w:rPr>
              <w:t>2.0 - 38.0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3.5 - 37.4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10.0 - 12.5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10.0 - 15.0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6.5 - 30.0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6.5 - 29.9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6.6 - 7.2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6.1 - 6.7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model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Pull through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64.0 - 100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60.0 - 100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and liabilities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Dealer priced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Dealer priced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Option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generally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tbl>
      <w:tblPr>
        <w:tblW w:w="6080" w:type="dxa"/>
        <w:jc w:val="left"/>
        <w:tblInd w:w="0" w:type="dxa"/>
        <w:tblLayout w:type="fixed"/>
        <w:tblCellMar>
          <w:top w:w="28" w:type="dxa"/>
          <w:left w:w="28" w:type="dxa"/>
          <w:bottom w:w="28" w:type="dxa"/>
          <w:right w:w="28" w:type="dxa"/>
        </w:tblCellMar>
      </w:tblPr>
      <w:tblGrid>
        <w:gridCol w:w="124"/>
        <w:gridCol w:w="109"/>
        <w:gridCol w:w="109"/>
        <w:gridCol w:w="734"/>
        <w:gridCol w:w="734"/>
        <w:gridCol w:w="737"/>
        <w:gridCol w:w="266"/>
        <w:gridCol w:w="876"/>
        <w:gridCol w:w="147"/>
        <w:gridCol w:w="109"/>
        <w:gridCol w:w="109"/>
        <w:gridCol w:w="109"/>
        <w:gridCol w:w="318"/>
        <w:gridCol w:w="1050"/>
        <w:gridCol w:w="1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Mortgage Loans Held for 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principal balance</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36,951 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38,140 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41" w:type="dxa"/>
        <w:jc w:val="center"/>
        <w:tblInd w:w="0" w:type="dxa"/>
        <w:tblLayout w:type="fixed"/>
        <w:tblCellMar>
          <w:top w:w="28" w:type="dxa"/>
          <w:left w:w="28" w:type="dxa"/>
          <w:bottom w:w="28" w:type="dxa"/>
          <w:right w:w="28" w:type="dxa"/>
        </w:tblCellMar>
      </w:tblPr>
      <w:tblGrid>
        <w:gridCol w:w="124"/>
        <w:gridCol w:w="109"/>
        <w:gridCol w:w="109"/>
        <w:gridCol w:w="1055"/>
        <w:gridCol w:w="1055"/>
        <w:gridCol w:w="1055"/>
        <w:gridCol w:w="633"/>
        <w:gridCol w:w="633"/>
        <w:gridCol w:w="633"/>
        <w:gridCol w:w="633"/>
        <w:gridCol w:w="633"/>
        <w:gridCol w:w="633"/>
        <w:gridCol w:w="196"/>
        <w:gridCol w:w="406"/>
        <w:gridCol w:w="109"/>
        <w:gridCol w:w="109"/>
        <w:gridCol w:w="109"/>
        <w:gridCol w:w="109"/>
        <w:gridCol w:w="196"/>
        <w:gridCol w:w="421"/>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(Loss) from Change in Fair Value on Mortgage Loans Held for Sale</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Mortgage loan gains and other related fees</w:t>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fair value were mostly offset by hedging activities. An immaterial portion of these amounts was attributable to changes in instrument-specific credit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 and Liabilities Measured at Fair Value on a Nonrecurring Basis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2024 and December 31, 2023, for which a nonrecurring fair value adjustment was recorded during the year-to-date periods presented.</w:t>
      </w:r>
    </w:p>
    <w:tbl>
      <w:tblPr>
        <w:tblW w:w="7296" w:type="dxa"/>
        <w:jc w:val="left"/>
        <w:tblInd w:w="0" w:type="dxa"/>
        <w:tblLayout w:type="fixed"/>
        <w:tblCellMar>
          <w:top w:w="28" w:type="dxa"/>
          <w:left w:w="28" w:type="dxa"/>
          <w:bottom w:w="28" w:type="dxa"/>
          <w:right w:w="28" w:type="dxa"/>
        </w:tblCellMar>
      </w:tblPr>
      <w:tblGrid>
        <w:gridCol w:w="124"/>
        <w:gridCol w:w="109"/>
        <w:gridCol w:w="109"/>
        <w:gridCol w:w="649"/>
        <w:gridCol w:w="649"/>
        <w:gridCol w:w="652"/>
        <w:gridCol w:w="109"/>
        <w:gridCol w:w="109"/>
        <w:gridCol w:w="109"/>
        <w:gridCol w:w="196"/>
        <w:gridCol w:w="40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an appraised value is not available or management determines the fair value of the collateral is further impaired below the appraised value and there is no observable market price, United records the impaired loan as nonrecurring Level 3.</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u w:val="single"/>
        </w:rPr>
        <w:t>Assets and Liabilities Not Measured at Fair Value</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Off-balance sheet instruments (commitments to extend credit and standby letters of credit) for which draws can be reasonably predicted are generally short-term in maturity and are priced at variable rates. Therefore, the estimated fair values associated with these instruments are immaterial.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and fair values as of the dates indicated for other financial instruments that are not measured at fair value on a recurring basis are as follows. </w:t>
      </w:r>
    </w:p>
    <w:tbl>
      <w:tblPr>
        <w:tblW w:w="9172" w:type="dxa"/>
        <w:jc w:val="left"/>
        <w:tblInd w:w="0" w:type="dxa"/>
        <w:tblLayout w:type="fixed"/>
        <w:tblCellMar>
          <w:top w:w="28" w:type="dxa"/>
          <w:left w:w="28" w:type="dxa"/>
          <w:bottom w:w="28" w:type="dxa"/>
          <w:right w:w="28" w:type="dxa"/>
        </w:tblCellMar>
      </w:tblPr>
      <w:tblGrid>
        <w:gridCol w:w="586"/>
        <w:gridCol w:w="514"/>
        <w:gridCol w:w="519"/>
        <w:gridCol w:w="109"/>
        <w:gridCol w:w="109"/>
        <w:gridCol w:w="109"/>
        <w:gridCol w:w="250"/>
        <w:gridCol w:w="1111"/>
        <w:gridCol w:w="139"/>
        <w:gridCol w:w="109"/>
        <w:gridCol w:w="109"/>
        <w:gridCol w:w="109"/>
        <w:gridCol w:w="196"/>
        <w:gridCol w:w="646"/>
        <w:gridCol w:w="109"/>
        <w:gridCol w:w="109"/>
        <w:gridCol w:w="109"/>
        <w:gridCol w:w="109"/>
        <w:gridCol w:w="196"/>
        <w:gridCol w:w="871"/>
        <w:gridCol w:w="109"/>
        <w:gridCol w:w="109"/>
        <w:gridCol w:w="109"/>
        <w:gridCol w:w="109"/>
        <w:gridCol w:w="312"/>
        <w:gridCol w:w="649"/>
        <w:gridCol w:w="109"/>
        <w:gridCol w:w="109"/>
        <w:gridCol w:w="109"/>
        <w:gridCol w:w="109"/>
        <w:gridCol w:w="196"/>
        <w:gridCol w:w="8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Level</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HTM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2,465,133 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18,163,910 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17,622,063 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23,332,009 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23,320,033 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HTM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2,490,848 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18,110,684 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17,585,073 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23,310,611 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23,305,223 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23,305,223 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324,823 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Stock-Based Compensation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has an equity compensation plan that allows for grants of various share-based compensation. The general terms of the plan include a vesting period (usually four years) with an exercise period not to exceed ten years. Certain options and restricted stock unit awards provide for accelerated vesting if there is a change in control (as defined in the plan document). As of March 31, 2024, the plan covered 2.13 million shares that could be issued pursuant to additional awards granted under the plan.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restricted stock unit and option activity for the three months ended March 31, 2024.</w:t>
      </w:r>
    </w:p>
    <w:tbl>
      <w:tblPr>
        <w:tblW w:w="10212" w:type="dxa"/>
        <w:jc w:val="left"/>
        <w:tblInd w:w="0" w:type="dxa"/>
        <w:tblLayout w:type="fixed"/>
        <w:tblCellMar>
          <w:top w:w="28" w:type="dxa"/>
          <w:left w:w="28" w:type="dxa"/>
          <w:bottom w:w="28" w:type="dxa"/>
          <w:right w:w="28" w:type="dxa"/>
        </w:tblCellMar>
      </w:tblPr>
      <w:tblGrid>
        <w:gridCol w:w="389"/>
        <w:gridCol w:w="315"/>
        <w:gridCol w:w="317"/>
        <w:gridCol w:w="109"/>
        <w:gridCol w:w="109"/>
        <w:gridCol w:w="109"/>
        <w:gridCol w:w="435"/>
        <w:gridCol w:w="436"/>
        <w:gridCol w:w="211"/>
        <w:gridCol w:w="109"/>
        <w:gridCol w:w="109"/>
        <w:gridCol w:w="109"/>
        <w:gridCol w:w="236"/>
        <w:gridCol w:w="556"/>
        <w:gridCol w:w="109"/>
        <w:gridCol w:w="109"/>
        <w:gridCol w:w="109"/>
        <w:gridCol w:w="109"/>
        <w:gridCol w:w="109"/>
        <w:gridCol w:w="109"/>
        <w:gridCol w:w="201"/>
        <w:gridCol w:w="572"/>
        <w:gridCol w:w="113"/>
        <w:gridCol w:w="109"/>
        <w:gridCol w:w="109"/>
        <w:gridCol w:w="109"/>
        <w:gridCol w:w="368"/>
        <w:gridCol w:w="368"/>
        <w:gridCol w:w="211"/>
        <w:gridCol w:w="109"/>
        <w:gridCol w:w="109"/>
        <w:gridCol w:w="109"/>
        <w:gridCol w:w="205"/>
        <w:gridCol w:w="581"/>
        <w:gridCol w:w="115"/>
        <w:gridCol w:w="109"/>
        <w:gridCol w:w="109"/>
        <w:gridCol w:w="109"/>
        <w:gridCol w:w="345"/>
        <w:gridCol w:w="345"/>
        <w:gridCol w:w="346"/>
        <w:gridCol w:w="109"/>
        <w:gridCol w:w="109"/>
        <w:gridCol w:w="109"/>
        <w:gridCol w:w="236"/>
        <w:gridCol w:w="508"/>
        <w:gridCol w:w="187"/>
      </w:tblGrid>
      <w:tr>
        <w:trPr/>
        <w:tc>
          <w:tcPr>
            <w:tcW w:w="3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1258" w:type="dxa"/>
            <w:gridSpan w:val="6"/>
            <w:tcBorders/>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 ($000)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 ($000)</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929,367 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406,737 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171,905 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 /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(55,654)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1,003,133 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348,730 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 Exercisable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348,730 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compensation expense relating to options was included in earnings for the three months ended March 31, 2024 and 2023.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value, which was estimated using the Monte Carlo Simulation valuation model. United recognizes the impact of forfeitures as they occur. The value of restricted stock unit and performance stock unit awards is amortized into expense over the service period.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expense of $2.22 million and $2.36 million, respectively, was recognized related to restricted stock unit and performance stock unit awards granted to United employees, which was included in salaries and employee benefits expense. In addition, for the three months ended March 31, 2024 and 2023, $183,000 and $122,000, respectively, was recognized in other expense for restricted stock unit awards granted to members of United’s Board of Directors.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deferred income tax benefit related to stock-based compensation expense of $614,000 and $634,000 was included in the determination of income tax expense for the three months ended March 31, 2024 and 2023, respectively. As of March 31, 2024, there was $22.3 million of unrecognized expense related to non-vested restricted stock unit and performance stock unit awards granted under the plan. That cost is expected to be recognized over a weighted-average period of 2.6 years.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Reclassifications Out of AOCI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details regarding amounts reclassified out of AOCI for the periods indicated. Amounts shown in parentheses reduce earnings.</w:t>
      </w:r>
    </w:p>
    <w:tbl>
      <w:tblPr>
        <w:tblW w:w="10205" w:type="dxa"/>
        <w:jc w:val="left"/>
        <w:tblInd w:w="0" w:type="dxa"/>
        <w:tblLayout w:type="fixed"/>
        <w:tblCellMar>
          <w:top w:w="28" w:type="dxa"/>
          <w:left w:w="28" w:type="dxa"/>
          <w:bottom w:w="28" w:type="dxa"/>
          <w:right w:w="28" w:type="dxa"/>
        </w:tblCellMar>
      </w:tblPr>
      <w:tblGrid>
        <w:gridCol w:w="970"/>
        <w:gridCol w:w="783"/>
        <w:gridCol w:w="764"/>
        <w:gridCol w:w="134"/>
        <w:gridCol w:w="134"/>
        <w:gridCol w:w="134"/>
        <w:gridCol w:w="134"/>
        <w:gridCol w:w="134"/>
        <w:gridCol w:w="154"/>
        <w:gridCol w:w="154"/>
        <w:gridCol w:w="154"/>
        <w:gridCol w:w="154"/>
        <w:gridCol w:w="233"/>
        <w:gridCol w:w="720"/>
        <w:gridCol w:w="129"/>
        <w:gridCol w:w="115"/>
        <w:gridCol w:w="115"/>
        <w:gridCol w:w="115"/>
        <w:gridCol w:w="576"/>
        <w:gridCol w:w="1828"/>
        <w:gridCol w:w="320"/>
        <w:gridCol w:w="155"/>
        <w:gridCol w:w="155"/>
        <w:gridCol w:w="156"/>
        <w:gridCol w:w="554"/>
        <w:gridCol w:w="502"/>
        <w:gridCol w:w="729"/>
      </w:tblGrid>
      <w:tr>
        <w:trPr/>
        <w:tc>
          <w:tcPr>
            <w:tcW w:w="97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975" w:type="dxa"/>
            <w:gridSpan w:val="9"/>
            <w:tcBorders/>
          </w:tcPr>
          <w:p>
            <w:pPr>
              <w:pStyle w:val="TableContents"/>
              <w:bidi w:val="0"/>
              <w:spacing w:before="0" w:after="283"/>
              <w:jc w:val="left"/>
              <w:rPr>
                <w:sz w:val="4"/>
                <w:szCs w:val="4"/>
              </w:rPr>
            </w:pPr>
            <w:r>
              <w:rPr>
                <w:sz w:val="4"/>
                <w:szCs w:val="4"/>
              </w:rPr>
            </w:r>
          </w:p>
        </w:tc>
      </w:tr>
      <w:tr>
        <w:trPr/>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Details about AOCI Components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Affected Line Item in the Statement Where Net Income is Presented</w:t>
            </w:r>
          </w:p>
        </w:tc>
        <w:tc>
          <w:tcPr>
            <w:tcW w:w="2251" w:type="dxa"/>
            <w:gridSpan w:val="6"/>
            <w:tcBorders/>
          </w:tcPr>
          <w:p>
            <w:pPr>
              <w:pStyle w:val="TableContents"/>
              <w:bidi w:val="0"/>
              <w:spacing w:before="0" w:after="283"/>
              <w:jc w:val="left"/>
              <w:rPr>
                <w:sz w:val="4"/>
                <w:szCs w:val="4"/>
              </w:rPr>
            </w:pPr>
            <w:r>
              <w:rPr>
                <w:sz w:val="4"/>
                <w:szCs w:val="4"/>
              </w:rPr>
            </w:r>
          </w:p>
        </w:tc>
      </w:tr>
      <w:tr>
        <w:trPr/>
        <w:tc>
          <w:tcPr>
            <w:tcW w:w="2517" w:type="dxa"/>
            <w:gridSpan w:val="3"/>
            <w:vMerge w:val="continue"/>
            <w:tcBorders/>
            <w:tcMar>
              <w:top w:w="0" w:type="dxa"/>
              <w:left w:w="0" w:type="dxa"/>
              <w:bottom w:w="0" w:type="dxa"/>
              <w:right w:w="0" w:type="dxa"/>
            </w:tcMar>
            <w:vAlign w:val="center"/>
          </w:tcPr>
          <w:p>
            <w:pPr>
              <w:pStyle w:val="Normal"/>
              <w:bidi w:val="0"/>
              <w:jc w:val="left"/>
              <w:rPr/>
            </w:pPr>
            <w:r>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1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losses on AFS securities:</w:t>
            </w:r>
          </w:p>
        </w:tc>
        <w:tc>
          <w:tcPr>
            <w:tcW w:w="4975" w:type="dxa"/>
            <w:gridSpan w:val="9"/>
            <w:tcBorders/>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losses, net</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unrealized losses on HTM securities transferred from AFS:</w:t>
            </w:r>
          </w:p>
        </w:tc>
        <w:tc>
          <w:tcPr>
            <w:tcW w:w="4975" w:type="dxa"/>
            <w:gridSpan w:val="9"/>
            <w:tcBorders/>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interest revenue</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Reclassifications related to derivative instruments accounted for as cash flow hedges:</w:t>
            </w:r>
          </w:p>
        </w:tc>
        <w:tc>
          <w:tcPr>
            <w:tcW w:w="4975" w:type="dxa"/>
            <w:gridSpan w:val="9"/>
            <w:tcBorders/>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contracts</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interest expense</w:t>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152" w:type="dxa"/>
            <w:gridSpan w:val="20"/>
            <w:tcBorders/>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380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defined benefit pension plan net periodic pension cost components:</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5" w:type="dxa"/>
            <w:gridSpan w:val="9"/>
            <w:tcBorders/>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Prior service cost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 expense</w:t>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272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r>
      <w:tr>
        <w:trPr/>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reclassifications for the period</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w:t>
            </w:r>
          </w:p>
        </w:tc>
        <w:tc>
          <w:tcPr>
            <w:tcW w:w="32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of tax</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for the periods indicated.</w:t>
      </w:r>
    </w:p>
    <w:tbl>
      <w:tblPr>
        <w:tblW w:w="6775" w:type="dxa"/>
        <w:jc w:val="left"/>
        <w:tblInd w:w="0" w:type="dxa"/>
        <w:tblLayout w:type="fixed"/>
        <w:tblCellMar>
          <w:top w:w="28" w:type="dxa"/>
          <w:left w:w="28" w:type="dxa"/>
          <w:bottom w:w="28" w:type="dxa"/>
          <w:right w:w="28" w:type="dxa"/>
        </w:tblCellMar>
      </w:tblPr>
      <w:tblGrid>
        <w:gridCol w:w="124"/>
        <w:gridCol w:w="1119"/>
        <w:gridCol w:w="1119"/>
        <w:gridCol w:w="1122"/>
        <w:gridCol w:w="109"/>
        <w:gridCol w:w="109"/>
        <w:gridCol w:w="137"/>
        <w:gridCol w:w="137"/>
        <w:gridCol w:w="137"/>
        <w:gridCol w:w="137"/>
        <w:gridCol w:w="248"/>
        <w:gridCol w:w="817"/>
        <w:gridCol w:w="137"/>
        <w:gridCol w:w="109"/>
        <w:gridCol w:w="109"/>
        <w:gridCol w:w="109"/>
        <w:gridCol w:w="196"/>
        <w:gridCol w:w="64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62,631 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allocated to participating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119,743 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0.51 </w:t>
            </w:r>
          </w:p>
        </w:tc>
        <w:tc>
          <w:tcPr>
            <w:tcW w:w="1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0.52 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United excluded from the computation of earnings per share 984 potentially dilutive shares of common stock issuable upon exercise of stock options because of their antidilutive effect. At March 31, 2023, United had no potentially dilutive instruments outstanding that were not included in the computation.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Regulatory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March 31, 2024, and there have been no conditions or events since quarter-end that would change the status of well-capitalized.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capital ratios at March 31, 2024 and December 31, 2023, along with the minimum amounts required for capital adequacy purposes and to be well-capitalized under regulatory requirements in effect at such times, are presented below for United and the Bank:</w:t>
      </w:r>
    </w:p>
    <w:tbl>
      <w:tblPr>
        <w:tblW w:w="10320" w:type="dxa"/>
        <w:jc w:val="left"/>
        <w:tblInd w:w="0" w:type="dxa"/>
        <w:tblLayout w:type="fixed"/>
        <w:tblCellMar>
          <w:top w:w="28" w:type="dxa"/>
          <w:left w:w="28" w:type="dxa"/>
          <w:bottom w:w="28" w:type="dxa"/>
          <w:right w:w="28" w:type="dxa"/>
        </w:tblCellMar>
      </w:tblPr>
      <w:tblGrid>
        <w:gridCol w:w="610"/>
        <w:gridCol w:w="272"/>
        <w:gridCol w:w="274"/>
        <w:gridCol w:w="109"/>
        <w:gridCol w:w="109"/>
        <w:gridCol w:w="109"/>
        <w:gridCol w:w="200"/>
        <w:gridCol w:w="200"/>
        <w:gridCol w:w="471"/>
        <w:gridCol w:w="109"/>
        <w:gridCol w:w="109"/>
        <w:gridCol w:w="109"/>
        <w:gridCol w:w="233"/>
        <w:gridCol w:w="233"/>
        <w:gridCol w:w="528"/>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6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United Community Banks, Inc.</w:t>
              <w:b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United Community Bank</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Risk-based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2,468,825 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2,432,518 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2,435,962 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2,557,091 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2,502,765 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2,435,962 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2,917,664 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2,898,474 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2,638,009 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19,933,869 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20,007,236 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19,861,459 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19,933,429 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total assets for the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26,400,773 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26,621,561 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26,351,912 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26,563,946 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As of March 31, 2024 and December 31, 2023 the additional capital conservation buffer in effect was 2.50%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Commitments and Contingencies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amount of off-balance sheet instruments as of the dates indicated.</w:t>
      </w:r>
    </w:p>
    <w:tbl>
      <w:tblPr>
        <w:tblW w:w="8081" w:type="dxa"/>
        <w:jc w:val="left"/>
        <w:tblInd w:w="0" w:type="dxa"/>
        <w:tblLayout w:type="fixed"/>
        <w:tblCellMar>
          <w:top w:w="28" w:type="dxa"/>
          <w:left w:w="28" w:type="dxa"/>
          <w:bottom w:w="28" w:type="dxa"/>
          <w:right w:w="28" w:type="dxa"/>
        </w:tblCellMar>
      </w:tblPr>
      <w:tblGrid>
        <w:gridCol w:w="1764"/>
        <w:gridCol w:w="1549"/>
        <w:gridCol w:w="1562"/>
        <w:gridCol w:w="215"/>
        <w:gridCol w:w="956"/>
        <w:gridCol w:w="119"/>
        <w:gridCol w:w="109"/>
        <w:gridCol w:w="109"/>
        <w:gridCol w:w="109"/>
        <w:gridCol w:w="255"/>
        <w:gridCol w:w="1134"/>
        <w:gridCol w:w="200"/>
      </w:tblGrid>
      <w:tr>
        <w:trPr/>
        <w:tc>
          <w:tcPr>
            <w:tcW w:w="176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instruments whose contract amounts represent credit risk:</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to extend credit</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4,075,892 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4,305,483 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Letters of credit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pStyle w:val="TextBody"/>
        <w:bidi w:val="0"/>
        <w:spacing w:before="0" w:after="0"/>
        <w:jc w:val="both"/>
        <w:rPr/>
      </w:pPr>
      <w:r>
        <w:rPr/>
      </w:r>
    </w:p>
    <w:p>
      <w:pPr>
        <w:pStyle w:val="TextBody"/>
        <w:bidi w:val="0"/>
        <w:spacing w:lineRule="auto" w:line="288" w:before="1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Tax Credit and Certain Equity Investments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invests in certain LIHTC partnerships throughout its market area as a means of supporting local communities, as well as in entities that promote renewable energy sources. United receives tax credits related to these investments. For certain of the investments, United provides financing during the construction and development phase of the related projects and/or permanent financing upon completion of the project. United has concluded that these partnerships are VIEs of which it is not the primary beneficiary because it does not have the power to direct the activities that most significantly impact the VIEs' financial performance and, therefore, is not required to consolidate these VIEs. United's maximum potential exposure to losses relative to investments in these VIEs is generally limited to the sum of the outstanding investment balance, any future funding commitments and the balance of any related loans to the entity. Loans to these entities are underwritten in substantially the same manner as other loans and are generally secured.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United also has investments in and future funding commitments related to fintech fund limited partnerships, other community development entities and certain other equity method investments. United has concluded that these partnerships are VIEs of which it is not the primary beneficiary because it does not have the power to direct the activities that most significantly impact the VIEs' financial performance and, therefore, is not required to consolidate these VIEs. The risk exposure relating to such commitments is generally limited to the amount invested by United and any future funding commitments.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as of the dates indicated, tax credit and certain equity method investments:</w:t>
      </w:r>
    </w:p>
    <w:tbl>
      <w:tblPr>
        <w:tblW w:w="10205" w:type="dxa"/>
        <w:jc w:val="left"/>
        <w:tblInd w:w="0" w:type="dxa"/>
        <w:tblLayout w:type="fixed"/>
        <w:tblCellMar>
          <w:top w:w="28" w:type="dxa"/>
          <w:left w:w="28" w:type="dxa"/>
          <w:bottom w:w="28" w:type="dxa"/>
          <w:right w:w="28" w:type="dxa"/>
        </w:tblCellMar>
      </w:tblPr>
      <w:tblGrid>
        <w:gridCol w:w="1641"/>
        <w:gridCol w:w="1411"/>
        <w:gridCol w:w="1420"/>
        <w:gridCol w:w="801"/>
        <w:gridCol w:w="784"/>
        <w:gridCol w:w="787"/>
        <w:gridCol w:w="109"/>
        <w:gridCol w:w="109"/>
        <w:gridCol w:w="109"/>
        <w:gridCol w:w="253"/>
        <w:gridCol w:w="833"/>
        <w:gridCol w:w="139"/>
        <w:gridCol w:w="109"/>
        <w:gridCol w:w="109"/>
        <w:gridCol w:w="109"/>
        <w:gridCol w:w="291"/>
        <w:gridCol w:w="959"/>
        <w:gridCol w:w="232"/>
      </w:tblGrid>
      <w:tr>
        <w:trPr/>
        <w:tc>
          <w:tcPr>
            <w:tcW w:w="164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LIHTC:</w:t>
            </w:r>
          </w:p>
        </w:tc>
        <w:tc>
          <w:tcPr>
            <w:tcW w:w="2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future funding commitments included in carrying amount</w:t>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Lending exposure</w:t>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Loans and leases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energy investments:</w:t>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18,631 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of future funding commitments </w:t>
            </w:r>
            <w:r>
              <w:rPr>
                <w:rFonts w:ascii="Times New Roman;sans-serif" w:hAnsi="Times New Roman;sans-serif"/>
                <w:b w:val="false"/>
                <w:color w:val="000000"/>
                <w:sz w:val="12"/>
              </w:rPr>
              <w:t>(1)</w:t>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Fintech funds and certain other equity method investments:</w:t>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amount</w:t>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future funding commitments not included in carrying amount</w:t>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Starting in 2024, United no longer records future funding commitments related to its renewable energy investments on the balance sheet. Prior to 2024, these commitments were included in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COMMUNITY BANKS,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tax credits and amortization expense associated with the United’s tax credit investment activity. Activity related to renewable energy investments was not material to the financials for the period presented.</w:t>
      </w:r>
    </w:p>
    <w:p>
      <w:pPr>
        <w:pStyle w:val="TextBody"/>
        <w:bidi w:val="0"/>
        <w:spacing w:before="0" w:after="0"/>
        <w:jc w:val="both"/>
        <w:rPr/>
      </w:pPr>
      <w:r>
        <w:rPr/>
      </w:r>
    </w:p>
    <w:tbl>
      <w:tblPr>
        <w:tblW w:w="8416" w:type="dxa"/>
        <w:jc w:val="left"/>
        <w:tblInd w:w="0" w:type="dxa"/>
        <w:tblLayout w:type="fixed"/>
        <w:tblCellMar>
          <w:top w:w="28" w:type="dxa"/>
          <w:left w:w="28" w:type="dxa"/>
          <w:bottom w:w="28" w:type="dxa"/>
          <w:right w:w="28" w:type="dxa"/>
        </w:tblCellMar>
      </w:tblPr>
      <w:tblGrid>
        <w:gridCol w:w="1277"/>
        <w:gridCol w:w="1120"/>
        <w:gridCol w:w="1128"/>
        <w:gridCol w:w="739"/>
        <w:gridCol w:w="739"/>
        <w:gridCol w:w="742"/>
        <w:gridCol w:w="109"/>
        <w:gridCol w:w="109"/>
        <w:gridCol w:w="109"/>
        <w:gridCol w:w="109"/>
        <w:gridCol w:w="109"/>
        <w:gridCol w:w="109"/>
        <w:gridCol w:w="367"/>
        <w:gridCol w:w="1183"/>
        <w:gridCol w:w="204"/>
        <w:gridCol w:w="109"/>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Income Statement 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Investments in LIHTC:</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credits and other income tax benefits</w:t>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our financial condition at March 31, 2024 and December 31, 2023 and our results of operations for the three months ended March 31, 2024 and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2023 10-K and the other reports we have filed with the SEC after we filed the 2023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“we,” “our,” “us” refer to United on a consolidated basis.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a wide array of commercial and consumer banking services and investment advisory services through a 205 branch network throughout Georgia, South Carolina, North Carolina, Tennessee, Florida and Alabama. We have grown organically as well as through strategic acquisitions. At March 31, 2024, we had consolidated total assets of $27.4 billion and 3,071 full-time equivalent employees.</w:t>
      </w:r>
    </w:p>
    <w:p>
      <w:pPr>
        <w:pStyle w:val="TextBody"/>
        <w:bidi w:val="0"/>
        <w:spacing w:before="0" w:after="0"/>
        <w:jc w:val="both"/>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Results of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reported net income and diluted earnings per common share of $62.6 million and $0.51, respectively, for the first quarter of 2024. This compared to net income and diluted earnings per common share of $62.3 million and $0.52, respectively, for the same period in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revenue decreased to $199 million for the first quarter of 2024, compared to $211 million for the first quarter of 2023. The decrease was mostly driven by an increase in deposit interest expense that exceeded the increase in interest revenue from interest-earning assets. The combination of strong interest-bearing deposit growth, both organic and from the acquisition of First Miami, and higher rates paid on deposits contributed to an increase in deposit interest expense of $75.9 million. Interest revenue on interest-earning assets increased $57.2 million due to loan growth, including loans acquired from First Miami, and higher average interest rates earned on our loan and securities portfolios. In addition, decreased utilization of more costly wholesale borrowings also partially offset the increase in deposit interest expense. The net interest margin decreased to 3.20% for the three months ended March 31, 2024 from 3.61% for the same period in 2023 primarily due to the steeper increase in interest rates paid on deposits compared to the increase in interest rates earned on loans and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provision for credit losses of $12.9 million and $21.8 million for the first quarters of 2024 and 2023, respectively. Provision expense for the first quarter of 2023 included initial provisions for credit losses on non-PCD loans and unfunded commitments acquired from Progress of $10.4 million. We recognized higher net charge-offs for the first quarter of 2024 of $12.9 million compared to $7.08 million for the same period in 2023, which contributed to the increase in non-acquisition-related provision for credit losses for the first quarter of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Noninterest income of $39.6 million for the first quarter of 2024 was up $9.38 million, or 31%, from the first quarter of 2023, primarily driven by a $2.99 million increase in mortgage loan gains and related fees, a lease termination gain of $2.40 million recorded in other noninterest income, and death benefits on BOLI policies recognized during the period. The increase in mortgage gains and related fees was primarily due to a $1.50 million positive fair value adjustment on our mortgage servicing asset and higher gains on sales of mortgage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first quarter of 2024, noninterest expenses of $145 million increased by $5.20 million compared to the same period of 2023. The increase was largely driven by a $6.29 million increase in salaries and employee benefits and an increase in FDIC assessment and other regulatory charges of $3.57 million. Salaries and benefits increased due to several factors, including the addition of First Miami employees, lower deferred origination costs and higher deferred compensation plan expense. During the first quarter of 2024, we recognized an additional $2.50 million in FDIC assessment expense to increase our accrual for our estimated share of the FDIC special assessment. These increases were partially offset by a $6.54 million decrease in merger-related and other charges due to lack of acquisition activity in the first quarter of 2024 compared to the first quarter of 2023 including the completion of the Progress acquisition.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first quarter of 2024 are discussed in further detail throughout the following sections of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2023 10-K.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Reconciliation and Explanation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tbl>
      <w:tblPr>
        <w:tblW w:w="10730" w:type="dxa"/>
        <w:jc w:val="left"/>
        <w:tblInd w:w="0" w:type="dxa"/>
        <w:tblLayout w:type="fixed"/>
        <w:tblCellMar>
          <w:top w:w="28" w:type="dxa"/>
          <w:left w:w="28" w:type="dxa"/>
          <w:bottom w:w="28" w:type="dxa"/>
          <w:right w:w="28" w:type="dxa"/>
        </w:tblCellMar>
      </w:tblPr>
      <w:tblGrid>
        <w:gridCol w:w="851"/>
        <w:gridCol w:w="287"/>
        <w:gridCol w:w="288"/>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239"/>
        <w:gridCol w:w="167"/>
        <w:gridCol w:w="372"/>
        <w:gridCol w:w="109"/>
        <w:gridCol w:w="109"/>
        <w:gridCol w:w="109"/>
        <w:gridCol w:w="109"/>
        <w:gridCol w:w="109"/>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COMMUNITY BANKS,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1 - Financial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First Quarter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2024 - 2023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INCOME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336,728 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338,698 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279,487 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199,149 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203,453 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200,286 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211,470 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165,737 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204,265 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213,920 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219,896 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144,474 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80,091 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Non-operating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of non-operating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 xml:space="preserve">Net income - operating </w:t>
            </w:r>
            <w:r>
              <w:rPr>
                <w:rFonts w:ascii="Times New Roman;sans-serif" w:hAnsi="Times New Roman;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64,325</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64,826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55,034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66,113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68,976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net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Diluted net income - operating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Tangible book value </w:t>
            </w: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Key performance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Return on common equity - GAAP </w:t>
            </w:r>
            <w:r>
              <w:rPr>
                <w:rFonts w:ascii="Times New Roman;sans-serif" w:hAnsi="Times New Roman;sans-serif"/>
                <w:b w:val="false"/>
                <w:color w:val="000000"/>
                <w:sz w:val="1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Return on common equity - operating </w:t>
            </w:r>
            <w:r>
              <w:rPr>
                <w:rFonts w:ascii="Times New Roman;sans-serif" w:hAnsi="Times New Roman;sans-serif"/>
                <w:b w:val="false"/>
                <w:color w:val="000000"/>
                <w:sz w:val="1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Return on tangible common equity - operating</w:t>
            </w:r>
            <w:r>
              <w:rPr>
                <w:color w:val="000000"/>
              </w:rPr>
              <w:t xml:space="preserve"> </w:t>
            </w:r>
            <w:r>
              <w:rPr>
                <w:rFonts w:ascii="Times New Roman;sans-serif" w:hAnsi="Times New Roman;sans-serif"/>
                <w:b w:val="false"/>
                <w:color w:val="000000"/>
                <w:sz w:val="10"/>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Return on assets - GAAP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Return on assets - operating </w:t>
            </w:r>
            <w:r>
              <w:rPr>
                <w:rFonts w:ascii="Times New Roman;sans-serif" w:hAnsi="Times New Roman;sans-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Net interest margin (FTE) </w:t>
            </w:r>
            <w:r>
              <w:rPr>
                <w:rFonts w:ascii="Times New Roman;sans-serif" w:hAnsi="Times New Roman;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Efficiency ratio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Efficiency ratio - operating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Tangible common equity to tangible assets </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QUALITY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NPAs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ACL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208,071 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176,534 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ACL - loans 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Net charge-offs to average loans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NPAs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AT PERIOD END</w:t>
            </w:r>
            <w:r>
              <w:rPr>
                <w:color w:val="000000"/>
              </w:rPr>
              <w:t xml:space="preserve"> </w:t>
            </w:r>
            <w:r>
              <w:rPr>
                <w:rFonts w:ascii="Times New Roman;sans-serif" w:hAnsi="Times New Roman;sans-serif"/>
                <w:b w:val="false"/>
                <w:i/>
                <w:color w:val="000000"/>
                <w:sz w:val="16"/>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outstanding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9"/>
        </w:rPr>
        <w:t>(1 )</w:t>
      </w:r>
      <w:r>
        <w:rPr>
          <w:rFonts w:ascii="Times New Roman;sans-serif" w:hAnsi="Times New Roman;sans-serif"/>
          <w:b w:val="false"/>
          <w:color w:val="000000"/>
          <w:sz w:val="14"/>
        </w:rPr>
        <w:t>E</w:t>
      </w:r>
      <w:r>
        <w:rPr>
          <w:rFonts w:ascii="Times New Roman;sans-serif" w:hAnsi="Times New Roman;sans-serif"/>
          <w:b w:val="false"/>
          <w:color w:val="000000"/>
          <w:sz w:val="16"/>
        </w:rPr>
        <w:t>xcludes non-operating items as detailed on Non-GAAP Performance Measures Reconciliation on next page</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Net income less preferred stock dividends, divided by average realized common equity, which excludes AOCI. </w:t>
      </w: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 xml:space="preserve">Excludes effect of acquisition related intangibles and associated amortization. </w:t>
      </w: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Annualized.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790"/>
        <w:gridCol w:w="790"/>
        <w:gridCol w:w="792"/>
        <w:gridCol w:w="109"/>
        <w:gridCol w:w="109"/>
        <w:gridCol w:w="109"/>
        <w:gridCol w:w="196"/>
        <w:gridCol w:w="648"/>
        <w:gridCol w:w="241"/>
        <w:gridCol w:w="109"/>
        <w:gridCol w:w="109"/>
        <w:gridCol w:w="109"/>
        <w:gridCol w:w="208"/>
        <w:gridCol w:w="687"/>
        <w:gridCol w:w="256"/>
        <w:gridCol w:w="109"/>
        <w:gridCol w:w="109"/>
        <w:gridCol w:w="109"/>
        <w:gridCol w:w="201"/>
        <w:gridCol w:w="662"/>
        <w:gridCol w:w="247"/>
        <w:gridCol w:w="109"/>
        <w:gridCol w:w="109"/>
        <w:gridCol w:w="109"/>
        <w:gridCol w:w="208"/>
        <w:gridCol w:w="687"/>
        <w:gridCol w:w="256"/>
        <w:gridCol w:w="109"/>
        <w:gridCol w:w="109"/>
        <w:gridCol w:w="109"/>
        <w:gridCol w:w="196"/>
        <w:gridCol w:w="648"/>
        <w:gridCol w:w="241"/>
        <w:gridCol w:w="109"/>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UNITED COMMUNITY BANKS,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589"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1 (Continued) - Financial Highlights</w:t>
            </w:r>
          </w:p>
        </w:tc>
        <w:tc>
          <w:tcPr>
            <w:tcW w:w="492" w:type="dxa"/>
            <w:gridSpan w:val="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Non-GAAP Performance Measures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First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income to operating income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47,866 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portfolio restructuring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of non-operating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64,325 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55,034 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66,113 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Diluted income per common share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income per common share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portfolio restructuring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special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income per common share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Book value per common share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Book value per common share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book value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Return on tangible common equity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common equity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portfolio restructuring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common equity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tangible common equity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Return on assets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assets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0.68 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Bond portfolio restructuring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Return on assets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0.79 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Efficiency ratio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Efficiency ratio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61.32 </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lease termination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FDIC special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Efficiency ratio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Tangible common equity to tangible assets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 total assets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Tangible common equity to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Interest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banking industry generally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shareholders’ equity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shareholders’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provides additional details on the daily average balances and net interest revenue for the periods presented. The tables that follow indicate the relationship between interest revenue and expense and the daily average amounts of assets and liabilities, which provides further insight into net interest spread and net interest margin for the periods indicated.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revenue for the first quarters of 2024 and 2023 was $199 million and $211 million, respectively. FTE net interest revenue for the first quarter of 2024 was $200 million, representing a decrease of $12.4 million, or 6%, from the same period in 2023. The net interest spreads for the first quarters of 2024 and 2023 were 2.16% and 2.87%, respectively. The net interest margins for the first quarters of 2024 and 2023 were 3.20% and 3.61%,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FTE net interest revenue was primarily driven by average interest-bearing deposits, due to a combination of growth in our deposit base and an increase in the average rate paid on those deposits. The average daily balance of interest-bearing deposits increased $3.09 billion compared to the first quarter of 2023 and the average rate paid on those deposits increased 150 basis points, resulting in a $75.9 million increase in deposit interest expense. The growth in interest-bearing deposits is partially attributable to the addition of deposits acquired in the First Miami transaction, in addition to organic growth. We have continued to attract and retain deposits by remaining competitive with our interest rate offerings, which has increased our average rate paid on deposits. The growth in our deposit base has allowed us to reduce our utilization of more costly short-term borrowings and FHLB advances, as the average balances of these combined decreased $561 million compared to the first quarter of 2023 resulting in a reduction in interest expense on these types of borrowings of $6.26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loan interest revenue of $47.4 million partially offsets the increase in interest expense paid on deposits. Growth in our average loans of $1.40 billion and an increase in the yield on the loan portfolio of 56 basis points drove the increase in loan interest revenue. Approximately $594 million of the increase in average loans was provided by the addition of the First Miami loan portfolio, while the remaining represented organic growth. The yield on the loan portfolio increased to 6.24% due to rising interest rates and $1.16 million in earnings from recent fair value hedges of loans, which were entered into during the fourth quarter of 2023 and the first quarter of 2024. Loan interest revenue for the first quarters of 2024 and 2023 included $4.65 million and $4.76 million, respectively, of discount accretion on loans received through business combinations. Additionally, despite a decrease in the average balance of securities, FTE interest revenue on securities increased $6.32 million compared to the same period of last year, driven by an increase in the average interest rate earned on securities of 41 basis points. The increase in yield is mostly attributable to rising interest rates, the bond portfolio restructuring we completed in the fourth quarter of 2023 and the earnings from the fair value hedges of certain AFS securities of $2.52 million, which we entered into during the second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net interest margin and net interest spread for the first quarter of 2024 compared to the first quarter of 2023 was driven by a steeper increase in average rates paid on deposits compared to the increase in rates earned on loans and securities. In addition, strong interest-bearing deposit growth contributed to the increase in interest expense, decreasing our net interest revenue and contributing to net interest margin compression.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tbl>
      <w:tblPr>
        <w:tblW w:w="6284" w:type="dxa"/>
        <w:jc w:val="left"/>
        <w:tblInd w:w="0" w:type="dxa"/>
        <w:tblLayout w:type="fixed"/>
        <w:tblCellMar>
          <w:top w:w="28" w:type="dxa"/>
          <w:left w:w="28" w:type="dxa"/>
          <w:bottom w:w="28" w:type="dxa"/>
          <w:right w:w="28" w:type="dxa"/>
        </w:tblCellMar>
      </w:tblPr>
      <w:tblGrid>
        <w:gridCol w:w="2009"/>
        <w:gridCol w:w="1768"/>
        <w:gridCol w:w="2507"/>
      </w:tblGrid>
      <w:tr>
        <w:trPr/>
        <w:tc>
          <w:tcPr>
            <w:tcW w:w="20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Table 2 - Average Consolidated Balance Sheets and Net Interest Analysis</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w:t>
            </w:r>
          </w:p>
        </w:tc>
      </w:tr>
      <w:tr>
        <w:trPr/>
        <w:tc>
          <w:tcPr>
            <w:tcW w:w="6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(dollars in thousands, (FTE))</w:t>
            </w:r>
          </w:p>
        </w:tc>
      </w:tr>
    </w:tbl>
    <w:tbl>
      <w:tblPr>
        <w:tblW w:w="10205" w:type="dxa"/>
        <w:jc w:val="left"/>
        <w:tblInd w:w="0" w:type="dxa"/>
        <w:tblLayout w:type="fixed"/>
        <w:tblCellMar>
          <w:top w:w="28" w:type="dxa"/>
          <w:left w:w="28" w:type="dxa"/>
          <w:bottom w:w="28" w:type="dxa"/>
          <w:right w:w="28" w:type="dxa"/>
        </w:tblCellMar>
      </w:tblPr>
      <w:tblGrid>
        <w:gridCol w:w="809"/>
        <w:gridCol w:w="475"/>
        <w:gridCol w:w="480"/>
        <w:gridCol w:w="109"/>
        <w:gridCol w:w="109"/>
        <w:gridCol w:w="109"/>
        <w:gridCol w:w="197"/>
        <w:gridCol w:w="970"/>
        <w:gridCol w:w="109"/>
        <w:gridCol w:w="109"/>
        <w:gridCol w:w="109"/>
        <w:gridCol w:w="109"/>
        <w:gridCol w:w="196"/>
        <w:gridCol w:w="736"/>
        <w:gridCol w:w="109"/>
        <w:gridCol w:w="109"/>
        <w:gridCol w:w="109"/>
        <w:gridCol w:w="109"/>
        <w:gridCol w:w="261"/>
        <w:gridCol w:w="210"/>
        <w:gridCol w:w="421"/>
        <w:gridCol w:w="109"/>
        <w:gridCol w:w="109"/>
        <w:gridCol w:w="109"/>
        <w:gridCol w:w="197"/>
        <w:gridCol w:w="970"/>
        <w:gridCol w:w="109"/>
        <w:gridCol w:w="109"/>
        <w:gridCol w:w="109"/>
        <w:gridCol w:w="109"/>
        <w:gridCol w:w="196"/>
        <w:gridCol w:w="736"/>
        <w:gridCol w:w="109"/>
        <w:gridCol w:w="109"/>
        <w:gridCol w:w="109"/>
        <w:gridCol w:w="109"/>
        <w:gridCol w:w="249"/>
        <w:gridCol w:w="220"/>
        <w:gridCol w:w="484"/>
      </w:tblGrid>
      <w:tr>
        <w:trPr/>
        <w:tc>
          <w:tcPr>
            <w:tcW w:w="8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Rate</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Loans, net of unearned income (FTE) </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18,299,739 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16,897,372 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Taxable securities</w:t>
            </w:r>
            <w:r>
              <w:rPr>
                <w:color w:val="000000"/>
              </w:rPr>
              <w:t xml:space="preserve">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Tax-exempt securities (FTE) </w:t>
            </w:r>
            <w:r>
              <w:rPr>
                <w:rFonts w:ascii="Times New Roman;sans-serif" w:hAnsi="Times New Roman;sans-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funds sold and other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interest-earning assets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23,851,603 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due from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assets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and 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6,078,090 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5,864,217 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Brokered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funds purchased and 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14,582,620 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23,895,349 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22,637,831 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3,286,268 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25,769,300 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revenue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interest-rate spread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Net interest margin (FTE) </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4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4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Interest revenue on tax-exempt securities and loans has been increased to reflect comparable interest on taxable securities and loans. The rate used was 26%, reflecting the statutory federal income tax rate and the federal tax adjusted state income tax rate.</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Included in the average balance of loans outstanding are loans on which the accrual of interest has been discontinued and loans that are held for sale.</w:t>
      </w:r>
    </w:p>
    <w:p>
      <w:pPr>
        <w:pStyle w:val="TextBody"/>
        <w:bidi w:val="0"/>
        <w:spacing w:lineRule="auto" w:line="288" w:before="0" w:after="0"/>
        <w:ind w:left="0" w:right="0" w:hanging="360"/>
        <w:jc w:val="left"/>
        <w:rPr/>
      </w:pPr>
      <w:r>
        <w:rPr>
          <w:rFonts w:ascii="Calibri;sans-serif" w:hAnsi="Calibri;sans-serif"/>
          <w:b w:val="false"/>
          <w:color w:val="000000"/>
          <w:sz w:val="10"/>
        </w:rPr>
        <w:t>(3)</w:t>
      </w:r>
      <w:r>
        <w:rPr>
          <w:rFonts w:ascii="Times New Roman;sans-serif" w:hAnsi="Times New Roman;sans-serif"/>
          <w:b w:val="false"/>
          <w:color w:val="000000"/>
          <w:sz w:val="16"/>
        </w:rPr>
        <w:t>Unrealized losses on securities, including those related to the transfer from AFS to HTM, have been reclassified to other assets. Pretax unrealized losses of $322 million in 2024 and $419 million in 2023 are included in other assets for purposes of this presentation.</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(4)</w:t>
      </w:r>
      <w:r>
        <w:rPr>
          <w:rFonts w:ascii="Times New Roman;sans-serif" w:hAnsi="Times New Roman;sans-serif"/>
          <w:b w:val="false"/>
          <w:color w:val="000000"/>
          <w:sz w:val="16"/>
        </w:rPr>
        <w:t>Net interest margin is taxable equivalent net interest revenue divided by average interest-earning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pStyle w:val="TextBody"/>
        <w:bidi w:val="0"/>
        <w:spacing w:lineRule="auto" w:line="288" w:before="0" w:after="0"/>
        <w:jc w:val="both"/>
        <w:rPr>
          <w:color w:val="000000"/>
        </w:rPr>
      </w:pPr>
      <w:r>
        <w:rPr>
          <w:color w:val="000000"/>
        </w:rPr>
        <w:t> </w:t>
      </w:r>
    </w:p>
    <w:tbl>
      <w:tblPr>
        <w:tblW w:w="7004" w:type="dxa"/>
        <w:jc w:val="left"/>
        <w:tblInd w:w="0" w:type="dxa"/>
        <w:tblLayout w:type="fixed"/>
        <w:tblCellMar>
          <w:top w:w="28" w:type="dxa"/>
          <w:left w:w="28" w:type="dxa"/>
          <w:bottom w:w="28" w:type="dxa"/>
          <w:right w:w="28" w:type="dxa"/>
        </w:tblCellMar>
      </w:tblPr>
      <w:tblGrid>
        <w:gridCol w:w="2243"/>
        <w:gridCol w:w="1968"/>
        <w:gridCol w:w="2793"/>
      </w:tblGrid>
      <w:tr>
        <w:trPr/>
        <w:tc>
          <w:tcPr>
            <w:tcW w:w="224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3 - Change in Interest Revenue and Expense on a Taxable Equivalent Basis</w:t>
            </w:r>
          </w:p>
        </w:tc>
      </w:tr>
      <w:tr>
        <w:trPr/>
        <w:tc>
          <w:tcPr>
            <w:tcW w:w="7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10205" w:type="dxa"/>
        <w:jc w:val="left"/>
        <w:tblInd w:w="0" w:type="dxa"/>
        <w:tblLayout w:type="fixed"/>
        <w:tblCellMar>
          <w:top w:w="28" w:type="dxa"/>
          <w:left w:w="28" w:type="dxa"/>
          <w:bottom w:w="28" w:type="dxa"/>
          <w:right w:w="28" w:type="dxa"/>
        </w:tblCellMar>
      </w:tblPr>
      <w:tblGrid>
        <w:gridCol w:w="124"/>
        <w:gridCol w:w="109"/>
        <w:gridCol w:w="1213"/>
        <w:gridCol w:w="1213"/>
        <w:gridCol w:w="1216"/>
        <w:gridCol w:w="109"/>
        <w:gridCol w:w="109"/>
        <w:gridCol w:w="109"/>
        <w:gridCol w:w="109"/>
        <w:gridCol w:w="109"/>
        <w:gridCol w:w="198"/>
        <w:gridCol w:w="198"/>
        <w:gridCol w:w="198"/>
        <w:gridCol w:w="198"/>
        <w:gridCol w:w="198"/>
        <w:gridCol w:w="198"/>
        <w:gridCol w:w="357"/>
        <w:gridCol w:w="1179"/>
        <w:gridCol w:w="198"/>
        <w:gridCol w:w="109"/>
        <w:gridCol w:w="109"/>
        <w:gridCol w:w="109"/>
        <w:gridCol w:w="196"/>
        <w:gridCol w:w="718"/>
        <w:gridCol w:w="109"/>
        <w:gridCol w:w="109"/>
        <w:gridCol w:w="109"/>
        <w:gridCol w:w="109"/>
        <w:gridCol w:w="196"/>
        <w:gridCol w:w="718"/>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6"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028"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Compared to 2023 Increase (Decrease) Due to Changes in</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Loans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Tax-exempt securities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Federal funds sold and 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interest-earning assets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NOW and interest-bearing demand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Money market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Savings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Brokered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Federal funds purchased &amp; 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FHLB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borrowed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(6,258)</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net interest revenue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8,412 </w:t>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(12,363)</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 for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 The provision for credit losses recorded in each period was the amount determined by management such that the total ACL reflected the appropriate balance of expected life of loan losses.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provision for credit losses of $12.9 million for the three months ended March 31, 2024, compared to $21.8 million for the same period of 2023. The provision recorded for the first quarter of 2023 included the initial provision for credit losses on Progress non-PCD loans and unfunded commitments of $10.4 million. Excluding the provision for credit losses for the initial non-PCD ACL for Progress recorded in the first quarter of 2023, provision expense for the first quarter of 2024 increased $1.56 million compared to the same period of 2023. The increase was driven by an increase in net charge-offs of $5.82 million, partially offset by slower loan growth and a decline in unfunded commitments during the quarter. See Table 11 in MD&amp;A for further detail on net charge-offs.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discussion on credit quality and the ACL is included in the “Asset Quality and Risk Elements” section of MD&amp;A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noninterest income for the periods indicated.</w:t>
      </w:r>
    </w:p>
    <w:tbl>
      <w:tblPr>
        <w:tblW w:w="2610" w:type="dxa"/>
        <w:jc w:val="left"/>
        <w:tblInd w:w="0" w:type="dxa"/>
        <w:tblLayout w:type="fixed"/>
        <w:tblCellMar>
          <w:top w:w="28" w:type="dxa"/>
          <w:left w:w="28" w:type="dxa"/>
          <w:bottom w:w="28" w:type="dxa"/>
          <w:right w:w="28" w:type="dxa"/>
        </w:tblCellMar>
      </w:tblPr>
      <w:tblGrid>
        <w:gridCol w:w="836"/>
        <w:gridCol w:w="733"/>
        <w:gridCol w:w="1041"/>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Table 4 - Noninterest Income</w:t>
            </w:r>
          </w:p>
        </w:tc>
      </w:tr>
      <w:tr>
        <w:trPr/>
        <w:tc>
          <w:tcPr>
            <w:tcW w:w="2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869"/>
        <w:gridCol w:w="840"/>
        <w:gridCol w:w="843"/>
        <w:gridCol w:w="109"/>
        <w:gridCol w:w="109"/>
        <w:gridCol w:w="109"/>
        <w:gridCol w:w="109"/>
        <w:gridCol w:w="554"/>
        <w:gridCol w:w="554"/>
        <w:gridCol w:w="555"/>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8"/>
        <w:gridCol w:w="201"/>
        <w:gridCol w:w="366"/>
        <w:gridCol w:w="109"/>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577" w:type="dxa"/>
            <w:gridSpan w:val="10"/>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Overdraft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ATM and debit card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service charges and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 gains and related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Wealth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sales of other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Lending and loan servicing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derivative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BOLI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management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loan gains and related fees consist primarily of fees earned on mortgage originations, gains on the sale of mortgages in the secondary market, mortgage derivative hedging gains and losses and fair value adjustments to our mortgage servicing asset. The change in mortgage income is strongly tied to the interest rate environment and industry conditions. We recognize the majority of fees on mortgages when customers enter into mortgage rate lock commitments, making our mortgage rate lock volume a significant driver of mortgage gains in any given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mortgage loan gains and related fees was primarily a result of higher gains on mortgage sales and positive fair value adjustments to our mortgage servicing asset. The increase in gains on sales was a result of our decision to sell more of our mortgage loan production compared to the same period of 2023, designating approximately 67% of mortgage production held for sale compared to 41% during the first quarter of 2023. In addition, during the first quarter of 2024, we recorded a $1.50 million positive fair value adjustment to the mortgage servicing rights asset, compared to an $1.10 million negative fair value adjustment during the first quarter of 2023. These increases were partially offset by a decrease in mortgage rate lock volume as shown in the table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tbl>
      <w:tblPr>
        <w:tblW w:w="6645" w:type="dxa"/>
        <w:jc w:val="left"/>
        <w:tblInd w:w="0" w:type="dxa"/>
        <w:tblLayout w:type="fixed"/>
        <w:tblCellMar>
          <w:top w:w="28" w:type="dxa"/>
          <w:left w:w="28" w:type="dxa"/>
          <w:bottom w:w="28" w:type="dxa"/>
          <w:right w:w="28" w:type="dxa"/>
        </w:tblCellMar>
      </w:tblPr>
      <w:tblGrid>
        <w:gridCol w:w="124"/>
        <w:gridCol w:w="109"/>
        <w:gridCol w:w="109"/>
        <w:gridCol w:w="754"/>
        <w:gridCol w:w="754"/>
        <w:gridCol w:w="756"/>
        <w:gridCol w:w="196"/>
        <w:gridCol w:w="736"/>
        <w:gridCol w:w="109"/>
        <w:gridCol w:w="109"/>
        <w:gridCol w:w="109"/>
        <w:gridCol w:w="109"/>
        <w:gridCol w:w="196"/>
        <w:gridCol w:w="736"/>
        <w:gridCol w:w="109"/>
        <w:gridCol w:w="109"/>
        <w:gridCol w:w="109"/>
        <w:gridCol w:w="109"/>
        <w:gridCol w:w="214"/>
        <w:gridCol w:w="214"/>
        <w:gridCol w:w="50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5 - Mortgage Loan Metrics</w:t>
            </w:r>
          </w:p>
        </w:tc>
      </w:tr>
      <w:tr>
        <w:trPr/>
        <w:tc>
          <w:tcPr>
            <w:tcW w:w="664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rate locks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mortgage rate locks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 sold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mortgage loans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 originated: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Refinances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mortgage loans originated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wealth management fees is mostly attributable to the addition of First Miami’s assets under management. Our total assets under management and advisement as of March 31, 2024 totaled $5.39 billion.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SBA/USDA lending strategy includes selling a portion of the loan production each quarter. The amount of loans sold depends on several variables including the current lending environment, balance sheet management activities and market pricing. From time to time, we also sell certain equipment financing receivables. The following table presents loans sold and the corresponding gains recognized on the sales for the periods indicated.</w:t>
      </w:r>
    </w:p>
    <w:p>
      <w:pPr>
        <w:pStyle w:val="TextBody"/>
        <w:bidi w:val="0"/>
        <w:spacing w:before="0" w:after="0"/>
        <w:jc w:val="both"/>
        <w:rPr/>
      </w:pPr>
      <w:r>
        <w:rPr/>
      </w:r>
    </w:p>
    <w:tbl>
      <w:tblPr>
        <w:tblW w:w="8410" w:type="dxa"/>
        <w:jc w:val="left"/>
        <w:tblInd w:w="0" w:type="dxa"/>
        <w:tblLayout w:type="fixed"/>
        <w:tblCellMar>
          <w:top w:w="28" w:type="dxa"/>
          <w:left w:w="28" w:type="dxa"/>
          <w:bottom w:w="28" w:type="dxa"/>
          <w:right w:w="28" w:type="dxa"/>
        </w:tblCellMar>
      </w:tblPr>
      <w:tblGrid>
        <w:gridCol w:w="124"/>
        <w:gridCol w:w="109"/>
        <w:gridCol w:w="109"/>
        <w:gridCol w:w="1014"/>
        <w:gridCol w:w="1014"/>
        <w:gridCol w:w="1017"/>
        <w:gridCol w:w="201"/>
        <w:gridCol w:w="662"/>
        <w:gridCol w:w="111"/>
        <w:gridCol w:w="109"/>
        <w:gridCol w:w="109"/>
        <w:gridCol w:w="109"/>
        <w:gridCol w:w="196"/>
        <w:gridCol w:w="556"/>
        <w:gridCol w:w="109"/>
        <w:gridCol w:w="109"/>
        <w:gridCol w:w="109"/>
        <w:gridCol w:w="109"/>
        <w:gridCol w:w="201"/>
        <w:gridCol w:w="662"/>
        <w:gridCol w:w="111"/>
        <w:gridCol w:w="109"/>
        <w:gridCol w:w="109"/>
        <w:gridCol w:w="109"/>
        <w:gridCol w:w="196"/>
        <w:gridCol w:w="55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Table 6 - Other Loan Sales</w:t>
            </w:r>
          </w:p>
        </w:tc>
      </w:tr>
      <w:tr>
        <w:trPr/>
        <w:tc>
          <w:tcPr>
            <w:tcW w:w="8410"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Sold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Guaranteed portion of SBA/USDA loans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 receivables</w:t>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37,711 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other noninterest income include: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increase in BOLI income is primarily a result of death benefits realized during the first quarter of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 noninterest income increased mostly due to a lease termination gain of $2.40 million as result of our exiting one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Noninterest Expenses</w:t>
      </w:r>
      <w:r>
        <w:rPr>
          <w:color w:val="000000"/>
        </w:rPr>
        <w: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noninterest expenses for the periods indicated. </w:t>
      </w:r>
    </w:p>
    <w:tbl>
      <w:tblPr>
        <w:tblW w:w="2549" w:type="dxa"/>
        <w:jc w:val="left"/>
        <w:tblInd w:w="0" w:type="dxa"/>
        <w:tblLayout w:type="fixed"/>
        <w:tblCellMar>
          <w:top w:w="28" w:type="dxa"/>
          <w:left w:w="28" w:type="dxa"/>
          <w:bottom w:w="28" w:type="dxa"/>
          <w:right w:w="28" w:type="dxa"/>
        </w:tblCellMar>
      </w:tblPr>
      <w:tblGrid>
        <w:gridCol w:w="816"/>
        <w:gridCol w:w="716"/>
        <w:gridCol w:w="1017"/>
      </w:tblGrid>
      <w:tr>
        <w:trPr/>
        <w:tc>
          <w:tcPr>
            <w:tcW w:w="8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7 - Noninterest Expenses</w:t>
            </w:r>
          </w:p>
        </w:tc>
      </w:tr>
      <w:tr>
        <w:trPr/>
        <w:tc>
          <w:tcPr>
            <w:tcW w:w="25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41"/>
        <w:gridCol w:w="898"/>
        <w:gridCol w:w="892"/>
        <w:gridCol w:w="109"/>
        <w:gridCol w:w="109"/>
        <w:gridCol w:w="109"/>
        <w:gridCol w:w="109"/>
        <w:gridCol w:w="478"/>
        <w:gridCol w:w="478"/>
        <w:gridCol w:w="47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2"/>
        <w:gridCol w:w="194"/>
        <w:gridCol w:w="36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29"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 and public relations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Postage, printing and supplies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Lending and loan servicing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Outside services - electronic banking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FDIC assessments and other regulatory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Merger-related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salaries and employee benefits for the first quarter of 2024 compared to the same period of 2023 was driven by several factors, including the inclusion of First Miami employees, higher deferred compensation plan expense, an increase in bonus expense and lower deferred origination costs partly driven by lower mortgage production. In addition, merit increases, which included annual increases that went into effect for all employees on April 1, 2023 also contributed to the rise in salaries and employee benefits expense. These increases were offset by decreases in commissions and incentive pay. Full time equivalent headcount totaled 3,071 at March 31, 2024, up from 3,052 at March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Communications and equipment expense increased primarily driven by incremental software contract costs and the growth in our network with the addition of recent acquisitions.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half of the increase in occupancy costs for the first quarter of 2024 compared to the same period of 2023 was attributable to the additional branches acquired in the First Miami transaction. The remaining increase was attributable to higher repairs and maintenance costs and depreciation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2024, upon receipt of notification from the FDIC of an upward adjustment to the original special assessment, we recorded an additional $2.50 million in expense related to our estimate of the FDIC special assessment. The special assessment was implemented in the fourth quarter of 2023 as part of the FDIC’s efforts to recover losses resulting from the bank failures that occurred in early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Merger-related and other charges for the first quarter of 2024 primarily consisted of costs associated with our rebranding, branch closure costs, and expenses related to the First Miami acquisition. Merger-related and other charges for the first quarter of 2023 were primarily related to the acquisition of Progress.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Balance Sheet Review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at March 31, 2024 and December 31, 2023 were $27.4 billion and $27.3 billion, respectively. Total liabilities at March 31, 2024 and December 31, 2023 were $24.1 billion and $24.0 billion, respectively. Shareholders’ equity totaled $3.30 billion and $3.26 billion at March 31, 2024 and December 31,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loan portfolio is our largest category of interest-earning assets. The following table presents a summary of the loan portfolio by loan type as of March 31, 2024, of which approximately 76% was secured by real estate. During 2023, we ceased originating new manufactured housing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8 - Loan Portfolio Composition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p>
      <w:pPr>
        <w:pStyle w:val="TextBody"/>
        <w:bidi w:val="0"/>
        <w:spacing w:before="0" w:after="0"/>
        <w:jc w:val="center"/>
        <w:rPr/>
      </w:pPr>
      <w:r>
        <w:rPr/>
        <w:drawing>
          <wp:inline distT="0" distB="0" distL="0" distR="0">
            <wp:extent cx="5715000" cy="320040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2"/>
                    <a:stretch>
                      <a:fillRect/>
                    </a:stretch>
                  </pic:blipFill>
                  <pic:spPr bwMode="auto">
                    <a:xfrm>
                      <a:off x="0" y="0"/>
                      <a:ext cx="5715000" cy="3200400"/>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9 - CRE - Income Producing Portfolio Composition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p>
      <w:pPr>
        <w:pStyle w:val="TextBody"/>
        <w:bidi w:val="0"/>
        <w:spacing w:before="0" w:after="0"/>
        <w:jc w:val="left"/>
        <w:rPr/>
      </w:pPr>
      <w:r>
        <w:rPr/>
      </w:r>
    </w:p>
    <w:p>
      <w:pPr>
        <w:pStyle w:val="TextBody"/>
        <w:bidi w:val="0"/>
        <w:spacing w:before="0" w:after="0"/>
        <w:jc w:val="center"/>
        <w:rPr/>
      </w:pPr>
      <w:r>
        <w:rPr/>
        <w:drawing>
          <wp:inline distT="0" distB="0" distL="0" distR="0">
            <wp:extent cx="6858000" cy="3105150"/>
            <wp:effectExtent l="0" t="0" r="0" b="0"/>
            <wp:docPr id="4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 descr=""/>
                    <pic:cNvPicPr>
                      <a:picLocks noChangeAspect="1" noChangeArrowheads="1"/>
                    </pic:cNvPicPr>
                  </pic:nvPicPr>
                  <pic:blipFill>
                    <a:blip r:embed="rId3"/>
                    <a:stretch>
                      <a:fillRect/>
                    </a:stretch>
                  </pic:blipFill>
                  <pic:spPr bwMode="auto">
                    <a:xfrm>
                      <a:off x="0" y="0"/>
                      <a:ext cx="6858000" cy="3105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office income producing CRE portfolio totaled $757 million as of March 31, 2024. The average loan within this category was $1.30 million and the largest loan was $12.3 million. Senior care loans, which we no longer originate, totaled $335 million at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 Quality and Risk Elements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reviews of special mention and substandard performing and non-performing loans,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See the </w:t>
      </w:r>
      <w:r>
        <w:rPr>
          <w:rFonts w:ascii="Times New Roman;sans-serif" w:hAnsi="Times New Roman;sans-serif"/>
          <w:b w:val="false"/>
          <w:i/>
          <w:color w:val="000000"/>
          <w:sz w:val="20"/>
        </w:rPr>
        <w:t>Critical Accounting Estimates</w:t>
      </w:r>
      <w:r>
        <w:rPr>
          <w:color w:val="000000"/>
        </w:rPr>
        <w:t xml:space="preserve"> </w:t>
      </w:r>
      <w:r>
        <w:rPr>
          <w:rFonts w:ascii="Times New Roman;sans-serif" w:hAnsi="Times New Roman;sans-serif"/>
          <w:b w:val="false"/>
          <w:color w:val="000000"/>
          <w:sz w:val="20"/>
        </w:rPr>
        <w:t>section of MD&amp;A in our 2023 10-K for additional information on the ACL.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ACL for loans at March 31, 2024 was relatively unchanged compared to December 31, 2023 mostly driven by slower loan growth in the first quarter of 2024. Within the loan portfolio, however, there were increases in the ACL for equipment financing and manufactured housing loans, partially offset by a decrease in the ACL for owner occupied CRE loans. The increase in the ACL for manufactured housing resulted from an increase in the loss-given-default model assumption for this portfolio driven by recent history, while the increase in the ACL for equipment finance loan was driven mostly by loan growth. The decrease in the ACL for owner occupied CRE loans is attributable to a CECL model overlay applied to this portfolio to adjust the expected default rate based on expectations of future performance. Our ACL for unfunded commitments decreased mostly due to a decrease in our construction commitments.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10 - Allocation of ACL</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000"/>
        <w:gridCol w:w="740"/>
        <w:gridCol w:w="744"/>
        <w:gridCol w:w="196"/>
        <w:gridCol w:w="736"/>
        <w:gridCol w:w="256"/>
        <w:gridCol w:w="109"/>
        <w:gridCol w:w="109"/>
        <w:gridCol w:w="109"/>
        <w:gridCol w:w="718"/>
        <w:gridCol w:w="718"/>
        <w:gridCol w:w="721"/>
        <w:gridCol w:w="109"/>
        <w:gridCol w:w="109"/>
        <w:gridCol w:w="109"/>
        <w:gridCol w:w="196"/>
        <w:gridCol w:w="736"/>
        <w:gridCol w:w="256"/>
        <w:gridCol w:w="109"/>
        <w:gridCol w:w="109"/>
        <w:gridCol w:w="109"/>
        <w:gridCol w:w="644"/>
        <w:gridCol w:w="644"/>
        <w:gridCol w:w="919"/>
      </w:tblGrid>
      <w:tr>
        <w:trPr/>
        <w:tc>
          <w:tcPr>
            <w:tcW w:w="100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48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6533" w:type="dxa"/>
            <w:gridSpan w:val="18"/>
            <w:tcBorders/>
          </w:tcPr>
          <w:p>
            <w:pPr>
              <w:pStyle w:val="TableContents"/>
              <w:bidi w:val="0"/>
              <w:spacing w:before="0" w:after="283"/>
              <w:jc w:val="left"/>
              <w:rPr>
                <w:sz w:val="4"/>
                <w:szCs w:val="4"/>
              </w:rPr>
            </w:pPr>
            <w:r>
              <w:rPr>
                <w:sz w:val="4"/>
                <w:szCs w:val="4"/>
              </w:rPr>
            </w:r>
          </w:p>
        </w:tc>
      </w:tr>
      <w:tr>
        <w:trPr/>
        <w:tc>
          <w:tcPr>
            <w:tcW w:w="2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loans in each category to 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loans in each category to total loans</w:t>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ACL -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208,071 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unfunded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loans as a percentage of total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r>
      <w:tr>
        <w:trPr/>
        <w:tc>
          <w:tcPr>
            <w:tcW w:w="2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ACL - loans as a percentage of nonaccrual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net charge-offs to average loans for the periods indicated.</w:t>
      </w:r>
    </w:p>
    <w:tbl>
      <w:tblPr>
        <w:tblW w:w="3930" w:type="dxa"/>
        <w:jc w:val="left"/>
        <w:tblInd w:w="0" w:type="dxa"/>
        <w:tblLayout w:type="fixed"/>
        <w:tblCellMar>
          <w:top w:w="28" w:type="dxa"/>
          <w:left w:w="28" w:type="dxa"/>
          <w:bottom w:w="28" w:type="dxa"/>
          <w:right w:w="28" w:type="dxa"/>
        </w:tblCellMar>
      </w:tblPr>
      <w:tblGrid>
        <w:gridCol w:w="1258"/>
        <w:gridCol w:w="1105"/>
        <w:gridCol w:w="1567"/>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Table 11 - Net Charge-offs to Average Loans</w:t>
            </w:r>
          </w:p>
        </w:tc>
      </w:tr>
      <w:tr>
        <w:trPr/>
        <w:tc>
          <w:tcPr>
            <w:tcW w:w="3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914"/>
        <w:gridCol w:w="914"/>
        <w:gridCol w:w="917"/>
        <w:gridCol w:w="441"/>
        <w:gridCol w:w="372"/>
        <w:gridCol w:w="577"/>
        <w:gridCol w:w="245"/>
        <w:gridCol w:w="245"/>
        <w:gridCol w:w="109"/>
        <w:gridCol w:w="109"/>
        <w:gridCol w:w="109"/>
        <w:gridCol w:w="109"/>
        <w:gridCol w:w="109"/>
        <w:gridCol w:w="226"/>
        <w:gridCol w:w="314"/>
        <w:gridCol w:w="645"/>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775"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charge-offs (recoveries)</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6,362</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net charge-offs</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loans</w:t>
            </w:r>
          </w:p>
        </w:tc>
        <w:tc>
          <w:tcPr>
            <w:tcW w:w="1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3,278,673</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3,058,802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4,224,227</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3,577,883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2,401,573</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2,443,581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1,892,917</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1,771,940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1,539,483</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1,468,538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3,211,015</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2,660,345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961,520</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926,806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278,745</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486,686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1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331,442</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334,754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1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180,144</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168,037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average loans</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18,299,739</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16,897,372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Net charge-offs to average loans </w:t>
            </w:r>
            <w:r>
              <w:rPr>
                <w:rFonts w:ascii="Times New Roman;sans-serif" w:hAnsi="Times New Roman;sans-serif"/>
                <w:b/>
                <w:color w:val="000000"/>
                <w:sz w:val="12"/>
              </w:rPr>
              <w:t>(1)</w:t>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Owner occupied CRE</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producing CRE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construction</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financing</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0.93 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mortgage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equity</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construction</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Manufactured housing</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Annualized.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charge-offs for the first quarter of 2024 compared to the same period of 2023 was primarily driven by increases in charge-offs in the equipment finance, commercial and industrial and manufactured housing portfolios. During the first quarter of 2024, we continued to have elevated equipment finance charge-offs related to loans to borrowers in the long-haul trucking industry. The long-haul trucking equipment segment comprising a small portion of the portfolio is deemed not representative of the entire equipment financing portfolio. The increase in net commercial and industrial loans was primarily driven by a small population of larger charge-offs. Manufactured housing loans are higher risk and higher yielding loans, that are more sensitive to economic conditions such as inflation and rising interest rates, which contributed to the increase in charge-offs compared to the same period last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Nonperforming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NPAs for the periods indicated. NPAs include nonaccrual loans, OREO and repossessed assets. The increase in nonaccrual loans since December 31, 2023 was primarily driven by loans that moved to nonaccrual status during the quarter mostly in the commercial and industrial, equipment financing and manufactured housing loan portfolios. These additions contributed $8.17 million, $7.16 million and $6.82 million of the increase, respectively. These additions were partially offset by reductions in nonaccrual loans resulting from repayments, payoffs, and charge-offs as well as loans returning to accrual status.</w:t>
      </w:r>
    </w:p>
    <w:p>
      <w:pPr>
        <w:pStyle w:val="TextBody"/>
        <w:bidi w:val="0"/>
        <w:spacing w:before="0" w:after="0"/>
        <w:jc w:val="both"/>
        <w:rPr/>
      </w:pPr>
      <w:r>
        <w:rPr/>
      </w:r>
    </w:p>
    <w:tbl>
      <w:tblPr>
        <w:tblW w:w="1529" w:type="dxa"/>
        <w:jc w:val="left"/>
        <w:tblInd w:w="0" w:type="dxa"/>
        <w:tblLayout w:type="fixed"/>
        <w:tblCellMar>
          <w:top w:w="28" w:type="dxa"/>
          <w:left w:w="28" w:type="dxa"/>
          <w:bottom w:w="28" w:type="dxa"/>
          <w:right w:w="28" w:type="dxa"/>
        </w:tblCellMar>
      </w:tblPr>
      <w:tblGrid>
        <w:gridCol w:w="488"/>
        <w:gridCol w:w="430"/>
        <w:gridCol w:w="611"/>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Table 12 - NPAs</w:t>
            </w:r>
          </w:p>
        </w:tc>
      </w:tr>
      <w:tr>
        <w:trPr/>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6817" w:type="dxa"/>
        <w:jc w:val="left"/>
        <w:tblInd w:w="0" w:type="dxa"/>
        <w:tblLayout w:type="fixed"/>
        <w:tblCellMar>
          <w:top w:w="28" w:type="dxa"/>
          <w:left w:w="28" w:type="dxa"/>
          <w:bottom w:w="28" w:type="dxa"/>
          <w:right w:w="28" w:type="dxa"/>
        </w:tblCellMar>
      </w:tblPr>
      <w:tblGrid>
        <w:gridCol w:w="124"/>
        <w:gridCol w:w="109"/>
        <w:gridCol w:w="109"/>
        <w:gridCol w:w="1133"/>
        <w:gridCol w:w="1133"/>
        <w:gridCol w:w="1138"/>
        <w:gridCol w:w="196"/>
        <w:gridCol w:w="736"/>
        <w:gridCol w:w="256"/>
        <w:gridCol w:w="109"/>
        <w:gridCol w:w="109"/>
        <w:gridCol w:w="109"/>
        <w:gridCol w:w="211"/>
        <w:gridCol w:w="697"/>
        <w:gridCol w:w="2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Nonaccrual loans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91,687 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OREO and repossessed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NPAs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92,877 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Nonaccrual loans as a percentage of total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NPAs as a percentage of total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4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loan is placed on nonaccrual status when, in the opinion of management, the full principal and interest on a loan is not likely to be collected, or when the loan becomes 90 days past due. A loan may continue on accrual after 90 days with senior management approval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generally returned to accrual status when all the principal and interest amounts contractually due are brought current, there is a sustained period of repayment performance and future payments are reasonably assured.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of the dates presented. Effective duration represents the expected change in the price of a security when rates change by 100 basis points.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13 - Investment Securities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16"/>
        <w:gridCol w:w="812"/>
        <w:gridCol w:w="831"/>
        <w:gridCol w:w="196"/>
        <w:gridCol w:w="871"/>
        <w:gridCol w:w="256"/>
        <w:gridCol w:w="109"/>
        <w:gridCol w:w="109"/>
        <w:gridCol w:w="109"/>
        <w:gridCol w:w="244"/>
        <w:gridCol w:w="244"/>
        <w:gridCol w:w="574"/>
        <w:gridCol w:w="109"/>
        <w:gridCol w:w="109"/>
        <w:gridCol w:w="109"/>
        <w:gridCol w:w="196"/>
        <w:gridCol w:w="871"/>
        <w:gridCol w:w="256"/>
        <w:gridCol w:w="109"/>
        <w:gridCol w:w="109"/>
        <w:gridCol w:w="109"/>
        <w:gridCol w:w="244"/>
        <w:gridCol w:w="244"/>
        <w:gridCol w:w="574"/>
        <w:gridCol w:w="109"/>
        <w:gridCol w:w="109"/>
        <w:gridCol w:w="109"/>
        <w:gridCol w:w="196"/>
        <w:gridCol w:w="646"/>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of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of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AFS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3,393,399 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3,331,084 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HTM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2,465,133 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investment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5,858,532 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5,821,932 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 as a % of total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life</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Swap adjusted effective duration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Effective duration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 2023, we entered into fair value hedges on a portion of our AFS securities portfolio in order to mitigate the impact of any potential future unrealized losses on our tangible common equity. Gains and losses related to the hedge and hedged item are reflected in investment securities interest income. The changes in the fair value of the hedge and the hedged item substantially offset each other. See Note 7 to the financial statements for further detail.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14 - Investment Securities Portfolio Composition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before="0" w:after="0"/>
        <w:jc w:val="center"/>
        <w:rPr/>
      </w:pPr>
      <w:r>
        <w:rPr/>
        <w:drawing>
          <wp:inline distT="0" distB="0" distL="0" distR="0">
            <wp:extent cx="5715000" cy="3333750"/>
            <wp:effectExtent l="0" t="0" r="0" b="0"/>
            <wp:docPr id="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 descr=""/>
                    <pic:cNvPicPr>
                      <a:picLocks noChangeAspect="1" noChangeArrowheads="1"/>
                    </pic:cNvPicPr>
                  </pic:nvPicPr>
                  <pic:blipFill>
                    <a:blip r:embed="rId4"/>
                    <a:stretch>
                      <a:fillRect/>
                    </a:stretch>
                  </pic:blipFill>
                  <pic:spPr bwMode="auto">
                    <a:xfrm>
                      <a:off x="0" y="0"/>
                      <a:ext cx="5715000" cy="3333750"/>
                    </a:xfrm>
                    <a:prstGeom prst="rect">
                      <a:avLst/>
                    </a:prstGeom>
                  </pic:spPr>
                </pic:pic>
              </a:graphicData>
            </a:graphic>
          </wp:inline>
        </w:drawing>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HTM debt securities had a fair value of $2.04 billion, indicating net unrealized losses of $422 million. Additional unrealized losses on HTM debt securities of $66.1 million (pre-tax) were included in AOCI as a result of the transfer of AFS debt securities to HTM in 2022. Unrealized losses were primarily attributable to changes in interest rates. </w:t>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For U.S. Treasury and Government Agency securities, we include a zero loss assumption. At March 31, 2024 and December 31, 2023, calculated credit losses on HTM debt securities were deemed de minimis due to the high credit quality of the portfolio, which included securities issued or guaranteed by U.S. Government agencies, GSEs, high credit quality municipalities and supranational entities. As a result, no ACL for HTM debt securities was recorded.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circumstances when an AFS security would be sold,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March 31, 2024 and December 31, 2023, there was no ACL related to the AFS debt securities portfolio. Unrealized losses at March 31, 2024 and December 31, 2023 primarily reflected the effect of changes in interest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and Other Intangible Assets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During the first quarter of 2024, we recorded a measurement period adjustment to the acquisition date fair values of other assets and other liabilities recorded for First Miami. The adjustment related to the lack of realizability of certain tax credits, which resulted in a net increase in goodwill of $1.34 million. See Note 4 to the financial statements for further detail. At March 31, 2024 and December 31, 2023, the net carrying amount of goodwill was $921 million and $920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Deposits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are the primary source of funds for the continued growth of our earning assets. We believe our high level of service, as evidenced by our strong customer satisfaction scores, has been instrumental in attracting and retaining customer deposit accounts. Since December 31, 2023, money market deposit balances increased with offsetting decreases in other customer deposit types. This was driven by higher demand for money market accounts, which are more liquid than time deposits and offer a higher interest rate than demand and savings accounts. As of March 31, 2024, we had approximately $9.00 billion of uninsured deposits, of which $2.88 billion was collateralized by investment securities.</w:t>
      </w:r>
    </w:p>
    <w:p>
      <w:pPr>
        <w:pStyle w:val="TextBody"/>
        <w:bidi w:val="0"/>
        <w:spacing w:before="0" w:after="0"/>
        <w:jc w:val="both"/>
        <w:rPr/>
      </w:pPr>
      <w:r>
        <w:rPr/>
      </w:r>
    </w:p>
    <w:tbl>
      <w:tblPr>
        <w:tblW w:w="1770" w:type="dxa"/>
        <w:jc w:val="left"/>
        <w:tblInd w:w="0" w:type="dxa"/>
        <w:tblLayout w:type="fixed"/>
        <w:tblCellMar>
          <w:top w:w="28" w:type="dxa"/>
          <w:left w:w="28" w:type="dxa"/>
          <w:bottom w:w="28" w:type="dxa"/>
          <w:right w:w="28" w:type="dxa"/>
        </w:tblCellMar>
      </w:tblPr>
      <w:tblGrid>
        <w:gridCol w:w="566"/>
        <w:gridCol w:w="497"/>
        <w:gridCol w:w="707"/>
      </w:tblGrid>
      <w:tr>
        <w:trPr/>
        <w:tc>
          <w:tcPr>
            <w:tcW w:w="56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15 - Deposits</w:t>
            </w:r>
          </w:p>
        </w:tc>
      </w:tr>
      <w:tr>
        <w:trPr/>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6454" w:type="dxa"/>
        <w:jc w:val="center"/>
        <w:tblInd w:w="0" w:type="dxa"/>
        <w:tblLayout w:type="fixed"/>
        <w:tblCellMar>
          <w:top w:w="28" w:type="dxa"/>
          <w:left w:w="28" w:type="dxa"/>
          <w:bottom w:w="28" w:type="dxa"/>
          <w:right w:w="28" w:type="dxa"/>
        </w:tblCellMar>
      </w:tblPr>
      <w:tblGrid>
        <w:gridCol w:w="124"/>
        <w:gridCol w:w="109"/>
        <w:gridCol w:w="109"/>
        <w:gridCol w:w="859"/>
        <w:gridCol w:w="859"/>
        <w:gridCol w:w="861"/>
        <w:gridCol w:w="199"/>
        <w:gridCol w:w="979"/>
        <w:gridCol w:w="111"/>
        <w:gridCol w:w="109"/>
        <w:gridCol w:w="109"/>
        <w:gridCol w:w="109"/>
        <w:gridCol w:w="239"/>
        <w:gridCol w:w="1173"/>
        <w:gridCol w:w="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Noninterest-bearing demand</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6,409,659 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6,534,307 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 and interest-bearing demand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6,155,193 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and savings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7,097,312 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6,808,394 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3,649,498 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customer deposits</w:t>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23,157,147 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23,147,392 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Brokered deposits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deposits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23,332,009 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23,310,611 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both March 31, 2024 and December 31, 2023, we had long-term debt outstanding of $325 million, which includes senior debentures, subordinated debentures, and trust preferred securities. At March 31, 2024 and December 31, 2023 there were no short-term borrowings or FHLB advances outstanding. The need to utilize wholesale funding sources has decreased as our deposit and cash balances have substantially provided for our liquidity needs.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not been any material changes to our contractual obligations since December 31, 2023.</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financial instruments with off-balance sheet risk in the normal course of business to meet the financing needs of customers. These financial instruments include commitments to extend credit, letters of credit and financial guarantees.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that could result in liquidity needs or other commitments, or that could significantly affect earnings. See Note 23 to the consolidated financial statements included in our 2023 10-K and Note 14 to the consolidated financial statements in this Report for additional information on off-balance sheet arrangements.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Sensitivity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tools management uses to estimate and manage the sensitivity of net interest revenue to changes in interest rates is an asset/liability simulation model. Resulting estimates are based upon multiple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pStyle w:val="TextBody"/>
        <w:bidi w:val="0"/>
        <w:spacing w:before="0" w:after="0"/>
        <w:jc w:val="both"/>
        <w:rPr/>
      </w:pPr>
      <w:r>
        <w:rPr/>
      </w:r>
    </w:p>
    <w:tbl>
      <w:tblPr>
        <w:tblW w:w="2639" w:type="dxa"/>
        <w:jc w:val="left"/>
        <w:tblInd w:w="0" w:type="dxa"/>
        <w:tblLayout w:type="fixed"/>
        <w:tblCellMar>
          <w:top w:w="28" w:type="dxa"/>
          <w:left w:w="28" w:type="dxa"/>
          <w:bottom w:w="28" w:type="dxa"/>
          <w:right w:w="28" w:type="dxa"/>
        </w:tblCellMar>
      </w:tblPr>
      <w:tblGrid>
        <w:gridCol w:w="844"/>
        <w:gridCol w:w="743"/>
        <w:gridCol w:w="1052"/>
      </w:tblGrid>
      <w:tr>
        <w:trPr/>
        <w:tc>
          <w:tcPr>
            <w:tcW w:w="84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16 - Interest Sensitivity</w:t>
            </w:r>
          </w:p>
        </w:tc>
      </w:tr>
      <w:tr>
        <w:trPr/>
        <w:tc>
          <w:tcPr>
            <w:tcW w:w="2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bl>
    <w:tbl>
      <w:tblPr>
        <w:tblW w:w="8635"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319"/>
        <w:gridCol w:w="221"/>
        <w:gridCol w:w="460"/>
        <w:gridCol w:w="196"/>
        <w:gridCol w:w="196"/>
        <w:gridCol w:w="196"/>
        <w:gridCol w:w="319"/>
        <w:gridCol w:w="221"/>
        <w:gridCol w:w="460"/>
        <w:gridCol w:w="196"/>
        <w:gridCol w:w="196"/>
        <w:gridCol w:w="196"/>
        <w:gridCol w:w="320"/>
        <w:gridCol w:w="220"/>
        <w:gridCol w:w="460"/>
        <w:gridCol w:w="196"/>
        <w:gridCol w:w="196"/>
        <w:gridCol w:w="196"/>
        <w:gridCol w:w="320"/>
        <w:gridCol w:w="220"/>
        <w:gridCol w:w="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 in Net Interest Revenue from Base Scenario 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Shock</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Ramp</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Shock</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 basis point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basis point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The recent environment has been marked by the most rapid rate increases in decades, which, in part, has made non-bank products, such as U.S. Treasuries and money market funds, more attractive to our deposit customers. For this and other reasons such as the Federal Reserve’s quantitative tightening and the aftermath of COVID stimulus, the banking industry’s deposit base has been shrinking since the first half of 2022. This industry-wide outflow of deposits has increased price competition for bank deposits. As such, industry deposit betas, including ours, have been increasing at a faster pace relative to the last rising rate cycle. Deposit beta is a measure of the change in a bank’s average rate paid on deposits to the change in the federal funds rate. Our cumulative total deposit beta for the current rising rate cycle increased to 43% in the first quarter of 2024. Our cumulative total deposit beta in the last upward rate cycle from November 2015 to July 2019 was 22%.</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sensitivity model includes significant key assumptions which may change over time. The scenario results presented in the table above assume parallel movements in the yield curve, which may differ from actual future curve behavior. Although our model generally assumes no change in deposit portfolio size or composition, we have included an assumption for the runoff of surge deposits since 2021. In the second quarter of 2023, in response to the rapid rate increases mentioned above, we increased the beta assumption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model. As of March 31, 2024, the modeled total deposit beta, which is measured as the change in our overall deposit rate as a percentage of the change in the targeted Federal Funds rate, was 44% in an up scenario and 39% in a down scenario. A higher total deposit beta is generally unfavorable in a rising rate environment and favorable if rates are falling.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40"/>
        <w:jc w:val="both"/>
        <w:rPr/>
      </w:pPr>
      <w:r>
        <w:rPr>
          <w:rFonts w:ascii="Times New Roman;sans-serif" w:hAnsi="Times New Roman;sans-serif"/>
          <w:b/>
          <w:color w:val="000000"/>
          <w:sz w:val="20"/>
        </w:rPr>
        <w:t>Liquidity Management</w:t>
      </w:r>
      <w:r>
        <w:rPr>
          <w:color w:val="000000"/>
        </w:rPr>
        <w:t> </w:t>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The Bank’s main source of liquidity is customer interest-bearing and noninterest-bearing deposit accounts. Liquidity is also available from wholesale funding sources consisting primarily of repurchase agreements, Federal funds purchased, FHLB advances, and brokered deposits. These sources of liquidity are generally short-term in nature and are used as necessary to fund asset growth and meet other short-term liquidity needs.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At March 31, 2024, we had sufficient qualifying collateral to support additional borrowings, which is detailed in the table below.</w:t>
      </w:r>
    </w:p>
    <w:tbl>
      <w:tblPr>
        <w:tblW w:w="8402" w:type="dxa"/>
        <w:jc w:val="left"/>
        <w:tblInd w:w="0" w:type="dxa"/>
        <w:tblLayout w:type="fixed"/>
        <w:tblCellMar>
          <w:top w:w="28" w:type="dxa"/>
          <w:left w:w="28" w:type="dxa"/>
          <w:bottom w:w="28" w:type="dxa"/>
          <w:right w:w="28" w:type="dxa"/>
        </w:tblCellMar>
      </w:tblPr>
      <w:tblGrid>
        <w:gridCol w:w="680"/>
        <w:gridCol w:w="597"/>
        <w:gridCol w:w="597"/>
        <w:gridCol w:w="1655"/>
        <w:gridCol w:w="1655"/>
        <w:gridCol w:w="1670"/>
        <w:gridCol w:w="196"/>
        <w:gridCol w:w="871"/>
        <w:gridCol w:w="109"/>
        <w:gridCol w:w="109"/>
        <w:gridCol w:w="109"/>
        <w:gridCol w:w="154"/>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17 - Borrowing Capacity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FHLB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Reserve - Discount Window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49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borrowing capacity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Unpledged securities available as collateral for additional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pStyle w:val="TextBody"/>
        <w:bidi w:val="0"/>
        <w:spacing w:lineRule="auto" w:line="288" w:before="1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uses and sources of cash during the three months ended March 31, 2024 are as follows. See the consolidated statement of cash flows for further detail.</w:t>
      </w:r>
    </w:p>
    <w:p>
      <w:pPr>
        <w:pStyle w:val="TextBody"/>
        <w:bidi w:val="0"/>
        <w:spacing w:lineRule="auto" w:line="288" w:before="140" w:after="140"/>
        <w:ind w:left="0" w:right="0" w:hanging="360"/>
        <w:jc w:val="both"/>
        <w:rPr/>
      </w:pPr>
      <w:r>
        <w:rPr>
          <w:color w:val="000000"/>
        </w:rPr>
        <w:t>•</w:t>
      </w:r>
      <w:r>
        <w:rPr>
          <w:rFonts w:ascii="Times New Roman;sans-serif" w:hAnsi="Times New Roman;sans-serif"/>
          <w:b w:val="false"/>
          <w:color w:val="000000"/>
          <w:sz w:val="20"/>
        </w:rPr>
        <w:t>Net cash provided by operating activities of $88.8 million reflects net income of $62.6 million adjusted for non-cash transactions, partly offset by changes in loans held for sale and other assets. Significant non-cash transactions for the period included a $12.9 million provision for credit losses and net depreciation, amortization, and accretion of $10.9 million.</w:t>
      </w:r>
    </w:p>
    <w:p>
      <w:pPr>
        <w:pStyle w:val="TextBody"/>
        <w:bidi w:val="0"/>
        <w:spacing w:lineRule="auto" w:line="288" w:before="140" w:after="140"/>
        <w:ind w:left="0" w:right="0" w:hanging="360"/>
        <w:jc w:val="both"/>
        <w:rPr/>
      </w:pPr>
      <w:r>
        <w:rPr>
          <w:color w:val="000000"/>
        </w:rPr>
        <w:t>•</w:t>
      </w:r>
      <w:r>
        <w:rPr>
          <w:rFonts w:ascii="Times New Roman;sans-serif" w:hAnsi="Times New Roman;sans-serif"/>
          <w:b w:val="false"/>
          <w:color w:val="000000"/>
          <w:sz w:val="20"/>
        </w:rPr>
        <w:t>Net cash used in investing activities of $123 million primarily consisted of a net increase in loans of $67.6 million and purchases of AFS securities and outflows for equity investments totaling $307 million. These uses of cash were partially offset by proceeds from securities sales, maturities and calls of $258 million.</w:t>
      </w:r>
    </w:p>
    <w:p>
      <w:pPr>
        <w:pStyle w:val="TextBody"/>
        <w:bidi w:val="0"/>
        <w:spacing w:lineRule="auto" w:line="288" w:before="140" w:after="140"/>
        <w:ind w:left="0" w:right="0" w:hanging="360"/>
        <w:jc w:val="both"/>
        <w:rPr/>
      </w:pPr>
      <w:r>
        <w:rPr>
          <w:color w:val="000000"/>
        </w:rPr>
        <w:t>•</w:t>
      </w:r>
      <w:r>
        <w:rPr>
          <w:rFonts w:ascii="Times New Roman;sans-serif" w:hAnsi="Times New Roman;sans-serif"/>
          <w:b w:val="false"/>
          <w:color w:val="000000"/>
          <w:sz w:val="20"/>
        </w:rPr>
        <w:t>Net cash used in financing activities of $8.24 million was driven by a net increase in deposits of $21.0 million, more than offset by dividends on common and preferred stock of $29.3 million.</w:t>
      </w:r>
    </w:p>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our liquidity position at March 31, 2024 was sufficient to meet our expected cash flow requirements for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Capital Resources and Dividends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Shareholders’ equity at March 31, 2024 was $3.30 billion, an increase of $38.6 million from December 31, 2023 primarily due to year-to-date earnings, partially offset by dividends declared on common and preferred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capital ratios, as calculated under applicable regulatory guidelines, at March 31, 2024 and December 31, 2023. As of March 31, 2024, capital levels remained characterized as “well-capitalized” under regulatory requirements in effect at the time. Additional information related to capital ratios is provided in Note 13 to the consolidated financial statements.</w:t>
      </w:r>
    </w:p>
    <w:p>
      <w:pPr>
        <w:pStyle w:val="TextBody"/>
        <w:bidi w:val="0"/>
        <w:spacing w:before="0" w:after="0"/>
        <w:jc w:val="both"/>
        <w:rPr/>
      </w:pPr>
      <w:r>
        <w:rPr/>
      </w:r>
    </w:p>
    <w:tbl>
      <w:tblPr>
        <w:tblW w:w="2280" w:type="dxa"/>
        <w:jc w:val="left"/>
        <w:tblInd w:w="0" w:type="dxa"/>
        <w:tblLayout w:type="fixed"/>
        <w:tblCellMar>
          <w:top w:w="28" w:type="dxa"/>
          <w:left w:w="28" w:type="dxa"/>
          <w:bottom w:w="28" w:type="dxa"/>
          <w:right w:w="28" w:type="dxa"/>
        </w:tblCellMar>
      </w:tblPr>
      <w:tblGrid>
        <w:gridCol w:w="729"/>
        <w:gridCol w:w="640"/>
        <w:gridCol w:w="911"/>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Table 18 - Capital Ratios</w:t>
            </w:r>
          </w:p>
        </w:tc>
      </w:tr>
      <w:tr>
        <w:trPr/>
        <w:tc>
          <w:tcPr>
            <w:tcW w:w="228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1"/>
        <w:gridCol w:w="299"/>
        <w:gridCol w:w="301"/>
        <w:gridCol w:w="109"/>
        <w:gridCol w:w="109"/>
        <w:gridCol w:w="109"/>
        <w:gridCol w:w="200"/>
        <w:gridCol w:w="200"/>
        <w:gridCol w:w="471"/>
        <w:gridCol w:w="109"/>
        <w:gridCol w:w="109"/>
        <w:gridCol w:w="109"/>
        <w:gridCol w:w="233"/>
        <w:gridCol w:w="233"/>
        <w:gridCol w:w="528"/>
        <w:gridCol w:w="109"/>
        <w:gridCol w:w="109"/>
        <w:gridCol w:w="109"/>
        <w:gridCol w:w="300"/>
        <w:gridCol w:w="300"/>
        <w:gridCol w:w="708"/>
        <w:gridCol w:w="109"/>
        <w:gridCol w:w="109"/>
        <w:gridCol w:w="109"/>
        <w:gridCol w:w="333"/>
        <w:gridCol w:w="223"/>
        <w:gridCol w:w="270"/>
        <w:gridCol w:w="115"/>
        <w:gridCol w:w="115"/>
        <w:gridCol w:w="115"/>
        <w:gridCol w:w="278"/>
        <w:gridCol w:w="278"/>
        <w:gridCol w:w="450"/>
        <w:gridCol w:w="109"/>
        <w:gridCol w:w="109"/>
        <w:gridCol w:w="109"/>
        <w:gridCol w:w="278"/>
        <w:gridCol w:w="278"/>
        <w:gridCol w:w="280"/>
        <w:gridCol w:w="112"/>
        <w:gridCol w:w="112"/>
        <w:gridCol w:w="112"/>
        <w:gridCol w:w="278"/>
        <w:gridCol w:w="278"/>
        <w:gridCol w:w="551"/>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United Community Banks, Inc.</w:t>
              <w:b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United Community Bank</w:t>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Capital Plus Capital Conservation Buffer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Risk-based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CET1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Effect of Inflation and Changing Prices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market risk as of March 31, 2024 from that presented in our 2023 10-K. Our interest rate sensitivity position at March 31, 2024 is set forth in Table 16 in MD&amp;A of this Report and incorporated herein by this reference.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(a) </w:t>
      </w:r>
      <w:r>
        <w:rPr>
          <w:rFonts w:ascii="Times New Roman;sans-serif" w:hAnsi="Times New Roman;sans-serif"/>
          <w:b w:val="false"/>
          <w:i/>
          <w:color w:val="000000"/>
          <w:sz w:val="20"/>
        </w:rPr>
        <w:t xml:space="preserve">Disclosure Controls and Procedures. </w:t>
      </w:r>
      <w:r>
        <w:rPr>
          <w:rFonts w:ascii="Times New Roman;sans-serif" w:hAnsi="Times New Roman;sans-serif"/>
          <w:b w:val="false"/>
          <w:color w:val="000000"/>
          <w:sz w:val="20"/>
        </w:rPr>
        <w:t>Under the supervision and with the participation of our management, including our principal executive officer and principal financial officer, we conducted an evaluation of our disclosure controls and procedures (as such term is defined in Exchange Act Rule 13a-15(e)) as of March 31, 2024. Based on that evaluation, our principal executive officer and chief financial officer concluded that our disclosure controls and procedures were effective as of the end of the period covered by this Report.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(b) </w:t>
      </w:r>
      <w:r>
        <w:rPr>
          <w:rFonts w:ascii="Times New Roman;sans-serif" w:hAnsi="Times New Roman;sans-serif"/>
          <w:b w:val="false"/>
          <w:i/>
          <w:color w:val="000000"/>
          <w:sz w:val="20"/>
        </w:rPr>
        <w:t xml:space="preserve">Changes in Internal Control Over Financial Reporting. </w:t>
      </w:r>
      <w:r>
        <w:rPr>
          <w:rFonts w:ascii="Times New Roman;sans-serif" w:hAnsi="Times New Roman;sans-serif"/>
          <w:b w:val="false"/>
          <w:color w:val="000000"/>
          <w:sz w:val="20"/>
        </w:rPr>
        <w:t>No change in our internal control over financial reporting (as such term is defined in Exchange Act Rule 13a-15(f)) occurred during the fiscal quarter ended March 31, 2024 that materially affected, or is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Items 1A. Risk Factors </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T</w:t>
      </w:r>
      <w:r>
        <w:rPr>
          <w:rFonts w:ascii="Times New Roman;sans-serif" w:hAnsi="Times New Roman;sans-serif"/>
          <w:b w:val="false"/>
          <w:color w:val="000000"/>
          <w:sz w:val="20"/>
        </w:rPr>
        <w:t>here have been no material changes to the risk factors previously disclosed in the 2023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(d)     Exhibits.</w:t>
      </w:r>
      <w:r>
        <w:rPr>
          <w:color w:val="000000"/>
        </w:rPr>
        <w:t xml:space="preserve"> </w:t>
      </w:r>
      <w:r>
        <w:rPr>
          <w:rFonts w:ascii="Times New Roman;sans-serif" w:hAnsi="Times New Roman;sans-serif"/>
          <w:b w:val="false"/>
          <w:color w:val="000000"/>
          <w:sz w:val="20"/>
        </w:rPr>
        <w:t>See Exhibit Index below.</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93"/>
        <w:gridCol w:w="257"/>
        <w:gridCol w:w="258"/>
        <w:gridCol w:w="120"/>
        <w:gridCol w:w="120"/>
        <w:gridCol w:w="120"/>
        <w:gridCol w:w="2732"/>
        <w:gridCol w:w="2596"/>
        <w:gridCol w:w="3709"/>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Exhibit No.</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ans-serif" w:hAnsi="Times New Roman;sans-serif"/>
                  <w:b w:val="false"/>
                  <w:color w:val="0000FF"/>
                  <w:sz w:val="20"/>
                  <w:u w:val="single"/>
                </w:rPr>
                <w:t>3.1</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ans-serif" w:hAnsi="Times New Roman;sans-serif"/>
                  <w:b w:val="false"/>
                  <w:color w:val="0000FF"/>
                  <w:sz w:val="20"/>
                  <w:u w:val="single"/>
                </w:rPr>
                <w:t>Restated Articles of Incorporation of United Community Banks, Inc. as amended through August 13, 2021 (incorporated herein by reference to Exhibit 3.1 to United Community Bank Inc.'s Quarterly Report on Form 10-Q for the period ended September 30, 2021, filed on November 5,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7">
              <w:r>
                <w:rPr>
                  <w:rStyle w:val="InternetLink"/>
                  <w:rFonts w:ascii="Times New Roman;sans-serif" w:hAnsi="Times New Roman;sans-serif"/>
                  <w:b w:val="false"/>
                  <w:color w:val="0000FF"/>
                  <w:sz w:val="20"/>
                  <w:u w:val="single"/>
                </w:rPr>
                <w:t>3.2</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Amended and Restated Bylaws of United Community Banks, Inc., as amended (incorporated herein by reference to Exhibit 3.2 to United Community Banks, Inc.’s Quarterly Report on Form 10-Q for the period ended March 31, 2015, filed with the SEC on May 11, 2015).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i3312410-qexhibit311.htm">
              <w:r>
                <w:rPr>
                  <w:rStyle w:val="InternetLink"/>
                  <w:rFonts w:ascii="Times New Roman;sans-serif" w:hAnsi="Times New Roman;sans-serif"/>
                  <w:b w:val="false"/>
                  <w:color w:val="0000FF"/>
                  <w:sz w:val="20"/>
                  <w:u w:val="single"/>
                </w:rPr>
                <w:t>31.1</w:t>
              </w:r>
            </w:hyperlink>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i3312410-qexhibit311.htm">
              <w:r>
                <w:rPr>
                  <w:rStyle w:val="InternetLink"/>
                  <w:rFonts w:ascii="Times New Roman;sans-serif" w:hAnsi="Times New Roman;sans-serif"/>
                  <w:b w:val="false"/>
                  <w:color w:val="0000FF"/>
                  <w:sz w:val="20"/>
                  <w:u w:val="single"/>
                </w:rPr>
                <w:t>Certification by H. Lynn Harton, President and Chief Executive Officer of United Community Banks, Inc., pursuant to Exchange Act Rule 13a-14(a).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i3312410-qexhibit312.htm">
              <w:r>
                <w:rPr>
                  <w:rStyle w:val="InternetLink"/>
                  <w:rFonts w:ascii="Times New Roman;sans-serif" w:hAnsi="Times New Roman;sans-serif"/>
                  <w:b w:val="false"/>
                  <w:color w:val="0000FF"/>
                  <w:sz w:val="20"/>
                  <w:u w:val="single"/>
                </w:rPr>
                <w:t>31.2</w:t>
              </w:r>
            </w:hyperlink>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i3312410-qexhibit312.htm">
              <w:r>
                <w:rPr>
                  <w:rStyle w:val="InternetLink"/>
                  <w:rFonts w:ascii="Times New Roman;sans-serif" w:hAnsi="Times New Roman;sans-serif"/>
                  <w:b w:val="false"/>
                  <w:color w:val="0000FF"/>
                  <w:sz w:val="20"/>
                  <w:u w:val="single"/>
                </w:rPr>
                <w:t>Certification by Jefferson L. Harralson, Executive Vice President and Chief Financial Officer of United Community Banks, Inc., pursuant to Exchange Act Rule 13a-14(a).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i3312410-qexhibit32.htm">
              <w:r>
                <w:rPr>
                  <w:rStyle w:val="InternetLink"/>
                  <w:rFonts w:ascii="Times New Roman;sans-serif" w:hAnsi="Times New Roman;sans-serif"/>
                  <w:b w:val="false"/>
                  <w:color w:val="0000FF"/>
                  <w:sz w:val="20"/>
                  <w:u w:val="single"/>
                </w:rPr>
                <w:t>32</w:t>
              </w:r>
            </w:hyperlink>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i3312410-qexhibit32.htm">
              <w:r>
                <w:rPr>
                  <w:rStyle w:val="InternetLink"/>
                  <w:rFonts w:ascii="Times New Roman;sans-serif" w:hAnsi="Times New Roman;sans-serif"/>
                  <w:b w:val="false"/>
                  <w:color w:val="0000FF"/>
                  <w:sz w:val="20"/>
                  <w:u w:val="single"/>
                </w:rPr>
                <w:t>Certification of CEO and CFO pursuant to 18 U.S.C. Section 1350.</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Interactive data files for United Community Bank, Inc.’s Quarterly Report on Form 10-Q for the quarter ended March 31, 2024, formatted in Inline XBRL: </w:t>
            </w:r>
            <w:r>
              <w:rPr>
                <w:rFonts w:ascii="Times New Roman;sans-serif" w:hAnsi="Times New Roman;sans-serif"/>
                <w:b w:val="false"/>
                <w:color w:val="212529"/>
                <w:sz w:val="20"/>
              </w:rPr>
              <w:t>(i) the Consolidated Balance Sheets (unaudited); (ii) the Consolidated Statements of Income (unaudited); (iii) 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sans-serif" w:hAnsi="Times New Roman;sans-serif"/>
                <w:b w:val="false"/>
                <w:color w:val="000000"/>
                <w:sz w:val="20"/>
              </w:rPr>
              <w: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cover page from United Community Bank’s Quarterly Report on Form 10-Q for the quarter ended March 31, 2024 (formatted in Inline XBRL and included in Exhibit 101)</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UNITED COMMUNITY BANKS,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H. Lynn Harton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 Lynn Harton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Jefferson L. Harralson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Jefferson L. Harralson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Alan H. Kumler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Alan H. Kumler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 Lynn Harton,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United Community Banks, Inc.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656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3"/>
        <w:gridCol w:w="1343"/>
        <w:gridCol w:w="191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r>
      <w:tr>
        <w:trPr/>
        <w:tc>
          <w:tcPr>
            <w:tcW w:w="19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 Lynn Harton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 Lynn Harton</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of the Registrant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Jefferson L. Harralson,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United Community Banks, Inc.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7796" w:type="dxa"/>
        <w:jc w:val="left"/>
        <w:tblInd w:w="0" w:type="dxa"/>
        <w:tblLayout w:type="fixed"/>
        <w:tblCellMar>
          <w:top w:w="28" w:type="dxa"/>
          <w:left w:w="28" w:type="dxa"/>
          <w:bottom w:w="28" w:type="dxa"/>
          <w:right w:w="28" w:type="dxa"/>
        </w:tblCellMar>
      </w:tblPr>
      <w:tblGrid>
        <w:gridCol w:w="592"/>
        <w:gridCol w:w="521"/>
        <w:gridCol w:w="522"/>
        <w:gridCol w:w="109"/>
        <w:gridCol w:w="109"/>
        <w:gridCol w:w="109"/>
        <w:gridCol w:w="1703"/>
        <w:gridCol w:w="1703"/>
        <w:gridCol w:w="2428"/>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Jefferson L. Harralson</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Jefferson L. Harralson</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the Registrant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United Community Banks, Inc. (“United”) on Form 10-Q for the period ending March 31, 2024 filed with the Securities and Exchange Commission on the date hereof (the “Report”), each of the undersigned officers of United certifies, pursuant to 18 U.S.C. Section 1350, as adopted pursuant to Section 906 of the Sarbanes-Oxley Act of 2002,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United.</w:t>
      </w:r>
    </w:p>
    <w:tbl>
      <w:tblPr>
        <w:tblW w:w="5456"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H. Lynn Harton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 Lynn Harton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Jefferson L. Harralson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Jefferson L. Harralson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200" w:after="283"/>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857855/000085785521000109/ucbi93021ex31restatedartic.htm" TargetMode="External"/><Relationship Id="rId6" Type="http://schemas.openxmlformats.org/officeDocument/2006/relationships/hyperlink" Target="https://www.sec.gov/Archives/edgar/data/857855/000085785521000109/ucbi93021ex31restatedartic.htm" TargetMode="External"/><Relationship Id="rId7" Type="http://schemas.openxmlformats.org/officeDocument/2006/relationships/hyperlink" Target="https://www.sec.gov/Archives/edgar/data/857855/000157104915003882/t82199_ex3-2.htm" TargetMode="External"/><Relationship Id="rId8" Type="http://schemas.openxmlformats.org/officeDocument/2006/relationships/hyperlink" Target="https://www.sec.gov/Archives/edgar/data/857855/000157104915003882/t82199_ex3-2.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26783</Words>
  <Characters>147842</Characters>
  <CharactersWithSpaces>171920</CharactersWithSpaces>
  <Paragraphs>7336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