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Date of Report (Date of earliest event reported): September 3, 2024</w:t>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UNITED COMMUNITY BANKS, INC.</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11300"/>
          </w:cols>
          <w:pgMar w:left="300" w:top="494" w:right="299" w:bottom="1440" w:gutter="0" w:footer="0" w:header="0"/>
        </w:sectPr>
      </w:pPr>
    </w:p>
    <w:p>
      <w:pPr>
        <w:spacing w:after="0" w:line="138"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2"/>
          <w:szCs w:val="12"/>
          <w:color w:val="auto"/>
        </w:rPr>
        <w:t>Georgia</w:t>
      </w:r>
    </w:p>
    <w:p>
      <w:pPr>
        <w:spacing w:after="0" w:line="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2"/>
          <w:szCs w:val="12"/>
          <w:color w:val="auto"/>
        </w:rPr>
        <w:t>001-35095</w:t>
      </w:r>
    </w:p>
    <w:p>
      <w:pPr>
        <w:spacing w:after="0" w:line="17"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2"/>
          <w:szCs w:val="12"/>
          <w:color w:val="auto"/>
        </w:rPr>
        <w:t>58-1807304</w:t>
      </w:r>
    </w:p>
    <w:p>
      <w:pPr>
        <w:spacing w:after="0" w:line="1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39" w:lineRule="exact"/>
        <w:rPr>
          <w:sz w:val="24"/>
          <w:szCs w:val="24"/>
          <w:color w:val="auto"/>
        </w:rPr>
      </w:pPr>
    </w:p>
    <w:p>
      <w:pPr>
        <w:sectPr>
          <w:pgSz w:w="11900" w:h="16838" w:orient="portrait"/>
          <w:cols w:equalWidth="0" w:num="3">
            <w:col w:w="4300" w:space="720"/>
            <w:col w:w="2860" w:space="720"/>
            <w:col w:w="2700"/>
          </w:cols>
          <w:pgMar w:left="300" w:top="494" w:right="29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2"/>
          <w:szCs w:val="12"/>
          <w:color w:val="auto"/>
        </w:rPr>
        <w:t>200 East Camperdown Way</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Greenville, South Carolina 29601</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(800) 822-2651</w:t>
      </w:r>
    </w:p>
    <w:p>
      <w:pPr>
        <w:spacing w:after="0" w:line="1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ectPr>
          <w:pgSz w:w="11900" w:h="16838" w:orient="portrait"/>
          <w:cols w:equalWidth="0" w:num="1">
            <w:col w:w="11300"/>
          </w:cols>
          <w:pgMar w:left="300" w:top="494" w:right="29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20" w:hanging="212"/>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420" w:hanging="212"/>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420" w:hanging="212"/>
        <w:spacing w:after="0"/>
        <w:tabs>
          <w:tab w:leader="none" w:pos="4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right="5520" w:firstLine="208"/>
        <w:spacing w:after="0" w:line="500" w:lineRule="auto"/>
        <w:tabs>
          <w:tab w:leader="none" w:pos="432"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200" w:type="dxa"/>
        <w:tblCellMar>
          <w:top w:w="0" w:type="dxa"/>
          <w:left w:w="0" w:type="dxa"/>
          <w:bottom w:w="0" w:type="dxa"/>
          <w:right w:w="0" w:type="dxa"/>
        </w:tblCellMar>
      </w:tblPr>
      <w:tr>
        <w:trPr>
          <w:trHeight w:val="129"/>
        </w:trPr>
        <w:tc>
          <w:tcPr>
            <w:tcW w:w="148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rPr>
              <w:t>Title of Each Class</w:t>
            </w:r>
          </w:p>
        </w:tc>
        <w:tc>
          <w:tcPr>
            <w:tcW w:w="2040" w:type="dxa"/>
            <w:vAlign w:val="bottom"/>
          </w:tcPr>
          <w:p>
            <w:pPr>
              <w:spacing w:after="0"/>
              <w:rPr>
                <w:sz w:val="11"/>
                <w:szCs w:val="11"/>
                <w:color w:val="auto"/>
              </w:rPr>
            </w:pPr>
          </w:p>
        </w:tc>
        <w:tc>
          <w:tcPr>
            <w:tcW w:w="3400" w:type="dxa"/>
            <w:vAlign w:val="bottom"/>
            <w:gridSpan w:val="3"/>
          </w:tcPr>
          <w:p>
            <w:pPr>
              <w:jc w:val="center"/>
              <w:ind w:right="1380"/>
              <w:spacing w:after="0" w:line="129" w:lineRule="exact"/>
              <w:rPr>
                <w:sz w:val="20"/>
                <w:szCs w:val="20"/>
                <w:color w:val="auto"/>
              </w:rPr>
            </w:pPr>
            <w:r>
              <w:rPr>
                <w:rFonts w:ascii="Times New Roman" w:cs="Times New Roman" w:eastAsia="Times New Roman" w:hAnsi="Times New Roman"/>
                <w:sz w:val="12"/>
                <w:szCs w:val="12"/>
                <w:color w:val="auto"/>
                <w:w w:val="98"/>
              </w:rPr>
              <w:t>Trading Symbol(s)</w:t>
            </w:r>
          </w:p>
        </w:tc>
        <w:tc>
          <w:tcPr>
            <w:tcW w:w="222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196"/>
        </w:trPr>
        <w:tc>
          <w:tcPr>
            <w:tcW w:w="44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color w:val="auto"/>
                <w:w w:val="99"/>
              </w:rPr>
              <w:t>Common stock, par value $1 per share</w:t>
            </w:r>
          </w:p>
        </w:tc>
        <w:tc>
          <w:tcPr>
            <w:tcW w:w="560" w:type="dxa"/>
            <w:vAlign w:val="bottom"/>
          </w:tcPr>
          <w:p>
            <w:pPr>
              <w:spacing w:after="0"/>
              <w:rPr>
                <w:sz w:val="17"/>
                <w:szCs w:val="17"/>
                <w:color w:val="auto"/>
              </w:rPr>
            </w:pPr>
          </w:p>
        </w:tc>
        <w:tc>
          <w:tcPr>
            <w:tcW w:w="284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color w:val="auto"/>
              </w:rPr>
              <w:t>UCB</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r>
        <w:trPr>
          <w:trHeight w:val="169"/>
        </w:trPr>
        <w:tc>
          <w:tcPr>
            <w:tcW w:w="4440" w:type="dxa"/>
            <w:vAlign w:val="bottom"/>
            <w:gridSpan w:val="3"/>
          </w:tcPr>
          <w:p>
            <w:pPr>
              <w:jc w:val="center"/>
              <w:ind w:right="560"/>
              <w:spacing w:after="0"/>
              <w:rPr>
                <w:sz w:val="20"/>
                <w:szCs w:val="20"/>
                <w:color w:val="auto"/>
              </w:rPr>
            </w:pPr>
            <w:r>
              <w:rPr>
                <w:rFonts w:ascii="Times New Roman" w:cs="Times New Roman" w:eastAsia="Times New Roman" w:hAnsi="Times New Roman"/>
                <w:sz w:val="12"/>
                <w:szCs w:val="12"/>
                <w:color w:val="auto"/>
                <w:w w:val="99"/>
              </w:rPr>
              <w:t>Depositary shares, each representing 1/1000th interest in a share of Series I Non-</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5"/>
        </w:trPr>
        <w:tc>
          <w:tcPr>
            <w:tcW w:w="4440" w:type="dxa"/>
            <w:vAlign w:val="bottom"/>
            <w:gridSpan w:val="3"/>
          </w:tcPr>
          <w:p>
            <w:pPr>
              <w:jc w:val="center"/>
              <w:ind w:right="540"/>
              <w:spacing w:after="0"/>
              <w:rPr>
                <w:sz w:val="20"/>
                <w:szCs w:val="20"/>
                <w:color w:val="auto"/>
              </w:rPr>
            </w:pPr>
            <w:r>
              <w:rPr>
                <w:rFonts w:ascii="Times New Roman" w:cs="Times New Roman" w:eastAsia="Times New Roman" w:hAnsi="Times New Roman"/>
                <w:sz w:val="12"/>
                <w:szCs w:val="12"/>
                <w:color w:val="auto"/>
                <w:w w:val="99"/>
              </w:rPr>
              <w:t>Cumulative Preferred Stock</w:t>
            </w:r>
          </w:p>
        </w:tc>
        <w:tc>
          <w:tcPr>
            <w:tcW w:w="560" w:type="dxa"/>
            <w:vAlign w:val="bottom"/>
          </w:tcPr>
          <w:p>
            <w:pPr>
              <w:spacing w:after="0"/>
              <w:rPr>
                <w:sz w:val="13"/>
                <w:szCs w:val="13"/>
                <w:color w:val="auto"/>
              </w:rPr>
            </w:pPr>
          </w:p>
        </w:tc>
        <w:tc>
          <w:tcPr>
            <w:tcW w:w="2840" w:type="dxa"/>
            <w:vAlign w:val="bottom"/>
            <w:gridSpan w:val="2"/>
          </w:tcPr>
          <w:p>
            <w:pPr>
              <w:jc w:val="center"/>
              <w:ind w:right="1940"/>
              <w:spacing w:after="0"/>
              <w:rPr>
                <w:sz w:val="20"/>
                <w:szCs w:val="20"/>
                <w:color w:val="auto"/>
              </w:rPr>
            </w:pPr>
            <w:r>
              <w:rPr>
                <w:rFonts w:ascii="Times New Roman" w:cs="Times New Roman" w:eastAsia="Times New Roman" w:hAnsi="Times New Roman"/>
                <w:sz w:val="12"/>
                <w:szCs w:val="12"/>
                <w:color w:val="auto"/>
                <w:w w:val="99"/>
              </w:rPr>
              <w:t>UCB PRI</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r>
    </w:tbl>
    <w:p>
      <w:pPr>
        <w:spacing w:after="0" w:line="133"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8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212529"/>
        </w:rPr>
        <w:t xml:space="preserve">Emerging growth company </w:t>
      </w:r>
      <w:r>
        <w:rPr>
          <w:rFonts w:ascii="MS PGothic" w:cs="MS PGothic" w:eastAsia="MS PGothic" w:hAnsi="MS PGothic"/>
          <w:sz w:val="12"/>
          <w:szCs w:val="12"/>
          <w:color w:val="212529"/>
        </w:rPr>
        <w:t>☐</w:t>
      </w:r>
    </w:p>
    <w:p>
      <w:pPr>
        <w:spacing w:after="0" w:line="178" w:lineRule="exact"/>
        <w:rPr>
          <w:sz w:val="24"/>
          <w:szCs w:val="24"/>
          <w:color w:val="auto"/>
        </w:rPr>
      </w:pPr>
    </w:p>
    <w:p>
      <w:pPr>
        <w:ind w:right="20"/>
        <w:spacing w:after="0" w:line="159" w:lineRule="exact"/>
        <w:rPr>
          <w:sz w:val="20"/>
          <w:szCs w:val="20"/>
          <w:color w:val="auto"/>
        </w:rPr>
      </w:pPr>
      <w:r>
        <w:rPr>
          <w:rFonts w:ascii="Times New Roman" w:cs="Times New Roman" w:eastAsia="Times New Roman" w:hAnsi="Times New Roman"/>
          <w:sz w:val="12"/>
          <w:szCs w:val="12"/>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94" w:right="299" w:bottom="1440" w:gutter="0" w:footer="0" w:header="0"/>
          <w:type w:val="continuous"/>
        </w:sectPr>
      </w:pPr>
    </w:p>
    <w:bookmarkStart w:id="1" w:name="page2"/>
    <w:bookmarkEnd w:id="1"/>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8.01</w:t>
        <w:tab/>
        <w:t>Other Events.</w:t>
      </w:r>
    </w:p>
    <w:p>
      <w:pPr>
        <w:spacing w:after="0" w:line="154" w:lineRule="exact"/>
        <w:rPr>
          <w:sz w:val="20"/>
          <w:szCs w:val="20"/>
          <w:color w:val="auto"/>
        </w:rPr>
      </w:pPr>
    </w:p>
    <w:p>
      <w:pPr>
        <w:ind w:left="648" w:right="20"/>
        <w:spacing w:after="0" w:line="279" w:lineRule="auto"/>
        <w:rPr>
          <w:sz w:val="20"/>
          <w:szCs w:val="20"/>
          <w:color w:val="auto"/>
        </w:rPr>
      </w:pPr>
      <w:r>
        <w:rPr>
          <w:rFonts w:ascii="Times New Roman" w:cs="Times New Roman" w:eastAsia="Times New Roman" w:hAnsi="Times New Roman"/>
          <w:sz w:val="12"/>
          <w:szCs w:val="12"/>
          <w:color w:val="auto"/>
        </w:rPr>
        <w:t>On September 3, 2024, United Community Banks, Inc. (the “Company”) issued a press release announcing that it entered into a definitive agreement to sell is manufactured housing loan portfolio. A copy of the press release is attached as Exhibit 99.1 to this Current Report on Form 8-K.</w:t>
      </w:r>
    </w:p>
    <w:p>
      <w:pPr>
        <w:spacing w:after="0" w:line="111" w:lineRule="exact"/>
        <w:rPr>
          <w:sz w:val="20"/>
          <w:szCs w:val="20"/>
          <w:color w:val="auto"/>
        </w:rPr>
      </w:pPr>
    </w:p>
    <w:p>
      <w:pPr>
        <w:ind w:left="648"/>
        <w:spacing w:after="0" w:line="279" w:lineRule="auto"/>
        <w:rPr>
          <w:sz w:val="20"/>
          <w:szCs w:val="20"/>
          <w:color w:val="auto"/>
        </w:rPr>
      </w:pPr>
      <w:r>
        <w:rPr>
          <w:rFonts w:ascii="Times New Roman" w:cs="Times New Roman" w:eastAsia="Times New Roman" w:hAnsi="Times New Roman"/>
          <w:sz w:val="12"/>
          <w:szCs w:val="12"/>
          <w:color w:val="auto"/>
        </w:rPr>
        <w:t>In addition, the Company provided supplemental information regarding the transaction in connection with a presentation to analysts and investors. A copy of the investor presentation is attached as Exhibit 99.2 to this Current Report on Form 8-K.</w:t>
      </w:r>
    </w:p>
    <w:p>
      <w:pPr>
        <w:spacing w:after="0" w:line="107" w:lineRule="exact"/>
        <w:rPr>
          <w:sz w:val="20"/>
          <w:szCs w:val="20"/>
          <w:color w:val="auto"/>
        </w:rPr>
      </w:pPr>
    </w:p>
    <w:p>
      <w:pPr>
        <w:ind w:left="8"/>
        <w:spacing w:after="0"/>
        <w:tabs>
          <w:tab w:leader="none" w:pos="62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0" w:lineRule="exact"/>
        <w:rPr>
          <w:sz w:val="20"/>
          <w:szCs w:val="20"/>
          <w:color w:val="auto"/>
        </w:rPr>
      </w:pPr>
    </w:p>
    <w:p>
      <w:pPr>
        <w:ind w:left="168" w:hanging="168"/>
        <w:spacing w:after="0"/>
        <w:tabs>
          <w:tab w:leader="none" w:pos="16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Exhibits </w:t>
      </w:r>
      <w:r>
        <w:rPr>
          <w:rFonts w:ascii="Times New Roman" w:cs="Times New Roman" w:eastAsia="Times New Roman" w:hAnsi="Times New Roman"/>
          <w:sz w:val="12"/>
          <w:szCs w:val="12"/>
          <w:color w:val="auto"/>
        </w:rPr>
        <w:t>The following exhibit index lists the exhibits that are either filed or furnished with the Current Report on Form 8-K.</w:t>
      </w:r>
    </w:p>
    <w:p>
      <w:pPr>
        <w:spacing w:after="0" w:line="150" w:lineRule="exact"/>
        <w:rPr>
          <w:rFonts w:ascii="Times New Roman" w:cs="Times New Roman" w:eastAsia="Times New Roman" w:hAnsi="Times New Roman"/>
          <w:sz w:val="12"/>
          <w:szCs w:val="12"/>
          <w:b w:val="1"/>
          <w:bCs w:val="1"/>
          <w:color w:val="auto"/>
        </w:rPr>
      </w:pPr>
    </w:p>
    <w:p>
      <w:pPr>
        <w:ind w:left="64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EXHIBIT INDEX</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3" w:lineRule="exact"/>
        <w:rPr>
          <w:sz w:val="20"/>
          <w:szCs w:val="20"/>
          <w:color w:val="auto"/>
        </w:rPr>
      </w:pPr>
    </w:p>
    <w:p>
      <w:pPr>
        <w:ind w:left="208"/>
        <w:spacing w:after="0"/>
        <w:tabs>
          <w:tab w:leader="none" w:pos="628"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2"/>
          <w:szCs w:val="12"/>
          <w:u w:val="single" w:color="auto"/>
          <w:color w:val="0000EE"/>
        </w:rPr>
        <w:t>United Community Banks, Inc. Press Release, dated September 3, 2024.</w:t>
      </w:r>
    </w:p>
    <w:p>
      <w:pPr>
        <w:spacing w:after="0" w:line="150" w:lineRule="exact"/>
        <w:rPr>
          <w:sz w:val="20"/>
          <w:szCs w:val="20"/>
          <w:color w:val="auto"/>
        </w:rPr>
      </w:pPr>
    </w:p>
    <w:p>
      <w:pPr>
        <w:ind w:left="228"/>
        <w:spacing w:after="0"/>
        <w:tabs>
          <w:tab w:leader="none" w:pos="628" w:val="left"/>
        </w:tabs>
        <w:rPr>
          <w:sz w:val="20"/>
          <w:szCs w:val="20"/>
          <w:color w:val="auto"/>
        </w:rPr>
      </w:pPr>
      <w:r>
        <w:rPr>
          <w:rFonts w:ascii="Times New Roman" w:cs="Times New Roman" w:eastAsia="Times New Roman" w:hAnsi="Times New Roman"/>
          <w:sz w:val="12"/>
          <w:szCs w:val="12"/>
          <w:u w:val="single" w:color="auto"/>
          <w:color w:val="0000EE"/>
        </w:rPr>
        <w:t>99.2</w:t>
      </w:r>
      <w:r>
        <w:rPr>
          <w:sz w:val="20"/>
          <w:szCs w:val="20"/>
          <w:color w:val="auto"/>
        </w:rPr>
        <w:tab/>
      </w:r>
      <w:r>
        <w:rPr>
          <w:rFonts w:ascii="Times New Roman" w:cs="Times New Roman" w:eastAsia="Times New Roman" w:hAnsi="Times New Roman"/>
          <w:sz w:val="11"/>
          <w:szCs w:val="11"/>
          <w:u w:val="single" w:color="auto"/>
          <w:color w:val="0000EE"/>
        </w:rPr>
        <w:t>United Community Banks, Inc. Investor Presentation, dated September 3, 2024</w:t>
      </w:r>
    </w:p>
    <w:p>
      <w:pPr>
        <w:spacing w:after="0" w:line="150" w:lineRule="exact"/>
        <w:rPr>
          <w:sz w:val="20"/>
          <w:szCs w:val="20"/>
          <w:color w:val="auto"/>
        </w:rPr>
      </w:pPr>
    </w:p>
    <w:p>
      <w:pPr>
        <w:ind w:left="228"/>
        <w:spacing w:after="0"/>
        <w:tabs>
          <w:tab w:leader="none" w:pos="628"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UNITED COMMUNITY BANKS, INC.</w:t>
      </w:r>
    </w:p>
    <w:p>
      <w:pPr>
        <w:spacing w:after="0" w:line="29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i w:val="1"/>
          <w:iCs w:val="1"/>
          <w:color w:val="auto"/>
        </w:rPr>
        <w: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Jefferson L. Harralson</w:t>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-86995</wp:posOffset>
            </wp:positionV>
            <wp:extent cx="33718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Executive Vice President and</w:t>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5201285</wp:posOffset>
            </wp:positionH>
            <wp:positionV relativeFrom="paragraph">
              <wp:posOffset>116205</wp:posOffset>
            </wp:positionV>
            <wp:extent cx="1971675" cy="502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71675"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u w:val="single" w:color="auto"/>
          <w:color w:val="auto"/>
        </w:rPr>
        <w:t>For Immediate Release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 more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Jefferson Harralson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(864) 240-6208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Jefferson_Harralson@ucbi.com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UNITED COMMUNITY BANKS, INC. AND 21</w:t>
      </w:r>
      <w:r>
        <w:rPr>
          <w:rFonts w:ascii="Times New Roman" w:cs="Times New Roman" w:eastAsia="Times New Roman" w:hAnsi="Times New Roman"/>
          <w:sz w:val="19"/>
          <w:szCs w:val="19"/>
          <w:b w:val="1"/>
          <w:bCs w:val="1"/>
          <w:color w:val="auto"/>
          <w:vertAlign w:val="superscript"/>
        </w:rPr>
        <w:t>ST</w:t>
      </w:r>
      <w:r>
        <w:rPr>
          <w:rFonts w:ascii="Times New Roman" w:cs="Times New Roman" w:eastAsia="Times New Roman" w:hAnsi="Times New Roman"/>
          <w:sz w:val="12"/>
          <w:szCs w:val="12"/>
          <w:b w:val="1"/>
          <w:bCs w:val="1"/>
          <w:color w:val="auto"/>
        </w:rPr>
        <w:t xml:space="preserve"> MORTGAGE CORPORATION CLOSE SALE OF MANUFACTURED HOUSING LOAN PORTFOLIO</w:t>
      </w:r>
    </w:p>
    <w:p>
      <w:pPr>
        <w:spacing w:after="0" w:line="99"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12"/>
          <w:szCs w:val="12"/>
          <w:color w:val="auto"/>
        </w:rPr>
        <w:t>GREENVILLE, SC, September 3, 2024 – United Community Banks, Inc. (NYSE: UCB) (“United”) announced today the August 30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closing of the sale of substantially all of its manufactured housing loan portfolio, totaling $318.2 million, to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Mortgage Corporation, a division of Clayton Homes. The business was part of the Reliant Bancorp, Inc. acquisition in January of 2022. The portfolio had been in runoff following United’s decision to cease originations in the third quarter of 2023.</w:t>
      </w:r>
    </w:p>
    <w:p>
      <w:pPr>
        <w:spacing w:after="0" w:line="13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2"/>
          <w:szCs w:val="12"/>
          <w:color w:val="auto"/>
        </w:rPr>
        <w:t>“Rather than continue to slowly liquidate the portfolio through normal collections, we took this opportunity to accelerate our exit from this business,” said Lynn Harton, Chairman and CEO. “21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Mortgage Corporation is the premier lender in this area with great capability to service the customers. In addition to removing a management distraction, the sale also reduces our risk profile slightly. While only 2% of loans, the portfolio represented 11% of our YTD net charge offs and 18% of our non-performing assets.” Harton continued, “After the one-time loss on the sale of the portfolio, we do not expect any ongoing effect on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4" w:name="page5"/>
    <w:bookmarkEnd w:id="4"/>
    <w:p>
      <w:pPr>
        <w:jc w:val="both"/>
        <w:spacing w:after="0" w:line="279" w:lineRule="auto"/>
        <w:rPr>
          <w:sz w:val="20"/>
          <w:szCs w:val="20"/>
          <w:color w:val="auto"/>
        </w:rPr>
      </w:pPr>
      <w:r>
        <w:rPr>
          <w:rFonts w:ascii="Times New Roman" w:cs="Times New Roman" w:eastAsia="Times New Roman" w:hAnsi="Times New Roman"/>
          <w:sz w:val="12"/>
          <w:szCs w:val="12"/>
          <w:color w:val="auto"/>
        </w:rPr>
        <w:t>Including the approximately $11.5 million release of its associated reserve, transaction costs, and other accounting influences, United estimates an $0.18 per share impact to third quarter results. The transaction is slightly accretive to regulatory capital ratios.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Stephens Inc. served as United’s exclusive financial advisor for the transaction.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About United Community Banks, Inc.</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United Community Banks, Inc. (NYSE: UCB) is the financial holding company for United Community, a top 100 U.S. financial institution that is committed to improving the financial health and well-being of its customers and the communities it serves. United Community provides a full range of banking, wealth management and mortgage services. As of June 30, 2024, United Community Banks, Inc. had $27.1 billion in assets, 203 offices across Alabama, Florida, Georgia, North Carolina, South Carolina, and Tennessee, as well as a national SBA lending franchise and a national equipment lending subsidiary. In 2024, United Community became a 10-time winner of J.D. Power’s award for the best customer satisfaction among consumer banks in the Southeast region and was recognized as the most trusted bank in the Southeast. In 2023, United was named by American Banker as one of the “Best Banks to Work For” for the seventh consecutive year and was recognized in the Greenwich Excellence and Best Brands Awards, receiving 15 awards that included national honors for overall satisfaction in small business banking and middle market banking. Forbes has also consistently listed United Community as one of the World’s Best Banks and one of America’s Best Banks. Additional information about United can be found at </w:t>
      </w:r>
      <w:r>
        <w:rPr>
          <w:rFonts w:ascii="Times New Roman" w:cs="Times New Roman" w:eastAsia="Times New Roman" w:hAnsi="Times New Roman"/>
          <w:sz w:val="12"/>
          <w:szCs w:val="12"/>
          <w:u w:val="single" w:color="auto"/>
          <w:color w:val="auto"/>
        </w:rPr>
        <w:t>ucbi.com</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auto"/>
        </w:rPr>
        <w:t>CAUTIONARY STATEMENT</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Section 27A of the Securities Act of 1933, as amended, and Section 21E of the Securities Exchange Act of 1934, as amended. In general, forward-looking statements usually may be identified through use of words such as “may,” “believe,” “expect,” “anticipate,” “intend,” “will,” “should,” “plan,” “estimate,” “predict,” “continue” and “potential,” or the negative of these terms or other comparable terminology. Forward-looking statements are not historical facts and represent management’s beliefs, based upon information available at the time the statements are made, with regard to the matters addressed; they are not guarantees of future performance. Actual results may prove to be materially different from the results expressed or implied by the forward-looking statements. Forward-looking statements are subject to numerous assumptions, risks and uncertainties that change over time and could cause actual results or financial conditions to differ materially from those expressed in or implied by such statements. Factors that could cause or contribute to such differences include, but are not limited to general competitive, economic, political, regulatory and market conditions. Further information regarding additional factors which could affect the forward-looking statements contained in this Press Release can be found in the cautionary language included under the headings “Cautionary Note Regarding Forward[1]Looking Statements” and “Risk Factors” in United’s Annual Report on Form 10-K for the year ended December 31, 2023 and other documents subsequently filed by United with the United States Securities and Exchange Commission (“SEC”). Many of these factors are beyond United’s ability to control or predict. If one or more events related to these or other risks or uncertainties materialize, or if the underlying assumptions prove to be incorrect, actual results may differ materially from the forward-looking statements. Accordingly, shareholders and investors should not place undue reliance on any such forward-looking statements. Any forward-looking statement speaks only as of the date of this communication, and United undertakes no obligation to update or revise any forward-looking statements, whether as a result of new information, future events or otherwise, except as required by law. New risks and uncertainties may emerge from time to time, and it is not possible for United to predict their occurrence or how they will affect United. United qualifies all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 w:name="page7"/>
    <w:bookmarkEnd w:id="6"/>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6635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663511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6635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6635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6635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6635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2024-09-03T08:36:58Z</dcterms:created>
  <dcterms:modified xsi:type="dcterms:W3CDTF">2024-09-03T08:36:58Z</dcterms:modified>
</cp:coreProperties>
</file>