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2820" w:hanging="315"/>
        <w:spacing w:after="0"/>
        <w:tabs>
          <w:tab w:leader="none" w:pos="2820" w:val="left"/>
        </w:tabs>
        <w:numPr>
          <w:ilvl w:val="0"/>
          <w:numId w:val="1"/>
        </w:numPr>
        <w:rPr>
          <w:rFonts w:ascii="Arial" w:cs="Arial" w:eastAsia="Arial" w:hAnsi="Arial"/>
          <w:sz w:val="18"/>
          <w:szCs w:val="18"/>
          <w:b w:val="1"/>
          <w:bCs w:val="1"/>
          <w:color w:val="auto"/>
        </w:rPr>
      </w:pPr>
      <w:r>
        <w:rPr>
          <w:rFonts w:ascii="Arial" w:cs="Arial" w:eastAsia="Arial" w:hAnsi="Arial"/>
          <w:sz w:val="22"/>
          <w:szCs w:val="22"/>
          <w:b w:val="1"/>
          <w:bCs w:val="1"/>
          <w:color w:val="auto"/>
        </w:rPr>
        <w:t>QUARTERLY REPORT PURSUANT TO SECTION 13 OR 15(d)</w:t>
      </w:r>
    </w:p>
    <w:p>
      <w:pPr>
        <w:spacing w:after="0" w:line="14" w:lineRule="exact"/>
        <w:rPr>
          <w:rFonts w:ascii="Arial" w:cs="Arial" w:eastAsia="Arial" w:hAnsi="Arial"/>
          <w:sz w:val="18"/>
          <w:szCs w:val="18"/>
          <w:b w:val="1"/>
          <w:bCs w:val="1"/>
          <w:color w:val="auto"/>
        </w:rPr>
      </w:pPr>
    </w:p>
    <w:p>
      <w:pPr>
        <w:ind w:left="3300"/>
        <w:spacing w:after="0"/>
        <w:rPr>
          <w:rFonts w:ascii="Arial" w:cs="Arial" w:eastAsia="Arial" w:hAnsi="Arial"/>
          <w:sz w:val="18"/>
          <w:szCs w:val="18"/>
          <w:b w:val="1"/>
          <w:bCs w:val="1"/>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2820" w:hanging="322"/>
        <w:spacing w:after="0"/>
        <w:tabs>
          <w:tab w:leader="none" w:pos="2820" w:val="left"/>
        </w:tabs>
        <w:numPr>
          <w:ilvl w:val="0"/>
          <w:numId w:val="2"/>
        </w:numPr>
        <w:rPr>
          <w:rFonts w:ascii="Arial" w:cs="Arial" w:eastAsia="Arial" w:hAnsi="Arial"/>
          <w:sz w:val="18"/>
          <w:szCs w:val="18"/>
          <w:b w:val="1"/>
          <w:bCs w:val="1"/>
          <w:color w:val="auto"/>
        </w:rPr>
      </w:pPr>
      <w:r>
        <w:rPr>
          <w:rFonts w:ascii="Arial" w:cs="Arial" w:eastAsia="Arial" w:hAnsi="Arial"/>
          <w:sz w:val="22"/>
          <w:szCs w:val="22"/>
          <w:b w:val="1"/>
          <w:bCs w:val="1"/>
          <w:color w:val="auto"/>
        </w:rPr>
        <w:t>TRANSITION REPORT PURSUANT TO SECTION 13 OR 15(d)</w:t>
      </w:r>
    </w:p>
    <w:p>
      <w:pPr>
        <w:spacing w:after="0" w:line="14" w:lineRule="exact"/>
        <w:rPr>
          <w:rFonts w:ascii="Arial" w:cs="Arial" w:eastAsia="Arial" w:hAnsi="Arial"/>
          <w:sz w:val="18"/>
          <w:szCs w:val="18"/>
          <w:b w:val="1"/>
          <w:bCs w:val="1"/>
          <w:color w:val="auto"/>
        </w:rPr>
      </w:pPr>
    </w:p>
    <w:p>
      <w:pPr>
        <w:ind w:left="3300"/>
        <w:spacing w:after="0"/>
        <w:rPr>
          <w:rFonts w:ascii="Arial" w:cs="Arial" w:eastAsia="Arial" w:hAnsi="Arial"/>
          <w:sz w:val="18"/>
          <w:szCs w:val="18"/>
          <w:b w:val="1"/>
          <w:bCs w:val="1"/>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27" w:lineRule="exact"/>
        <w:rPr>
          <w:sz w:val="24"/>
          <w:szCs w:val="24"/>
          <w:color w:val="auto"/>
        </w:rPr>
      </w:pPr>
    </w:p>
    <w:p>
      <w:pPr>
        <w:ind w:left="2340"/>
        <w:spacing w:after="0"/>
        <w:rPr>
          <w:sz w:val="20"/>
          <w:szCs w:val="20"/>
          <w:color w:val="auto"/>
        </w:rPr>
      </w:pPr>
      <w:r>
        <w:rPr>
          <w:rFonts w:ascii="Arial" w:cs="Arial" w:eastAsia="Arial" w:hAnsi="Arial"/>
          <w:sz w:val="43"/>
          <w:szCs w:val="43"/>
          <w:b w:val="1"/>
          <w:bCs w:val="1"/>
          <w:u w:val="single" w:color="auto"/>
          <w:color w:val="auto"/>
        </w:rPr>
        <w:t>UNITED COMMUNITY BANKS, INC.</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41"/>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9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58-1807304</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(State of Incorporation)</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(I.R.S. Employer Identification No.)</w:t>
            </w:r>
          </w:p>
        </w:tc>
        <w:tc>
          <w:tcPr>
            <w:tcW w:w="60" w:type="dxa"/>
            <w:vAlign w:val="bottom"/>
          </w:tcPr>
          <w:p>
            <w:pPr>
              <w:spacing w:after="0"/>
              <w:rPr>
                <w:sz w:val="20"/>
                <w:szCs w:val="20"/>
                <w:color w:val="auto"/>
              </w:rPr>
            </w:pPr>
          </w:p>
        </w:tc>
      </w:tr>
      <w:tr>
        <w:trPr>
          <w:trHeight w:val="666"/>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125 Highway 515 East</w:t>
            </w:r>
          </w:p>
        </w:tc>
        <w:tc>
          <w:tcPr>
            <w:tcW w:w="2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1"/>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6940" w:type="dxa"/>
            <w:vAlign w:val="bottom"/>
            <w:gridSpan w:val="5"/>
          </w:tcPr>
          <w:p>
            <w:pPr>
              <w:jc w:val="right"/>
              <w:ind w:right="470"/>
              <w:spacing w:after="0"/>
              <w:rPr>
                <w:sz w:val="20"/>
                <w:szCs w:val="20"/>
                <w:color w:val="auto"/>
              </w:rPr>
            </w:pPr>
            <w:r>
              <w:rPr>
                <w:rFonts w:ascii="Arial" w:cs="Arial" w:eastAsia="Arial" w:hAnsi="Arial"/>
                <w:sz w:val="18"/>
                <w:szCs w:val="18"/>
                <w:b w:val="1"/>
                <w:bCs w:val="1"/>
                <w:color w:val="auto"/>
              </w:rPr>
              <w:t>30512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8"/>
        </w:trPr>
        <w:tc>
          <w:tcPr>
            <w:tcW w:w="20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Address of Principal</w:t>
            </w:r>
          </w:p>
        </w:tc>
        <w:tc>
          <w:tcPr>
            <w:tcW w:w="2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(Zip Code)</w:t>
            </w:r>
          </w:p>
        </w:tc>
        <w:tc>
          <w:tcPr>
            <w:tcW w:w="300" w:type="dxa"/>
            <w:vAlign w:val="bottom"/>
            <w:gridSpan w:val="2"/>
          </w:tcPr>
          <w:p>
            <w:pPr>
              <w:spacing w:after="0"/>
              <w:rPr>
                <w:sz w:val="17"/>
                <w:szCs w:val="17"/>
                <w:color w:val="auto"/>
              </w:rPr>
            </w:pPr>
          </w:p>
        </w:tc>
      </w:tr>
      <w:tr>
        <w:trPr>
          <w:trHeight w:val="234"/>
        </w:trPr>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Offices</w:t>
            </w:r>
          </w:p>
        </w:tc>
        <w:tc>
          <w:tcPr>
            <w:tcW w:w="2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9"/>
        </w:trPr>
        <w:tc>
          <w:tcPr>
            <w:tcW w:w="2080" w:type="dxa"/>
            <w:vAlign w:val="bottom"/>
          </w:tcPr>
          <w:p>
            <w:pPr>
              <w:spacing w:after="0"/>
              <w:rPr>
                <w:sz w:val="24"/>
                <w:szCs w:val="24"/>
                <w:color w:val="auto"/>
              </w:rPr>
            </w:pPr>
          </w:p>
        </w:tc>
        <w:tc>
          <w:tcPr>
            <w:tcW w:w="3280" w:type="dxa"/>
            <w:vAlign w:val="bottom"/>
            <w:gridSpan w:val="2"/>
          </w:tcPr>
          <w:p>
            <w:pPr>
              <w:jc w:val="right"/>
              <w:spacing w:after="0"/>
              <w:rPr>
                <w:sz w:val="20"/>
                <w:szCs w:val="20"/>
                <w:color w:val="auto"/>
              </w:rPr>
            </w:pPr>
            <w:r>
              <w:rPr>
                <w:rFonts w:ascii="Arial" w:cs="Arial" w:eastAsia="Arial" w:hAnsi="Arial"/>
                <w:sz w:val="18"/>
                <w:szCs w:val="18"/>
                <w:b w:val="1"/>
                <w:bCs w:val="1"/>
                <w:color w:val="auto"/>
              </w:rPr>
              <w:t>(706) 781-2265</w:t>
            </w: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20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r>
      <w:tr>
        <w:trPr>
          <w:trHeight w:val="237"/>
        </w:trPr>
        <w:tc>
          <w:tcPr>
            <w:tcW w:w="2080" w:type="dxa"/>
            <w:vAlign w:val="bottom"/>
          </w:tcPr>
          <w:p>
            <w:pPr>
              <w:spacing w:after="0"/>
              <w:rPr>
                <w:sz w:val="20"/>
                <w:szCs w:val="20"/>
                <w:color w:val="auto"/>
              </w:rPr>
            </w:pPr>
          </w:p>
        </w:tc>
        <w:tc>
          <w:tcPr>
            <w:tcW w:w="724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225"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30" w:lineRule="exact"/>
        <w:rPr>
          <w:sz w:val="24"/>
          <w:szCs w:val="24"/>
          <w:color w:val="auto"/>
        </w:rPr>
      </w:pPr>
    </w:p>
    <w:p>
      <w:pPr>
        <w:ind w:left="6980"/>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230" w:lineRule="exact"/>
        <w:rPr>
          <w:sz w:val="24"/>
          <w:szCs w:val="24"/>
          <w:color w:val="auto"/>
        </w:rPr>
      </w:pPr>
    </w:p>
    <w:p>
      <w:pPr>
        <w:ind w:left="6920"/>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or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530" w:right="239" w:bottom="1440" w:gutter="0" w:footer="0" w:header="0"/>
        </w:sectPr>
      </w:pP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Large accelerated filer o</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Accelerated filer x</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Smaller Reporting Company o</w:t>
      </w:r>
    </w:p>
    <w:p>
      <w:pPr>
        <w:spacing w:after="0" w:line="200" w:lineRule="exact"/>
        <w:rPr>
          <w:sz w:val="24"/>
          <w:szCs w:val="24"/>
          <w:color w:val="auto"/>
        </w:rPr>
      </w:pPr>
    </w:p>
    <w:p>
      <w:pPr>
        <w:sectPr>
          <w:pgSz w:w="11900" w:h="16838" w:orient="portrait"/>
          <w:cols w:equalWidth="0" w:num="2">
            <w:col w:w="8340" w:space="720"/>
            <w:col w:w="2360"/>
          </w:cols>
          <w:pgMar w:left="240" w:top="530" w:right="239" w:bottom="1440" w:gutter="0" w:footer="0" w:header="0"/>
          <w:type w:val="continuous"/>
        </w:sectPr>
      </w:pP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248" w:lineRule="exact"/>
        <w:rPr>
          <w:sz w:val="24"/>
          <w:szCs w:val="24"/>
          <w:color w:val="auto"/>
        </w:rPr>
      </w:pPr>
    </w:p>
    <w:p>
      <w:pPr>
        <w:ind w:left="5680"/>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530" w:right="239" w:bottom="1440" w:gutter="0" w:footer="0" w:header="0"/>
          <w:type w:val="continuous"/>
        </w:sectPr>
      </w:pP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43,071,080 shares voting and 14,703,636 shares non-voting outstanding as of April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Arial" w:cs="Arial" w:eastAsia="Arial" w:hAnsi="Arial"/>
                <w:sz w:val="18"/>
                <w:szCs w:val="18"/>
                <w:b w:val="1"/>
                <w:bCs w:val="1"/>
                <w:color w:val="auto"/>
              </w:rPr>
              <w:t>INDEX</w:t>
            </w:r>
          </w:p>
        </w:tc>
        <w:tc>
          <w:tcPr>
            <w:tcW w:w="9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675"/>
        </w:trPr>
        <w:tc>
          <w:tcPr>
            <w:tcW w:w="10920" w:type="dxa"/>
            <w:vAlign w:val="bottom"/>
            <w:gridSpan w:val="2"/>
          </w:tcPr>
          <w:p>
            <w:pPr>
              <w:ind w:left="340"/>
              <w:spacing w:after="0"/>
              <w:rPr>
                <w:sz w:val="20"/>
                <w:szCs w:val="20"/>
                <w:color w:val="auto"/>
              </w:rPr>
            </w:pPr>
            <w:r>
              <w:rPr>
                <w:rFonts w:ascii="Arial" w:cs="Arial" w:eastAsia="Arial" w:hAnsi="Arial"/>
                <w:sz w:val="18"/>
                <w:szCs w:val="18"/>
                <w:b w:val="1"/>
                <w:bCs w:val="1"/>
                <w:color w:val="0000FF"/>
              </w:rPr>
              <w:t>PART I - Financial Information</w:t>
            </w:r>
          </w:p>
        </w:tc>
        <w:tc>
          <w:tcPr>
            <w:tcW w:w="500" w:type="dxa"/>
            <w:vAlign w:val="bottom"/>
          </w:tcPr>
          <w:p>
            <w:pPr>
              <w:spacing w:after="0"/>
              <w:rPr>
                <w:sz w:val="24"/>
                <w:szCs w:val="24"/>
                <w:color w:val="auto"/>
              </w:rPr>
            </w:pPr>
          </w:p>
        </w:tc>
      </w:tr>
      <w:tr>
        <w:trPr>
          <w:trHeight w:val="432"/>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1.</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Financial Statements.</w:t>
            </w:r>
          </w:p>
        </w:tc>
        <w:tc>
          <w:tcPr>
            <w:tcW w:w="500" w:type="dxa"/>
            <w:vAlign w:val="bottom"/>
          </w:tcPr>
          <w:p>
            <w:pPr>
              <w:spacing w:after="0"/>
              <w:rPr>
                <w:sz w:val="24"/>
                <w:szCs w:val="24"/>
                <w:color w:val="auto"/>
              </w:rPr>
            </w:pPr>
          </w:p>
        </w:tc>
      </w:tr>
      <w:tr>
        <w:trPr>
          <w:trHeight w:val="432"/>
        </w:trPr>
        <w:tc>
          <w:tcPr>
            <w:tcW w:w="1700" w:type="dxa"/>
            <w:vAlign w:val="bottom"/>
          </w:tcPr>
          <w:p>
            <w:pPr>
              <w:spacing w:after="0"/>
              <w:rPr>
                <w:sz w:val="24"/>
                <w:szCs w:val="24"/>
                <w:color w:val="auto"/>
              </w:rPr>
            </w:pP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Consolidated Statement of Income (unaudited) for the Three Months Ended March 31, 2013 and 2012</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4"/>
        </w:trPr>
        <w:tc>
          <w:tcPr>
            <w:tcW w:w="1700" w:type="dxa"/>
            <w:vAlign w:val="bottom"/>
          </w:tcPr>
          <w:p>
            <w:pPr>
              <w:spacing w:after="0"/>
              <w:rPr>
                <w:sz w:val="24"/>
                <w:szCs w:val="24"/>
                <w:color w:val="auto"/>
              </w:rPr>
            </w:pP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w w:val="93"/>
              </w:rPr>
              <w:t>Consolidated Statement of Comprehensive Income (unaudited) for the Three Months Ended March 31, 2013 and</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4"/>
        </w:trPr>
        <w:tc>
          <w:tcPr>
            <w:tcW w:w="170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b w:val="1"/>
                <w:bCs w:val="1"/>
                <w:color w:val="0000FF"/>
              </w:rPr>
              <w:t>2012</w:t>
            </w:r>
          </w:p>
        </w:tc>
        <w:tc>
          <w:tcPr>
            <w:tcW w:w="50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w w:val="97"/>
              </w:rPr>
              <w:t>Consolidated Balance Sheet at March 31, 2013 (unaudited), December 31, 2012 (audited) and March 31, 2012</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4"/>
        </w:trPr>
        <w:tc>
          <w:tcPr>
            <w:tcW w:w="170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b w:val="1"/>
                <w:bCs w:val="1"/>
                <w:color w:val="0000FF"/>
              </w:rPr>
              <w:t>(unaudited)</w:t>
            </w:r>
          </w:p>
        </w:tc>
        <w:tc>
          <w:tcPr>
            <w:tcW w:w="500" w:type="dxa"/>
            <w:vAlign w:val="bottom"/>
          </w:tcPr>
          <w:p>
            <w:pPr>
              <w:spacing w:after="0"/>
              <w:rPr>
                <w:sz w:val="20"/>
                <w:szCs w:val="20"/>
                <w:color w:val="auto"/>
              </w:rPr>
            </w:pPr>
          </w:p>
        </w:tc>
      </w:tr>
      <w:tr>
        <w:trPr>
          <w:trHeight w:val="414"/>
        </w:trPr>
        <w:tc>
          <w:tcPr>
            <w:tcW w:w="1700" w:type="dxa"/>
            <w:vAlign w:val="bottom"/>
          </w:tcPr>
          <w:p>
            <w:pPr>
              <w:spacing w:after="0"/>
              <w:rPr>
                <w:sz w:val="24"/>
                <w:szCs w:val="24"/>
                <w:color w:val="auto"/>
              </w:rPr>
            </w:pP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w w:val="94"/>
              </w:rPr>
              <w:t>Consolidated Statement of Changes in Shareholders’ Equity (unaudited) for the Three Months Ended March 31,</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4"/>
        </w:trPr>
        <w:tc>
          <w:tcPr>
            <w:tcW w:w="1700" w:type="dxa"/>
            <w:vAlign w:val="bottom"/>
          </w:tcPr>
          <w:p>
            <w:pPr>
              <w:spacing w:after="0"/>
              <w:rPr>
                <w:sz w:val="20"/>
                <w:szCs w:val="20"/>
                <w:color w:val="auto"/>
              </w:rPr>
            </w:pPr>
          </w:p>
        </w:tc>
        <w:tc>
          <w:tcPr>
            <w:tcW w:w="9220" w:type="dxa"/>
            <w:vAlign w:val="bottom"/>
          </w:tcPr>
          <w:p>
            <w:pPr>
              <w:ind w:left="400"/>
              <w:spacing w:after="0"/>
              <w:rPr>
                <w:sz w:val="20"/>
                <w:szCs w:val="20"/>
                <w:color w:val="auto"/>
              </w:rPr>
            </w:pPr>
            <w:r>
              <w:rPr>
                <w:rFonts w:ascii="Arial" w:cs="Arial" w:eastAsia="Arial" w:hAnsi="Arial"/>
                <w:sz w:val="18"/>
                <w:szCs w:val="18"/>
                <w:b w:val="1"/>
                <w:bCs w:val="1"/>
                <w:color w:val="0000FF"/>
              </w:rPr>
              <w:t>2013 and 2012</w:t>
            </w:r>
          </w:p>
        </w:tc>
        <w:tc>
          <w:tcPr>
            <w:tcW w:w="500" w:type="dxa"/>
            <w:vAlign w:val="bottom"/>
          </w:tcPr>
          <w:p>
            <w:pPr>
              <w:spacing w:after="0"/>
              <w:rPr>
                <w:sz w:val="20"/>
                <w:szCs w:val="20"/>
                <w:color w:val="auto"/>
              </w:rPr>
            </w:pPr>
          </w:p>
        </w:tc>
      </w:tr>
      <w:tr>
        <w:trPr>
          <w:trHeight w:val="432"/>
        </w:trPr>
        <w:tc>
          <w:tcPr>
            <w:tcW w:w="1700" w:type="dxa"/>
            <w:vAlign w:val="bottom"/>
          </w:tcPr>
          <w:p>
            <w:pPr>
              <w:spacing w:after="0"/>
              <w:rPr>
                <w:sz w:val="24"/>
                <w:szCs w:val="24"/>
                <w:color w:val="auto"/>
              </w:rPr>
            </w:pP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Consolidated Statement of Cash Flows (unaudited) for the Three Months Ended March 31, 2013 and 2012</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1700" w:type="dxa"/>
            <w:vAlign w:val="bottom"/>
          </w:tcPr>
          <w:p>
            <w:pPr>
              <w:spacing w:after="0"/>
              <w:rPr>
                <w:sz w:val="24"/>
                <w:szCs w:val="24"/>
                <w:color w:val="auto"/>
              </w:rPr>
            </w:pP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Notes to Consolidated Financial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2.</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Management’s Discussion and Analysis of Financial Condition and Results of Operations.</w:t>
            </w:r>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3.</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4.</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Controls and Procedures.</w:t>
            </w: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10920" w:type="dxa"/>
            <w:vAlign w:val="bottom"/>
            <w:gridSpan w:val="2"/>
          </w:tcPr>
          <w:p>
            <w:pPr>
              <w:ind w:left="340"/>
              <w:spacing w:after="0"/>
              <w:rPr>
                <w:sz w:val="20"/>
                <w:szCs w:val="20"/>
                <w:color w:val="auto"/>
              </w:rPr>
            </w:pPr>
            <w:r>
              <w:rPr>
                <w:rFonts w:ascii="Arial" w:cs="Arial" w:eastAsia="Arial" w:hAnsi="Arial"/>
                <w:sz w:val="18"/>
                <w:szCs w:val="18"/>
                <w:b w:val="1"/>
                <w:bCs w:val="1"/>
                <w:color w:val="0000FF"/>
              </w:rPr>
              <w:t>PART II - Other Information</w:t>
            </w:r>
          </w:p>
        </w:tc>
        <w:tc>
          <w:tcPr>
            <w:tcW w:w="500" w:type="dxa"/>
            <w:vAlign w:val="bottom"/>
          </w:tcPr>
          <w:p>
            <w:pPr>
              <w:spacing w:after="0"/>
              <w:rPr>
                <w:sz w:val="24"/>
                <w:szCs w:val="24"/>
                <w:color w:val="auto"/>
              </w:rPr>
            </w:pPr>
          </w:p>
        </w:tc>
      </w:tr>
      <w:tr>
        <w:trPr>
          <w:trHeight w:val="414"/>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1.</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Legal Proceedings.</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1A.</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2.</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Unregistered Sales of Equity Securities and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3.</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Defaults Upon Senior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4.</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Mine Safety Disclosures.</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5.</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Other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4"/>
        </w:trPr>
        <w:tc>
          <w:tcPr>
            <w:tcW w:w="1700" w:type="dxa"/>
            <w:vAlign w:val="bottom"/>
          </w:tcPr>
          <w:p>
            <w:pPr>
              <w:ind w:left="800"/>
              <w:spacing w:after="0"/>
              <w:rPr>
                <w:sz w:val="20"/>
                <w:szCs w:val="20"/>
                <w:color w:val="auto"/>
              </w:rPr>
            </w:pPr>
            <w:r>
              <w:rPr>
                <w:rFonts w:ascii="Arial" w:cs="Arial" w:eastAsia="Arial" w:hAnsi="Arial"/>
                <w:sz w:val="18"/>
                <w:szCs w:val="18"/>
                <w:b w:val="1"/>
                <w:bCs w:val="1"/>
                <w:color w:val="0000FF"/>
              </w:rPr>
              <w:t>Item 6.</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0000FF"/>
              </w:rPr>
              <w:t>Exhibits.</w:t>
            </w: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608"/>
        </w:trPr>
        <w:tc>
          <w:tcPr>
            <w:tcW w:w="1700" w:type="dxa"/>
            <w:vAlign w:val="bottom"/>
          </w:tcPr>
          <w:p>
            <w:pPr>
              <w:spacing w:after="0"/>
              <w:rPr>
                <w:sz w:val="24"/>
                <w:szCs w:val="24"/>
                <w:color w:val="auto"/>
              </w:rPr>
            </w:pPr>
          </w:p>
        </w:tc>
        <w:tc>
          <w:tcPr>
            <w:tcW w:w="9220" w:type="dxa"/>
            <w:vAlign w:val="bottom"/>
          </w:tcPr>
          <w:p>
            <w:pPr>
              <w:ind w:left="39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r>
      <w:tr>
        <w:trPr>
          <w:trHeight w:val="108"/>
        </w:trPr>
        <w:tc>
          <w:tcPr>
            <w:tcW w:w="1700" w:type="dxa"/>
            <w:vAlign w:val="bottom"/>
            <w:tcBorders>
              <w:bottom w:val="single" w:sz="8" w:color="808080"/>
            </w:tcBorders>
          </w:tcPr>
          <w:p>
            <w:pPr>
              <w:spacing w:after="0"/>
              <w:rPr>
                <w:sz w:val="9"/>
                <w:szCs w:val="9"/>
                <w:color w:val="auto"/>
              </w:rPr>
            </w:pPr>
          </w:p>
        </w:tc>
        <w:tc>
          <w:tcPr>
            <w:tcW w:w="9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gridSpan w:val="3"/>
          </w:tcPr>
          <w:p>
            <w:pPr>
              <w:spacing w:after="0" w:line="202" w:lineRule="exact"/>
              <w:rPr>
                <w:sz w:val="20"/>
                <w:szCs w:val="20"/>
                <w:color w:val="auto"/>
              </w:rPr>
            </w:pPr>
            <w:r>
              <w:rPr>
                <w:rFonts w:ascii="Arial" w:cs="Arial" w:eastAsia="Arial" w:hAnsi="Arial"/>
                <w:sz w:val="18"/>
                <w:szCs w:val="18"/>
                <w:i w:val="1"/>
                <w:iCs w:val="1"/>
                <w:color w:val="auto"/>
              </w:rPr>
              <w:t>(in thousands, except per share data)</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41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Loans, including fees</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50,934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securities, including tax exempt of $212 and $250</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Deposits in banks and short-term investments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Total interest revenue</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Deposits: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NOW</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Money market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Savings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Time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960"/>
              <w:spacing w:after="0"/>
              <w:rPr>
                <w:sz w:val="20"/>
                <w:szCs w:val="20"/>
                <w:color w:val="auto"/>
              </w:rPr>
            </w:pPr>
            <w:r>
              <w:rPr>
                <w:rFonts w:ascii="Arial" w:cs="Arial" w:eastAsia="Arial" w:hAnsi="Arial"/>
                <w:sz w:val="18"/>
                <w:szCs w:val="18"/>
                <w:color w:val="auto"/>
              </w:rPr>
              <w:t>Total deposit interest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Short-term borrowings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Federal Home Loan Bank advances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Total interest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11,357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interest revenue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Provision for loan losses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interest revenue after provision for loan losses</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Fee revenue:</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Service charges and fees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Mortgage loan and other related fees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Brokerage fees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Securities gains, net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from prepayment of debt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Total fee revenue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b w:val="1"/>
                <w:bCs w:val="1"/>
                <w:color w:val="auto"/>
              </w:rPr>
              <w:t>Total revenue</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Salaries and employee benefits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23,592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Communications and equipment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Occupancy</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Advertising and public relations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Postage, printing and supplies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Professional fees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Foreclosed property</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FDIC assessments and other regulatory charges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Amortization of intangibles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Total operating expenses</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46,955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income before income taxes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12,350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Income tax expense</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Net income</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320"/>
              <w:spacing w:after="0"/>
              <w:rPr>
                <w:sz w:val="20"/>
                <w:szCs w:val="20"/>
                <w:color w:val="auto"/>
              </w:rPr>
            </w:pPr>
            <w:r>
              <w:rPr>
                <w:rFonts w:ascii="Arial" w:cs="Arial" w:eastAsia="Arial" w:hAnsi="Arial"/>
                <w:sz w:val="18"/>
                <w:szCs w:val="18"/>
                <w:color w:val="auto"/>
              </w:rPr>
              <w:t>Preferred stock dividends and discount accretion</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Net income available to common shareholders</w:t>
            </w:r>
          </w:p>
        </w:tc>
        <w:tc>
          <w:tcPr>
            <w:tcW w:w="2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Earnings per common share - basic / diluted</w:t>
            </w:r>
          </w:p>
        </w:tc>
        <w:tc>
          <w:tcPr>
            <w:tcW w:w="2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 / diluted</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57,764</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691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March 31,</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80" w:type="dxa"/>
            <w:vAlign w:val="bottom"/>
            <w:gridSpan w:val="3"/>
            <w:vMerge w:val="continue"/>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44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Before-tax</w:t>
            </w:r>
          </w:p>
        </w:tc>
        <w:tc>
          <w:tcPr>
            <w:tcW w:w="1360" w:type="dxa"/>
            <w:vAlign w:val="bottom"/>
            <w:tcBorders>
              <w:top w:val="single" w:sz="8" w:color="auto"/>
            </w:tcBorders>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Tax</w:t>
            </w:r>
          </w:p>
        </w:tc>
        <w:tc>
          <w:tcPr>
            <w:tcW w:w="1160" w:type="dxa"/>
            <w:vAlign w:val="bottom"/>
            <w:tcBorders>
              <w:top w:val="single" w:sz="8" w:color="auto"/>
            </w:tcBorders>
            <w:vMerge w:val="restart"/>
          </w:tcPr>
          <w:p>
            <w:pPr>
              <w:jc w:val="right"/>
              <w:ind w:right="173"/>
              <w:spacing w:after="0"/>
              <w:rPr>
                <w:sz w:val="20"/>
                <w:szCs w:val="20"/>
                <w:color w:val="auto"/>
              </w:rPr>
            </w:pPr>
            <w:r>
              <w:rPr>
                <w:rFonts w:ascii="Arial" w:cs="Arial" w:eastAsia="Arial" w:hAnsi="Arial"/>
                <w:sz w:val="14"/>
                <w:szCs w:val="14"/>
                <w:b w:val="1"/>
                <w:bCs w:val="1"/>
                <w:color w:val="auto"/>
              </w:rPr>
              <w:t>Net of Tax</w:t>
            </w:r>
          </w:p>
        </w:tc>
        <w:tc>
          <w:tcPr>
            <w:tcW w:w="200" w:type="dxa"/>
            <w:vAlign w:val="bottom"/>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Before-tax</w:t>
            </w: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0"/>
              </w:rPr>
              <w:t>Tax</w:t>
            </w: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right"/>
              <w:ind w:right="192"/>
              <w:spacing w:after="0"/>
              <w:rPr>
                <w:sz w:val="20"/>
                <w:szCs w:val="20"/>
                <w:color w:val="auto"/>
              </w:rPr>
            </w:pPr>
            <w:r>
              <w:rPr>
                <w:rFonts w:ascii="Arial" w:cs="Arial" w:eastAsia="Arial" w:hAnsi="Arial"/>
                <w:sz w:val="14"/>
                <w:szCs w:val="14"/>
                <w:b w:val="1"/>
                <w:bCs w:val="1"/>
                <w:color w:val="auto"/>
              </w:rPr>
              <w:t>Net of Tax</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(Expense)</w:t>
            </w:r>
          </w:p>
        </w:tc>
        <w:tc>
          <w:tcPr>
            <w:tcW w:w="116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9"/>
              </w:rPr>
              <w:t>Unrealized (losses) gains on available-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for-sale securities:</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Unrealized holding gains (losses)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arising during period</w:t>
            </w:r>
          </w:p>
        </w:tc>
        <w:tc>
          <w:tcPr>
            <w:tcW w:w="1140" w:type="dxa"/>
            <w:vAlign w:val="bottom"/>
          </w:tcPr>
          <w:p>
            <w:pPr>
              <w:jc w:val="right"/>
              <w:spacing w:after="0"/>
              <w:rPr>
                <w:sz w:val="20"/>
                <w:szCs w:val="20"/>
                <w:color w:val="auto"/>
              </w:rPr>
            </w:pPr>
            <w:r>
              <w:rPr>
                <w:rFonts w:ascii="Arial" w:cs="Arial" w:eastAsia="Arial" w:hAnsi="Arial"/>
                <w:sz w:val="18"/>
                <w:szCs w:val="18"/>
                <w:color w:val="auto"/>
              </w:rPr>
              <w:t>1,641</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(621)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(3,340)</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1,299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9"/>
              </w:rPr>
              <w:t>Reclassification adjustment for gains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included in net income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7"/>
              </w:rPr>
              <w:t>Valuation allowance for the change in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deferred taxes arising from</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unrealized gains and losses on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available-for-sale securities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576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576</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gains (losses)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Amortization of gains included in net</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income (loss) on available-for-sale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securities transferred to held-to-</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maturity</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18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Valuation allowance for the change 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taxes arising from the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amortization of gains included in net</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(loss) on available-for-sale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securities transferred to held-to-</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maturity</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Net unrealized losses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 gains included in net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on terminated derivative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financial instruments that were</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7"/>
              </w:rPr>
              <w:t>previously accounted for as cash flow</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hedges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6"/>
              </w:rPr>
              <w:t>Unrealized losses on derivative financial</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w w:val="93"/>
              </w:rPr>
              <w:t>instruments accounted for as cash flow</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hedges</w:t>
            </w:r>
          </w:p>
        </w:tc>
        <w:tc>
          <w:tcPr>
            <w:tcW w:w="1140" w:type="dxa"/>
            <w:vAlign w:val="bottom"/>
          </w:tcPr>
          <w:p>
            <w:pPr>
              <w:jc w:val="right"/>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Valuation allowance for the change 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6"/>
              </w:rPr>
              <w:t>deferred taxes arising from unrealized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gains and losses and amortization of</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gains included in net income on cash</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flow hedges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Net unrealized losses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Net actuarial loss on defined benefit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pension plan</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Amortization of prior service cost and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actuarial losses included in net</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periodic pension cost for defined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tcPr>
          <w:p>
            <w:pPr>
              <w:ind w:left="320"/>
              <w:spacing w:after="0"/>
              <w:rPr>
                <w:sz w:val="20"/>
                <w:szCs w:val="20"/>
                <w:color w:val="auto"/>
              </w:rPr>
            </w:pPr>
            <w:r>
              <w:rPr>
                <w:rFonts w:ascii="Arial" w:cs="Arial" w:eastAsia="Arial" w:hAnsi="Arial"/>
                <w:sz w:val="18"/>
                <w:szCs w:val="18"/>
                <w:color w:val="auto"/>
              </w:rPr>
              <w:t>benefit pension plan</w:t>
            </w: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Valuation allowance for the change in</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taxes arising from</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reclassification of unamortized prior</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service cost and actuarial losses and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amortization of prior service cost and</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actuarial losses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tcBorders>
              <w:top w:val="single" w:sz="8" w:color="CCEEFF"/>
            </w:tcBorders>
            <w:gridSpan w:val="2"/>
          </w:tcPr>
          <w:p>
            <w:pPr>
              <w:ind w:left="320"/>
              <w:spacing w:after="0" w:line="201" w:lineRule="exact"/>
              <w:rPr>
                <w:sz w:val="20"/>
                <w:szCs w:val="20"/>
                <w:color w:val="auto"/>
              </w:rPr>
            </w:pPr>
            <w:r>
              <w:rPr>
                <w:rFonts w:ascii="Arial" w:cs="Arial" w:eastAsia="Arial" w:hAnsi="Arial"/>
                <w:sz w:val="18"/>
                <w:szCs w:val="18"/>
                <w:color w:val="auto"/>
              </w:rPr>
              <w:t>Net defined benefit pension plan</w:t>
            </w: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60" w:type="dxa"/>
            <w:vAlign w:val="bottom"/>
            <w:gridSpan w:val="2"/>
          </w:tcPr>
          <w:p>
            <w:pPr>
              <w:ind w:left="480"/>
              <w:spacing w:after="0"/>
              <w:rPr>
                <w:sz w:val="20"/>
                <w:szCs w:val="20"/>
                <w:color w:val="auto"/>
              </w:rPr>
            </w:pPr>
            <w:r>
              <w:rPr>
                <w:rFonts w:ascii="Arial" w:cs="Arial" w:eastAsia="Arial" w:hAnsi="Arial"/>
                <w:sz w:val="18"/>
                <w:szCs w:val="18"/>
                <w:color w:val="auto"/>
              </w:rPr>
              <w:t>activity</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shd w:val="clear" w:color="auto" w:fill="CCEEFF"/>
          </w:tcPr>
          <w:p>
            <w:pPr>
              <w:ind w:left="640"/>
              <w:spacing w:after="0" w:line="201" w:lineRule="exact"/>
              <w:rPr>
                <w:sz w:val="20"/>
                <w:szCs w:val="20"/>
                <w:color w:val="auto"/>
              </w:rPr>
            </w:pPr>
            <w:r>
              <w:rPr>
                <w:rFonts w:ascii="Arial" w:cs="Arial" w:eastAsia="Arial" w:hAnsi="Arial"/>
                <w:sz w:val="18"/>
                <w:szCs w:val="18"/>
                <w:color w:val="auto"/>
                <w:w w:val="94"/>
              </w:rPr>
              <w:t>Total other comprehensive income</w:t>
            </w: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(5,756)</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tcPr>
          <w:p>
            <w:pPr>
              <w:ind w:left="640"/>
              <w:spacing w:after="0"/>
              <w:rPr>
                <w:sz w:val="20"/>
                <w:szCs w:val="20"/>
                <w:color w:val="auto"/>
              </w:rPr>
            </w:pPr>
            <w:r>
              <w:rPr>
                <w:rFonts w:ascii="Arial" w:cs="Arial" w:eastAsia="Arial" w:hAnsi="Arial"/>
                <w:sz w:val="18"/>
                <w:szCs w:val="18"/>
                <w:color w:val="auto"/>
              </w:rPr>
              <w:t>Comprehensive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13,165</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12,580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559"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34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6"/>
                <w:szCs w:val="16"/>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208"/>
        </w:trPr>
        <w:tc>
          <w:tcPr>
            <w:tcW w:w="808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share and per share data)</w:t>
            </w:r>
          </w:p>
        </w:tc>
        <w:tc>
          <w:tcPr>
            <w:tcW w:w="140" w:type="dxa"/>
            <w:vAlign w:val="bottom"/>
          </w:tcPr>
          <w:p>
            <w:pPr>
              <w:spacing w:after="0"/>
              <w:rPr>
                <w:sz w:val="18"/>
                <w:szCs w:val="18"/>
                <w:color w:val="auto"/>
              </w:rPr>
            </w:pPr>
          </w:p>
        </w:tc>
        <w:tc>
          <w:tcPr>
            <w:tcW w:w="8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57,638</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66,536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deposits in banks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247,028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Securities available-for-sale</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1,909,426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1,834,593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1,898,815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held-to-maturity (fair value $247,087, $261,131 and $318,490)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231,087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Mortgage loans held for sale</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18,290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28,821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net of unearned income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4,193,560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4,175,008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4,127,566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Less allowance for loan losses</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(105,753)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(107,137)</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(113,601)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Loans,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4,087,807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4,067,871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4,013,965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Assets covered by loss sharing agreements with the FDIC</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42,096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47,467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168,036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Bank owned life insurance</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82,114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81,867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18,302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Goodwill and other intangible assets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4,805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Foreclosed property</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Unsettled securities sales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6,849,368</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6,802,259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7,173,693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Demand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1,298,425</w:t>
            </w:r>
          </w:p>
        </w:tc>
        <w:tc>
          <w:tcPr>
            <w:tcW w:w="2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1,252,605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1,101,757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1,281,454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1,316,453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1,389,016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1,165,836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1,149,912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1,123,734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243,347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Time:</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Less than $100,000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1,019,396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1,055,271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1,207,479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Greater than $100,000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685,174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705,558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796,882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Brokered</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332,220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64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6,025,852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5,952,140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6,000,539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Federal Home Loan Bank advances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Unsettled securities purchases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119,565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6,257,150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6,220,854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6,594,154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Preferred stock, $1 par value; 10,000,000 shares authorized;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A; $10 stated value; 21,700 shares issued and outstanding</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color w:val="auto"/>
              </w:rPr>
              <w:t>Series B; $1,000 stated value; 180,000 shares issued and outstanding</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178,937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178,557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177,451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Series D; $1,000 stated value; 16,613 shares issued and outstanding</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Common stock, $1 par value; 100,000,000 shares authorized;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43,063,761, 42,423,870 and 41,688,647 shares issued and outstanding</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Common stock, non-voting, $1 par value; 30,000,000 shares authorized;</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14,703,636, 15,316,794 and 15,914,209 shares issued and outstanding</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15,317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Common stock issuable; 133,469, 133,238 and 90,126 shares</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surplus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1,059,222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1,057,951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1,056,135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(700,440)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(709,153)</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(722,363)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53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592,218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579,539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6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6,849,368</w:t>
            </w:r>
          </w:p>
        </w:tc>
        <w:tc>
          <w:tcPr>
            <w:tcW w:w="2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6,802,259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7,173,693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9420"/>
        <w:spacing w:after="0"/>
        <w:rPr>
          <w:sz w:val="20"/>
          <w:szCs w:val="20"/>
          <w:color w:val="auto"/>
        </w:rPr>
      </w:pPr>
      <w:r>
        <w:rPr>
          <w:rFonts w:ascii="Arial" w:cs="Arial" w:eastAsia="Arial" w:hAnsi="Arial"/>
          <w:sz w:val="18"/>
          <w:szCs w:val="18"/>
          <w:b w:val="1"/>
          <w:bCs w:val="1"/>
          <w:color w:val="auto"/>
        </w:rPr>
        <w:t>Accumulated</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line="135" w:lineRule="exact"/>
              <w:rPr>
                <w:sz w:val="20"/>
                <w:szCs w:val="20"/>
                <w:color w:val="auto"/>
              </w:rPr>
            </w:pPr>
            <w:r>
              <w:rPr>
                <w:rFonts w:ascii="Arial" w:cs="Arial" w:eastAsia="Arial" w:hAnsi="Arial"/>
                <w:sz w:val="14"/>
                <w:szCs w:val="14"/>
                <w:b w:val="1"/>
                <w:bCs w:val="1"/>
                <w:color w:val="auto"/>
                <w:w w:val="97"/>
              </w:rPr>
              <w:t>Preferred Stock</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Non-Voting</w:t>
            </w:r>
          </w:p>
        </w:tc>
        <w:tc>
          <w:tcPr>
            <w:tcW w:w="8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6"/>
        </w:trPr>
        <w:tc>
          <w:tcPr>
            <w:tcW w:w="18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share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20" w:type="dxa"/>
            <w:vAlign w:val="bottom"/>
          </w:tcPr>
          <w:p>
            <w:pPr>
              <w:spacing w:after="0"/>
              <w:rPr>
                <w:sz w:val="16"/>
                <w:szCs w:val="16"/>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Series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Series</w:t>
            </w:r>
          </w:p>
        </w:tc>
        <w:tc>
          <w:tcPr>
            <w:tcW w:w="2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6"/>
                <w:szCs w:val="16"/>
                <w:color w:val="auto"/>
              </w:rPr>
            </w:pPr>
          </w:p>
        </w:tc>
        <w:tc>
          <w:tcPr>
            <w:tcW w:w="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060" w:type="dxa"/>
            <w:vAlign w:val="bottom"/>
            <w:gridSpan w:val="2"/>
          </w:tcPr>
          <w:p>
            <w:pPr>
              <w:ind w:left="20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1820" w:type="dxa"/>
            <w:vAlign w:val="bottom"/>
            <w:gridSpan w:val="2"/>
          </w:tcPr>
          <w:p>
            <w:pPr>
              <w:spacing w:after="0"/>
              <w:rPr>
                <w:sz w:val="20"/>
                <w:szCs w:val="20"/>
                <w:color w:val="auto"/>
              </w:rPr>
            </w:pPr>
            <w:r>
              <w:rPr>
                <w:rFonts w:ascii="Arial" w:cs="Arial" w:eastAsia="Arial" w:hAnsi="Arial"/>
                <w:sz w:val="14"/>
                <w:szCs w:val="14"/>
                <w:i w:val="1"/>
                <w:iCs w:val="1"/>
                <w:color w:val="auto"/>
              </w:rPr>
              <w:t>and per share data)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w:t>
            </w:r>
          </w:p>
        </w:tc>
        <w:tc>
          <w:tcPr>
            <w:tcW w:w="880" w:type="dxa"/>
            <w:vAlign w:val="bottom"/>
            <w:gridSpan w:val="2"/>
          </w:tcPr>
          <w:p>
            <w:pPr>
              <w:ind w:left="340"/>
              <w:spacing w:after="0"/>
              <w:rPr>
                <w:sz w:val="20"/>
                <w:szCs w:val="20"/>
                <w:color w:val="auto"/>
              </w:rPr>
            </w:pPr>
            <w:r>
              <w:rPr>
                <w:rFonts w:ascii="Arial" w:cs="Arial" w:eastAsia="Arial" w:hAnsi="Arial"/>
                <w:sz w:val="14"/>
                <w:szCs w:val="14"/>
                <w:b w:val="1"/>
                <w:bCs w:val="1"/>
                <w:color w:val="auto"/>
              </w:rPr>
              <w:t>D</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Issuable</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Surplus</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Loss</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98"/>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0"/>
              </w:rPr>
              <w:t>Balance, December 31,</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$ 177,092</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$ 16,613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$ 41,647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$ 1,054,940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(730,861)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$ 575,486</w:t>
            </w: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11,528</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11,528</w:t>
            </w:r>
          </w:p>
        </w:tc>
        <w:tc>
          <w:tcPr>
            <w:tcW w:w="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(5,756)</w:t>
            </w: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w w:val="90"/>
              </w:rPr>
              <w:t>Common stock issued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92"/>
              </w:rPr>
              <w:t>dividend reinvestment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94"/>
              </w:rPr>
              <w:t>and employee benefit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(35,648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and restricted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94"/>
              </w:rPr>
              <w:t>(4,397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88"/>
              </w:rPr>
              <w:t>8,399 shares deferred)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Deferred compensation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including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Shares issued from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compensation 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(1,502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Series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B</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(2,608)</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23"/>
        </w:trPr>
        <w:tc>
          <w:tcPr>
            <w:tcW w:w="20" w:type="dxa"/>
            <w:vAlign w:val="bottom"/>
          </w:tcPr>
          <w:p>
            <w:pPr>
              <w:spacing w:after="0"/>
              <w:rPr>
                <w:sz w:val="19"/>
                <w:szCs w:val="19"/>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Series 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(419)</w:t>
            </w:r>
          </w:p>
        </w:tc>
      </w:tr>
      <w:tr>
        <w:trPr>
          <w:trHeight w:val="198"/>
        </w:trPr>
        <w:tc>
          <w:tcPr>
            <w:tcW w:w="20" w:type="dxa"/>
            <w:vAlign w:val="bottom"/>
          </w:tcPr>
          <w:p>
            <w:pPr>
              <w:spacing w:after="0"/>
              <w:rPr>
                <w:sz w:val="17"/>
                <w:szCs w:val="17"/>
                <w:color w:val="auto"/>
              </w:rPr>
            </w:pPr>
          </w:p>
        </w:tc>
        <w:tc>
          <w:tcPr>
            <w:tcW w:w="18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March 31,</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75"/>
        </w:trPr>
        <w:tc>
          <w:tcPr>
            <w:tcW w:w="20" w:type="dxa"/>
            <w:vAlign w:val="bottom"/>
          </w:tcPr>
          <w:p>
            <w:pPr>
              <w:spacing w:after="0"/>
              <w:rPr>
                <w:sz w:val="23"/>
                <w:szCs w:val="23"/>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$ 177,451</w:t>
            </w: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4"/>
              </w:rPr>
              <w:t>$ 16,613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$ 41,689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2,948</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$ 1,056,135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(722,363)</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$ 579,539</w:t>
            </w:r>
          </w:p>
        </w:tc>
        <w:tc>
          <w:tcPr>
            <w:tcW w:w="60" w:type="dxa"/>
            <w:vAlign w:val="bottom"/>
            <w:shd w:val="clear" w:color="auto" w:fill="CCEEFF"/>
          </w:tcPr>
          <w:p>
            <w:pPr>
              <w:spacing w:after="0"/>
              <w:rPr>
                <w:sz w:val="23"/>
                <w:szCs w:val="23"/>
                <w:color w:val="auto"/>
              </w:rPr>
            </w:pPr>
          </w:p>
        </w:tc>
      </w:tr>
      <w:tr>
        <w:trPr>
          <w:trHeight w:val="191"/>
        </w:trPr>
        <w:tc>
          <w:tcPr>
            <w:tcW w:w="20" w:type="dxa"/>
            <w:vAlign w:val="bottom"/>
          </w:tcPr>
          <w:p>
            <w:pPr>
              <w:spacing w:after="0"/>
              <w:rPr>
                <w:sz w:val="16"/>
                <w:szCs w:val="16"/>
                <w:color w:val="auto"/>
              </w:rPr>
            </w:pPr>
          </w:p>
        </w:tc>
        <w:tc>
          <w:tcPr>
            <w:tcW w:w="1800" w:type="dxa"/>
            <w:vAlign w:val="bottom"/>
            <w:tcBorders>
              <w:top w:val="single" w:sz="8" w:color="CCEEFF"/>
            </w:tcBorders>
          </w:tcPr>
          <w:p>
            <w:pPr>
              <w:spacing w:after="0" w:line="191" w:lineRule="exact"/>
              <w:rPr>
                <w:sz w:val="20"/>
                <w:szCs w:val="20"/>
                <w:color w:val="auto"/>
              </w:rPr>
            </w:pPr>
            <w:r>
              <w:rPr>
                <w:rFonts w:ascii="Arial" w:cs="Arial" w:eastAsia="Arial" w:hAnsi="Arial"/>
                <w:sz w:val="18"/>
                <w:szCs w:val="18"/>
                <w:b w:val="1"/>
                <w:bCs w:val="1"/>
                <w:color w:val="auto"/>
                <w:w w:val="90"/>
              </w:rPr>
              <w:t>Balance, December 31,</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2012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$ 178,557</w:t>
            </w: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$ 16,613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$ 42,424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15,317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3,119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$ 1,057,951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(709,153)</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(23,640)</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$ 581,405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11,765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82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815</w:t>
            </w: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issued to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dividend reinvestment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plan and to employee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benefit plans (18,170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Conversion of non-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voting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common stock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voting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(613,158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and restricted stock</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awards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w:t>
            </w: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w:t>
            </w:r>
          </w:p>
        </w:tc>
      </w:tr>
      <w:tr>
        <w:trPr>
          <w:trHeight w:val="202"/>
        </w:trPr>
        <w:tc>
          <w:tcPr>
            <w:tcW w:w="20" w:type="dxa"/>
            <w:vAlign w:val="bottom"/>
          </w:tcPr>
          <w:p>
            <w:pPr>
              <w:spacing w:after="0"/>
              <w:rPr>
                <w:sz w:val="17"/>
                <w:szCs w:val="17"/>
                <w:color w:val="auto"/>
              </w:rPr>
            </w:pPr>
          </w:p>
        </w:tc>
        <w:tc>
          <w:tcPr>
            <w:tcW w:w="180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net of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rPr>
              <w:t>surrendered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95"/>
              </w:rPr>
              <w:t>to cover payroll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94"/>
              </w:rPr>
              <w:t>(4,042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8"/>
                <w:szCs w:val="18"/>
                <w:color w:val="auto"/>
                <w:w w:val="96"/>
              </w:rPr>
              <w:t>259 shares deferred)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Deferred compensation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including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5"/>
        </w:trPr>
        <w:tc>
          <w:tcPr>
            <w:tcW w:w="20" w:type="dxa"/>
            <w:vAlign w:val="bottom"/>
          </w:tcPr>
          <w:p>
            <w:pPr>
              <w:spacing w:after="0"/>
              <w:rPr>
                <w:sz w:val="17"/>
                <w:szCs w:val="17"/>
                <w:color w:val="auto"/>
              </w:rPr>
            </w:pPr>
          </w:p>
        </w:tc>
        <w:tc>
          <w:tcPr>
            <w:tcW w:w="180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equivalents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46</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7"/>
                <w:szCs w:val="17"/>
                <w:color w:val="auto"/>
              </w:rPr>
            </w:pPr>
          </w:p>
        </w:tc>
      </w:tr>
    </w:tbl>
    <w:p>
      <w:pPr>
        <w:sectPr>
          <w:pgSz w:w="11900" w:h="16900" w:orient="portrait"/>
          <w:cols w:equalWidth="0" w:num="1">
            <w:col w:w="11420"/>
          </w:cols>
          <w:pgMar w:left="240" w:top="486"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Shares issued from</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rPr>
              <w:t>compensation plan</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rPr>
              <w:t>(4,521 shares)</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rPr>
              <w:t>Series A</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B</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(2,630)</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23"/>
        </w:trPr>
        <w:tc>
          <w:tcPr>
            <w:tcW w:w="20" w:type="dxa"/>
            <w:vAlign w:val="bottom"/>
          </w:tcPr>
          <w:p>
            <w:pPr>
              <w:spacing w:after="0"/>
              <w:rPr>
                <w:sz w:val="19"/>
                <w:szCs w:val="19"/>
                <w:color w:val="auto"/>
              </w:rPr>
            </w:pPr>
          </w:p>
        </w:tc>
        <w:tc>
          <w:tcPr>
            <w:tcW w:w="1700" w:type="dxa"/>
            <w:vAlign w:val="bottom"/>
          </w:tcPr>
          <w:p>
            <w:pPr>
              <w:ind w:left="160"/>
              <w:spacing w:after="0"/>
              <w:rPr>
                <w:sz w:val="20"/>
                <w:szCs w:val="20"/>
                <w:color w:val="auto"/>
              </w:rPr>
            </w:pPr>
            <w:r>
              <w:rPr>
                <w:rFonts w:ascii="Arial" w:cs="Arial" w:eastAsia="Arial" w:hAnsi="Arial"/>
                <w:sz w:val="18"/>
                <w:szCs w:val="18"/>
                <w:color w:val="auto"/>
              </w:rPr>
              <w:t>Series D</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198"/>
        </w:trPr>
        <w:tc>
          <w:tcPr>
            <w:tcW w:w="20" w:type="dxa"/>
            <w:vAlign w:val="bottom"/>
          </w:tcPr>
          <w:p>
            <w:pPr>
              <w:spacing w:after="0"/>
              <w:rPr>
                <w:sz w:val="17"/>
                <w:szCs w:val="17"/>
                <w:color w:val="auto"/>
              </w:rPr>
            </w:pPr>
          </w:p>
        </w:tc>
        <w:tc>
          <w:tcPr>
            <w:tcW w:w="1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March 31,</w:t>
            </w:r>
          </w:p>
        </w:tc>
        <w:tc>
          <w:tcPr>
            <w:tcW w:w="2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$ 178,937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$ 16,613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$ 43,064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  2,726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$ 1,059,222</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 (700,440)  $</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(22,825)</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$ 592,218</w:t>
            </w: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35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11,765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Securities gains, net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Losses and write downs on sales of other real estate owned</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Loss on prepayment of borrowings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 assets and accrued interest receivable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6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Mortgage loans held for sale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53,597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Investment securities held-to-maturity:</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Proceeds from sales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15,751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(219,349)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(253,229)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increase in loans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Funds collected from FDIC under loss sharing agreements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2,452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Purchases of premises and equipment</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(88,376)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(57,509)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change in deposits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73,712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(97,444)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change in short-term borrowings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185,000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Settlement of Federal Home Loan Bank advances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dividends on preferred stock</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30,658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251,149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7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247,028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paid during the period for: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8,025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Unsettled securities sales</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Unsettled securities purchases</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Transfers of loans to foreclosed property</w:t>
            </w: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6,288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9,534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Foreclosed property is initially recorded at fair value, less the estimated cost to sell. If the fair value less the estimated cost to sell at the time of foreclosure is less than the loan balance, the deficiency is charged against the allowance for loan losses. If the fair value less the estimated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(“ASC”) 360-20, </w:t>
      </w:r>
      <w:r>
        <w:rPr>
          <w:rFonts w:ascii="Arial" w:cs="Arial" w:eastAsia="Arial" w:hAnsi="Arial"/>
          <w:sz w:val="18"/>
          <w:szCs w:val="18"/>
          <w:i w:val="1"/>
          <w:iCs w:val="1"/>
          <w:color w:val="auto"/>
        </w:rPr>
        <w:t>Real Estate Sales.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2012 amounts have been reclassified to conform to the 2013 presentation. The 2012 reclassifications were not material to the financial statement presentation.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2013, the FASB issued Accounting Standards Update No. 2013-01, </w:t>
      </w:r>
      <w:r>
        <w:rPr>
          <w:rFonts w:ascii="Arial" w:cs="Arial" w:eastAsia="Arial" w:hAnsi="Arial"/>
          <w:sz w:val="18"/>
          <w:szCs w:val="18"/>
          <w:i w:val="1"/>
          <w:iCs w:val="1"/>
          <w:color w:val="auto"/>
        </w:rPr>
        <w:t>Clarifying the Scope of Disclosures about Offsetting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w:t>
      </w:r>
      <w:r>
        <w:rPr>
          <w:rFonts w:ascii="Arial" w:cs="Arial" w:eastAsia="Arial" w:hAnsi="Arial"/>
          <w:sz w:val="18"/>
          <w:szCs w:val="18"/>
          <w:color w:val="auto"/>
        </w:rPr>
        <w:t>This ASU limits the scope of the new balance sheet offsetting disclosures to derivatives, repurchase agreements, and securities lending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to the extent that they are (1) offset in the financial statements or (2) subject to an enforceable master netting agreement. The disclosure requirements were effective for annual reporting periods beginning on or after January 1, 2013 and interim periods within those annual periods. It did not have a material impact on United’s financial position or results of operations, and resulted in additional disclosures.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2013, the FASB issued Accounting Standards Update No. 2013-02, </w:t>
      </w:r>
      <w:r>
        <w:rPr>
          <w:rFonts w:ascii="Arial" w:cs="Arial" w:eastAsia="Arial" w:hAnsi="Arial"/>
          <w:sz w:val="18"/>
          <w:szCs w:val="18"/>
          <w:i w:val="1"/>
          <w:iCs w:val="1"/>
          <w:color w:val="auto"/>
        </w:rPr>
        <w:t>Reporting of Amounts Reclassified Out of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The amendments in this update require an entity to provide information about the amounts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component and by the respective line items of net income. The standard was effective for fiscal years, and interim periods within those years, beginning after December 15, 2012. This guidance did not have a material impact on United’s financial position or results of operations, and resulted in additional disclosures.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Accounting Standards Updates issued by the FASB since the filing of United’s 2012 Annual Report on Form 10-K that were applicable to United.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Offsetting Assets and Liabilities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r>
        <w:rPr>
          <w:rFonts w:ascii="Arial" w:cs="Arial" w:eastAsia="Arial" w:hAnsi="Arial"/>
          <w:sz w:val="18"/>
          <w:szCs w:val="18"/>
          <w:color w:val="auto"/>
        </w:rPr>
        <w: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also enters into derivative transactions that are subject to master netting arrangements; however there were no offsetting positions at March 31, 2013, December 31, 2012 or March 31, 2012.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a summary of amounts outstanding under master netting agreements as of March 31, 2013 and December 31, 2012, and March 31,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Gross Amounts not Offset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Amounts of</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on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Recognized</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Net Asset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March 31, 2013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82,602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0"/>
              </w:rPr>
              <w:t>Weighted average interest rate of reverse repurchase</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Amounts of</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on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Recognized</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14,585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264,556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interest rate of repurchase</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Amounts of</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on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Recognized</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Net Asset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December 31, 2012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Securities lending transactions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375,658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(315,000)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60,658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60,658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0"/>
              </w:rPr>
              <w:t>Weighted average interest rate of reverse repurchase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Amounts of</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on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Recognized</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Pledged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Securities lending transactions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327,543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(315,000)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12,543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11,493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interest rate of repurchase</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Amounts of</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on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in the Balance Sheet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Recognized</w:t>
            </w:r>
          </w:p>
        </w:tc>
        <w:tc>
          <w:tcPr>
            <w:tcW w:w="10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Net Asset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March 31, 2012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Assets</w:t>
            </w:r>
          </w:p>
        </w:tc>
        <w:tc>
          <w:tcPr>
            <w:tcW w:w="10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Sheet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406,073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235,073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235,073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0"/>
              </w:rPr>
              <w:t>Weighted average interest rate of reverse repurchase</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 not Offset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Amounts of</w:t>
            </w:r>
          </w:p>
        </w:tc>
        <w:tc>
          <w:tcPr>
            <w:tcW w:w="10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Offset on the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37"/>
              <w:spacing w:after="0"/>
              <w:rPr>
                <w:sz w:val="20"/>
                <w:szCs w:val="20"/>
                <w:color w:val="auto"/>
              </w:rPr>
            </w:pPr>
            <w:r>
              <w:rPr>
                <w:rFonts w:ascii="Arial" w:cs="Arial" w:eastAsia="Arial" w:hAnsi="Arial"/>
                <w:sz w:val="14"/>
                <w:szCs w:val="14"/>
                <w:b w:val="1"/>
                <w:bCs w:val="1"/>
                <w:color w:val="auto"/>
                <w:w w:val="90"/>
              </w:rPr>
              <w:t>in the Balance Sheet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Recognized</w:t>
            </w:r>
          </w:p>
        </w:tc>
        <w:tc>
          <w:tcPr>
            <w:tcW w:w="18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Financial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Collateral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Sheet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Pledged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Repurchase agreements / reverse repurchase</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171,000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Derivatives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173,599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0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9"/>
              </w:rPr>
              <w:t>Weighted average interest rate of repurchase</w:t>
            </w:r>
          </w:p>
        </w:tc>
        <w:tc>
          <w:tcPr>
            <w:tcW w:w="4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160"/>
              <w:spacing w:after="0"/>
              <w:rPr>
                <w:sz w:val="20"/>
                <w:szCs w:val="20"/>
                <w:color w:val="auto"/>
              </w:rPr>
            </w:pPr>
            <w:r>
              <w:rPr>
                <w:rFonts w:ascii="Arial" w:cs="Arial" w:eastAsia="Arial" w:hAnsi="Arial"/>
                <w:sz w:val="18"/>
                <w:szCs w:val="18"/>
                <w:color w:val="auto"/>
              </w:rPr>
              <w:t>agreements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56"/>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month periods ended March 31,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wp:posOffset>
            </wp:positionV>
            <wp:extent cx="16122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46"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105,111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gains on sales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40"/>
              <w:spacing w:after="0"/>
              <w:rPr>
                <w:sz w:val="20"/>
                <w:szCs w:val="20"/>
                <w:color w:val="auto"/>
              </w:rPr>
            </w:pPr>
            <w:r>
              <w:rPr>
                <w:rFonts w:ascii="Arial" w:cs="Arial" w:eastAsia="Arial" w:hAnsi="Arial"/>
                <w:sz w:val="18"/>
                <w:szCs w:val="18"/>
                <w:color w:val="auto"/>
              </w:rPr>
              <w:t>Net gains on sales of securities</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attributable to sales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with a carrying value of $1.25 billion, $1.40 billion, and $1.38 billion were pledged to secure public deposits and other secured borrowings at March 31, 2013, December 31, 2012 and March 31, 2012, respectively. Substantial borrowing capacity remains available under borrowing arrangements with the FHLB with currently pledged securities.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are classified as held-to-maturity when management has the positive intent and ability to hold them until maturity. Securities held-to-maturity are carried at amortized cost.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held-to-maturity at March 31, 2013, December 31, 2012 and March 31,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ind w:right="54"/>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4"/>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80" w:type="dxa"/>
            <w:vAlign w:val="bottom"/>
            <w:gridSpan w:val="2"/>
            <w:vMerge w:val="restart"/>
          </w:tcPr>
          <w:p>
            <w:pPr>
              <w:spacing w:after="0"/>
              <w:rPr>
                <w:sz w:val="20"/>
                <w:szCs w:val="20"/>
                <w:color w:val="auto"/>
              </w:rPr>
            </w:pPr>
            <w:r>
              <w:rPr>
                <w:rFonts w:ascii="Arial" w:cs="Arial" w:eastAsia="Arial" w:hAnsi="Arial"/>
                <w:sz w:val="18"/>
                <w:szCs w:val="18"/>
                <w:color w:val="auto"/>
                <w:w w:val="91"/>
              </w:rPr>
              <w:t>As of March 31, 2013</w:t>
            </w:r>
          </w:p>
        </w:tc>
        <w:tc>
          <w:tcPr>
            <w:tcW w:w="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4"/>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580" w:type="dxa"/>
            <w:vAlign w:val="bottom"/>
            <w:tcBorders>
              <w:bottom w:val="single" w:sz="8" w:color="auto"/>
            </w:tcBorders>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53"/>
              <w:spacing w:after="0" w:line="154"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4"/>
              <w:spacing w:after="0" w:line="154" w:lineRule="exact"/>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4"/>
              <w:spacing w:after="0" w:line="154" w:lineRule="exact"/>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3"/>
          </w:tcPr>
          <w:p>
            <w:pPr>
              <w:ind w:left="28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9"/>
              </w:rPr>
              <w:t>51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231,087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16,051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89"/>
              </w:rPr>
              <w:t>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2012</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51,780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5,486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CCEEFF"/>
            </w:tcBorders>
            <w:gridSpan w:val="3"/>
            <w:shd w:val="clear" w:color="auto" w:fill="CCEEFF"/>
          </w:tcPr>
          <w:p>
            <w:pPr>
              <w:ind w:left="28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192,404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203,865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3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244,184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261,131</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March 31, 2012</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gridSpan w:val="3"/>
          </w:tcPr>
          <w:p>
            <w:pPr>
              <w:ind w:left="28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251,743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303,636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14,854</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318,490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200" w:hanging="334"/>
        <w:spacing w:after="0"/>
        <w:tabs>
          <w:tab w:leader="none" w:pos="120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All are residential type mortgage-backed securities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March 31, 2013, December 31, 2012 and March 31, 2012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3"/>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gridSpan w:val="2"/>
            <w:vMerge w:val="restart"/>
          </w:tcPr>
          <w:p>
            <w:pPr>
              <w:spacing w:after="0"/>
              <w:rPr>
                <w:sz w:val="20"/>
                <w:szCs w:val="20"/>
                <w:color w:val="auto"/>
              </w:rPr>
            </w:pPr>
            <w:r>
              <w:rPr>
                <w:rFonts w:ascii="Arial" w:cs="Arial" w:eastAsia="Arial" w:hAnsi="Arial"/>
                <w:sz w:val="18"/>
                <w:szCs w:val="18"/>
                <w:color w:val="auto"/>
                <w:w w:val="91"/>
              </w:rPr>
              <w:t>As of March 31, 2013</w:t>
            </w: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2"/>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3"/>
              <w:spacing w:after="0"/>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580" w:type="dxa"/>
            <w:vAlign w:val="bottom"/>
            <w:tcBorders>
              <w:bottom w:val="single" w:sz="8" w:color="auto"/>
            </w:tcBorders>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53"/>
              <w:spacing w:after="0" w:line="154" w:lineRule="exact"/>
              <w:rPr>
                <w:sz w:val="20"/>
                <w:szCs w:val="20"/>
                <w:color w:val="auto"/>
              </w:rPr>
            </w:pPr>
            <w:r>
              <w:rPr>
                <w:rFonts w:ascii="Arial" w:cs="Arial" w:eastAsia="Arial" w:hAnsi="Arial"/>
                <w:sz w:val="14"/>
                <w:szCs w:val="14"/>
                <w:b w:val="1"/>
                <w:bCs w:val="1"/>
                <w:color w:val="auto"/>
                <w:w w:val="92"/>
              </w:rPr>
              <w:t>Gains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3"/>
              <w:spacing w:after="0" w:line="154" w:lineRule="exact"/>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1,450,645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1,468,311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223,827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225,870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1,890,440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26,995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1,909,426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2012</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1,408,042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1,428,502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209,411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210,556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1,817,774</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26,852</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10,033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1,834,593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As of March 31, 2012</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U.S. Government agencies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shd w:val="clear" w:color="auto" w:fill="CCEEFF"/>
          </w:tcPr>
          <w:p>
            <w:pPr>
              <w:ind w:left="28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1,692,446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2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119,154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3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2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1,879,247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34,819</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1,898,815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200" w:hanging="334"/>
        <w:spacing w:after="0"/>
        <w:tabs>
          <w:tab w:leader="none" w:pos="12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All are residential type mortgage-backed securities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held-to-maturity securities in an unrealized loss position as of March 31, 2013 (</w:t>
      </w:r>
      <w:r>
        <w:rPr>
          <w:rFonts w:ascii="Arial" w:cs="Arial" w:eastAsia="Arial" w:hAnsi="Arial"/>
          <w:sz w:val="18"/>
          <w:szCs w:val="18"/>
          <w:i w:val="1"/>
          <w:iCs w:val="1"/>
          <w:color w:val="auto"/>
        </w:rPr>
        <w:t>thousands)</w:t>
      </w:r>
      <w:r>
        <w:rPr>
          <w:rFonts w:ascii="Arial" w:cs="Arial" w:eastAsia="Arial" w:hAnsi="Arial"/>
          <w:sz w:val="18"/>
          <w:szCs w:val="18"/>
          <w:color w:val="auto"/>
        </w:rPr>
        <w:t>. As of December 31, 2012 and March 31, 2012, there were no held-to-maturity securities in an unrealized loss position.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12 Months or More</w:t>
            </w:r>
          </w:p>
        </w:tc>
        <w:tc>
          <w:tcPr>
            <w:tcW w:w="2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80" w:type="dxa"/>
            <w:vAlign w:val="bottom"/>
            <w:vMerge w:val="restart"/>
          </w:tcPr>
          <w:p>
            <w:pPr>
              <w:spacing w:after="0"/>
              <w:rPr>
                <w:sz w:val="20"/>
                <w:szCs w:val="20"/>
                <w:color w:val="auto"/>
              </w:rPr>
            </w:pPr>
            <w:r>
              <w:rPr>
                <w:rFonts w:ascii="Arial" w:cs="Arial" w:eastAsia="Arial" w:hAnsi="Arial"/>
                <w:sz w:val="18"/>
                <w:szCs w:val="18"/>
                <w:color w:val="auto"/>
                <w:w w:val="91"/>
              </w:rPr>
              <w:t>As of March 31, 2013</w:t>
            </w: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79"/>
              <w:spacing w:after="0" w:line="154"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3"/>
                <w:szCs w:val="13"/>
                <w:color w:val="auto"/>
              </w:rPr>
            </w:pPr>
          </w:p>
        </w:tc>
        <w:tc>
          <w:tcPr>
            <w:tcW w:w="940" w:type="dxa"/>
            <w:vAlign w:val="bottom"/>
          </w:tcPr>
          <w:p>
            <w:pPr>
              <w:jc w:val="right"/>
              <w:ind w:right="148"/>
              <w:spacing w:after="0" w:line="154" w:lineRule="exact"/>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4"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48"/>
              <w:spacing w:after="0" w:line="154" w:lineRule="exact"/>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340"/>
              <w:spacing w:after="0" w:line="154"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4"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180" w:type="dxa"/>
            <w:vAlign w:val="bottom"/>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51</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Total unrealized loss position</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4,929</w:t>
            </w:r>
          </w:p>
        </w:tc>
        <w:tc>
          <w:tcPr>
            <w:tcW w:w="11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51</w:t>
            </w: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4,929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March 31, 2013, December 31, 2012 and March 31, 2012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12 Months or More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560" w:type="dxa"/>
            <w:vAlign w:val="bottom"/>
            <w:gridSpan w:val="2"/>
            <w:vMerge w:val="restart"/>
          </w:tcPr>
          <w:p>
            <w:pPr>
              <w:spacing w:after="0"/>
              <w:rPr>
                <w:sz w:val="20"/>
                <w:szCs w:val="20"/>
                <w:color w:val="auto"/>
              </w:rPr>
            </w:pPr>
            <w:r>
              <w:rPr>
                <w:rFonts w:ascii="Arial" w:cs="Arial" w:eastAsia="Arial" w:hAnsi="Arial"/>
                <w:sz w:val="18"/>
                <w:szCs w:val="18"/>
                <w:color w:val="auto"/>
                <w:w w:val="89"/>
              </w:rPr>
              <w:t>As of March 31, 2013</w:t>
            </w: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560" w:type="dxa"/>
            <w:vAlign w:val="bottom"/>
            <w:tcBorders>
              <w:bottom w:val="single" w:sz="8" w:color="auto"/>
            </w:tcBorders>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52"/>
              <w:spacing w:after="0" w:line="154"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auto"/>
              </w:rPr>
              <w:t>Loss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52"/>
              <w:spacing w:after="0" w:line="154" w:lineRule="exact"/>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352"/>
              <w:spacing w:after="0" w:line="154" w:lineRule="exact"/>
              <w:rPr>
                <w:sz w:val="20"/>
                <w:szCs w:val="20"/>
                <w:color w:val="auto"/>
              </w:rPr>
            </w:pPr>
            <w:r>
              <w:rPr>
                <w:rFonts w:ascii="Arial" w:cs="Arial" w:eastAsia="Arial" w:hAnsi="Arial"/>
                <w:sz w:val="14"/>
                <w:szCs w:val="14"/>
                <w:b w:val="1"/>
                <w:bCs w:val="1"/>
                <w:color w:val="auto"/>
              </w:rPr>
              <w:t>Loss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92"/>
              <w:spacing w:after="0" w:line="154"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300"/>
              <w:spacing w:after="0" w:line="154"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State and political subdivisions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399,263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399,263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72,064</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Total unrealized loss position</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570,852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State and political subdivisions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326,485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326,485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82,188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Total unrealized loss position</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433,595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93,913</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527,508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4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March 31, 2012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tcBorders>
              <w:top w:val="single" w:sz="8" w:color="auto"/>
            </w:tcBorders>
            <w:vMerge w:val="restart"/>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agencies</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w w:val="99"/>
              </w:rPr>
              <w:t>State and political subdivisions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69,230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9"/>
              </w:rPr>
              <w:t>Total unrealized loss position</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450,250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90,308</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540,558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2013, there were 68 available-for-sale securities and three held-to-maturity securities that were in an unrealized loss position. United does not intend to sell nor believes it will be required to sell securities in an unrealized loss position prior to the recovery of their amortized cost basis. Unrealized losses at March 31, 2013, December 31, 2012 and March 31, 2012 were primarily attributable to changes in interest rates, however the unrealized losses in corporate bonds also reflect downgrades in the underlying securities ratings since the time of acquisition. The bonds remain above investment grade and United does not consider them to be impaired.</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months ended March 31, 2013 or 2012.</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March 31, 2013,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Available-for-Sale</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Held-to-Maturity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14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8"/>
              </w:rPr>
              <w:t>Amortized Cost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Amortized Cost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996</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24,037</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51,768</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141,961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190,843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142,507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143,693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223,827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225,870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Within 1 year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85,059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86,361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40"/>
              <w:spacing w:after="0"/>
              <w:rPr>
                <w:sz w:val="20"/>
                <w:szCs w:val="20"/>
                <w:color w:val="auto"/>
              </w:rPr>
            </w:pPr>
            <w:r>
              <w:rPr>
                <w:rFonts w:ascii="Arial" w:cs="Arial" w:eastAsia="Arial" w:hAnsi="Arial"/>
                <w:sz w:val="18"/>
                <w:szCs w:val="18"/>
                <w:color w:val="auto"/>
              </w:rPr>
              <w:t>More than 10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62,956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63,279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1,450,645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1,468,311</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179,319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1,890,440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1,909,426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231,087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247,087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March 31, 2013, December 31, 2012 and March 31, 2012,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1,804,030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1,813,365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458,246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439,496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152,410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154,769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167,122</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2,410,204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2,426,380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2,449,825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381,677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165,648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152,748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111,118</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4,193,560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4,175,008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4,127,566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(105,753)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4,087,807</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4,067,871</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4,013,965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makes loans and extends credit to individuals and a variety of firms and corporations located primarily in counties in north Georgia, the Atlanta, Georgia metropolitan statistical area, the Gainesville, Georgia metropolitan statistical area, coastal Georgia, western North Carolina, east Tennessee and the Greenville, South Carolina metropolitan statistical area. Although the Bank has a diversified loan portfolio, a substantial portion of its loan portfolio is collateralized by improved and unimproved real estate and is dependent upon the real estate market.</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 considers all loans that are on nonaccrual with a balance of $500,000 or greater and all troubled debt restructurings (“TDRs”) to be impaired. In addition, United reviews all accruing substandard loans greater than $2 million to determine if the loan is impaired. A loan is considered impaired when, based on current events and circumstances, it is probable that all amounts due, according to the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Impairment amounts are recorded quarterly and specific reserves are recorded in the allowance for loan losses.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quarter, United’s management prepares an analysis of the allowance for loan losses to determine the appropriate balance that measures and quantifies the amount of loss inherent in the loan portfolio. The allowance is comprised of specific reserves which are determined as described above, general reserves which are determined based on historical loss experience as adjusted for current trends and economic conditions and an unallocated portion. United uses eight quarters of historical loss experience weighted toward the most recent quarters to determine the loss factors to be used. Eight quarters has been determined to be an appropriate time period as it is recent enough to be relevant to current conditions and covers a length of time sufficient to normalize for nonrecurring and unusual activity that might otherwise influence a shorter time period. The weighted average is calculated by multiplying each quarter’s annualized historical net charge-off rate by 1 through 8, with 8 representing the most recent quarter and 1 representing the oldest quarter. United uses annualized charge-off rates under the broad assumption that losses inherent in the loan portfolio will generally be resolved within twelve months. Problem loans that are not resolved within twelve months are generally larger loans that are more complex in nature requiring more time to either rehabilitate or work out of the bank. These credits are subject to impairment testing and specific reserves.</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weighted loss factor results for each quarter are added together and divided by 36 (the sum of 1, 2, 3, 4, 5, 6, 7 and 8) to arrive at the weighted average historical loss factor for each category of loans. United calculates loss factors for each major category of loans (commercial real estate, commercial &amp; industrial, commercial construction, residential construction and consumer installment) except residential real estate loans which are further divided into home equity first lien, home equity junior lien and all other residential real estate loans and a loss factor is calculated for each category.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render the use of annualized charge-off rates to be inappropriate, and other macro environmental factors such as changes in unemployment rates, lease vacancy rates and trends in property values and absorption rates.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validate the results, management closely monitors the loan portfolio to determine the range of potential losses based upon probability of default and losses upon default for each major loan category. The potential range of losses resulting from this analysis is compared to the resulting loss factors for each major loan category to validate the loss factors and determine if qualitative adjustments are necessary. 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balance and activity in the allowance for loan losses by portfolio segment and the recorded investment in loans by portfolio segment based on the impairment method as of March 31, 2013, December 31, 2012 and March 31,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Commercial</w:t>
            </w:r>
          </w:p>
        </w:tc>
        <w:tc>
          <w:tcPr>
            <w:tcW w:w="104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7"/>
              </w:rPr>
              <w:t>Commercial</w:t>
            </w:r>
          </w:p>
        </w:tc>
        <w:tc>
          <w:tcPr>
            <w:tcW w:w="10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Commercial</w:t>
            </w:r>
          </w:p>
        </w:tc>
        <w:tc>
          <w:tcPr>
            <w:tcW w:w="100" w:type="dxa"/>
            <w:vAlign w:val="bottom"/>
          </w:tcPr>
          <w:p>
            <w:pPr>
              <w:spacing w:after="0"/>
              <w:rPr>
                <w:sz w:val="14"/>
                <w:szCs w:val="1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8"/>
              </w:rPr>
              <w:t>Residential</w:t>
            </w:r>
          </w:p>
        </w:tc>
        <w:tc>
          <w:tcPr>
            <w:tcW w:w="100" w:type="dxa"/>
            <w:vAlign w:val="bottom"/>
          </w:tcPr>
          <w:p>
            <w:pPr>
              <w:spacing w:after="0"/>
              <w:rPr>
                <w:sz w:val="14"/>
                <w:szCs w:val="14"/>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8"/>
              </w:rPr>
              <w:t>Residential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Consumer</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(Secured by</w:t>
            </w:r>
          </w:p>
        </w:tc>
        <w:tc>
          <w:tcPr>
            <w:tcW w:w="1040" w:type="dxa"/>
            <w:vAlign w:val="bottom"/>
            <w:gridSpan w:val="3"/>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March 31, 2013</w:t>
            </w:r>
          </w:p>
        </w:tc>
        <w:tc>
          <w:tcPr>
            <w:tcW w:w="8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10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&amp; Industrial</w:t>
            </w: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Construction</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Mortgage</w:t>
            </w: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Installment</w:t>
            </w:r>
          </w:p>
        </w:tc>
        <w:tc>
          <w:tcPr>
            <w:tcW w:w="8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Unallocated</w:t>
            </w: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27,847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5,537</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8,389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26,662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2,747</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30,408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5,626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23,326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2,092</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9,265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105,753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3"/>
              </w:rPr>
              <w:t>Ending allowance attributable to 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w w:val="94"/>
              </w:rPr>
              <w:t>Individually evaluated for impairment $</w:t>
            </w:r>
          </w:p>
        </w:tc>
        <w:tc>
          <w:tcPr>
            <w:tcW w:w="760" w:type="dxa"/>
            <w:vAlign w:val="bottom"/>
          </w:tcPr>
          <w:p>
            <w:pPr>
              <w:jc w:val="right"/>
              <w:spacing w:after="0"/>
              <w:rPr>
                <w:sz w:val="20"/>
                <w:szCs w:val="20"/>
                <w:color w:val="auto"/>
              </w:rPr>
            </w:pPr>
            <w:r>
              <w:rPr>
                <w:rFonts w:ascii="Arial" w:cs="Arial" w:eastAsia="Arial" w:hAnsi="Arial"/>
                <w:sz w:val="18"/>
                <w:szCs w:val="18"/>
                <w:color w:val="auto"/>
              </w:rPr>
              <w:t>5,089</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2,093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1,945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Collectively evaluated for impairment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25,124</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Total ending allowance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30,408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5,626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23,326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2,092</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9,265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105,753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w w:val="94"/>
              </w:rPr>
              <w:t>Individually evaluated for impairment $</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86,978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50,347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38,970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31,936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230,794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Collectively evaluated for impairment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1,717,052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403,417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113,440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1,223,819</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339,797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165,241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3,962,766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1,804,030</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453,764</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152,410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1,245,975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371,733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165,648</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4,193,560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3"/>
              </w:rPr>
              <w:t>Ending allowance attributable to 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w w:val="94"/>
              </w:rPr>
              <w:t>Individually evaluated for impairment $</w:t>
            </w:r>
          </w:p>
        </w:tc>
        <w:tc>
          <w:tcPr>
            <w:tcW w:w="760" w:type="dxa"/>
            <w:vAlign w:val="bottom"/>
          </w:tcPr>
          <w:p>
            <w:pPr>
              <w:jc w:val="right"/>
              <w:spacing w:after="0"/>
              <w:rPr>
                <w:sz w:val="20"/>
                <w:szCs w:val="20"/>
                <w:color w:val="auto"/>
              </w:rPr>
            </w:pPr>
            <w:r>
              <w:rPr>
                <w:rFonts w:ascii="Arial" w:cs="Arial" w:eastAsia="Arial" w:hAnsi="Arial"/>
                <w:sz w:val="18"/>
                <w:szCs w:val="18"/>
                <w:color w:val="auto"/>
              </w:rPr>
              <w:t>6,106</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490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Collectively evaluated for impairment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24,477</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9,313</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Total ending allowance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27,847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5,537</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8,389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26,642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26,662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2,747</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9,313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w w:val="94"/>
              </w:rPr>
              <w:t>Individually evaluated for impairment $</w:t>
            </w:r>
          </w:p>
        </w:tc>
        <w:tc>
          <w:tcPr>
            <w:tcW w:w="760" w:type="dxa"/>
            <w:vAlign w:val="bottom"/>
          </w:tcPr>
          <w:p>
            <w:pPr>
              <w:jc w:val="right"/>
              <w:spacing w:after="0"/>
              <w:rPr>
                <w:sz w:val="20"/>
                <w:szCs w:val="20"/>
                <w:color w:val="auto"/>
              </w:rPr>
            </w:pPr>
            <w:r>
              <w:rPr>
                <w:rFonts w:ascii="Arial" w:cs="Arial" w:eastAsia="Arial" w:hAnsi="Arial"/>
                <w:sz w:val="18"/>
                <w:szCs w:val="18"/>
                <w:color w:val="auto"/>
              </w:rPr>
              <w:t>104,409</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51,501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40,168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22,247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34,055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252,810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Collectively evaluated for impairment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1,708,956</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406,745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1,191,956</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347,622</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152,318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3,922,198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1,813,365</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458,246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154,769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1,214,203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381,677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152,748</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4,175,008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2"/>
              </w:rPr>
              <w:t>Three Months Ended March 31, 2012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31,644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5,681</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29,076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30,379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2,124</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9,467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Charge-offs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30,614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5,472</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27,356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29,473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1,898</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9,205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113,601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3"/>
              </w:rPr>
              <w:t>Ending allowance attributable to 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w w:val="94"/>
              </w:rPr>
              <w:t>Individually evaluated for impairment $</w:t>
            </w:r>
          </w:p>
        </w:tc>
        <w:tc>
          <w:tcPr>
            <w:tcW w:w="760" w:type="dxa"/>
            <w:vAlign w:val="bottom"/>
          </w:tcPr>
          <w:p>
            <w:pPr>
              <w:jc w:val="right"/>
              <w:spacing w:after="0"/>
              <w:rPr>
                <w:sz w:val="20"/>
                <w:szCs w:val="20"/>
                <w:color w:val="auto"/>
              </w:rPr>
            </w:pPr>
            <w:r>
              <w:rPr>
                <w:rFonts w:ascii="Arial" w:cs="Arial" w:eastAsia="Arial" w:hAnsi="Arial"/>
                <w:sz w:val="18"/>
                <w:szCs w:val="18"/>
                <w:color w:val="auto"/>
              </w:rPr>
              <w:t>7,654</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1,122</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Collectively evaluated for impairment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25,102</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Total ending allowance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30,614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5,472</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27,356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29,473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1,898</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9,205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113,601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w w:val="94"/>
              </w:rPr>
              <w:t>Individually evaluated for impairment $</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117,999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60,568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46,549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21,525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47,048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331</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294,020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2"/>
              </w:rPr>
              <w:t>Collectively evaluated for impairment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1,725,208</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378,928</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120,573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1,109,723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388,327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110,787</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3,833,546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320"/>
              <w:spacing w:after="0"/>
              <w:rPr>
                <w:sz w:val="20"/>
                <w:szCs w:val="20"/>
                <w:color w:val="auto"/>
              </w:rPr>
            </w:pPr>
            <w:r>
              <w:rPr>
                <w:rFonts w:ascii="Arial" w:cs="Arial" w:eastAsia="Arial" w:hAnsi="Arial"/>
                <w:sz w:val="18"/>
                <w:szCs w:val="18"/>
                <w:color w:val="auto"/>
              </w:rPr>
              <w:t>Total loans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1,843,207</w:t>
            </w:r>
          </w:p>
        </w:tc>
        <w:tc>
          <w:tcPr>
            <w:tcW w:w="1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439,496</w:t>
            </w:r>
          </w:p>
        </w:tc>
        <w:tc>
          <w:tcPr>
            <w:tcW w:w="20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167,122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1,131,248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435,375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111,118</w:t>
            </w: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4,127,566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to the local bank president that the loan be charged off. Full or partial charge-offs may also be recommended by the Collections Department, the Special Assets Department and the Foreclosure / OREO department. Nonaccrual loans that are collateral dependent are generally charged down to 80% of the appraised value of the underlying collateral at the time they are placed on nonaccrual status.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committee consisting of the Chief Risk Officer, Senior Risk Officer and the Senior Credit Officers meets monthly to review charge-offs that have occurred during the previous month. The 10 largest charge-offs are reported quarterly to the Board of Directors.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072"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120 cumulative days are charged-off unless the loan is well secured and in process of collection (within the next 90 days). Open-end (revolving) retail loans which are past due 180 cumulative days from their contractual due date are generally charged-off.</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2013, December 31, 2012 and March 31, 2012, loans with a carrying value of $1.94 billion, $1.90 billion and $1.58 billion, respectively, were pledged as collateral to secure FHLB advances and other contingent funding sources.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average balances of impaired loans and income recognized on impaired loans while they were considered impaired is presented below for the three months ended March 31,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Cash Basis</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7"/>
              </w:rPr>
              <w:t>Cash Basis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During</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Revenue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During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8"/>
              </w:rPr>
              <w:t>Impairment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Received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91,631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117,551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43,249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174,533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201,559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24,262</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40,592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54,467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235,815</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280,626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2,267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March 31, 2013, December 31, 2012 and March 31, 2012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2013</w:t>
            </w: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center"/>
              <w:ind w:left="493"/>
              <w:spacing w:after="0"/>
              <w:rPr>
                <w:sz w:val="20"/>
                <w:szCs w:val="20"/>
                <w:color w:val="auto"/>
              </w:rPr>
            </w:pPr>
            <w:r>
              <w:rPr>
                <w:rFonts w:ascii="Arial" w:cs="Arial" w:eastAsia="Arial" w:hAnsi="Arial"/>
                <w:sz w:val="14"/>
                <w:szCs w:val="14"/>
                <w:b w:val="1"/>
                <w:bCs w:val="1"/>
                <w:color w:val="auto"/>
                <w:w w:val="91"/>
              </w:rPr>
              <w:t>December 31, 2012</w:t>
            </w: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6"/>
              </w:rPr>
              <w:t>March 31, 2012</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6"/>
              </w:rPr>
              <w:t>Unpaid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Unpaid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for Loan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for Loan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for Loan</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1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13"/>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Balance</w:t>
            </w:r>
          </w:p>
        </w:tc>
        <w:tc>
          <w:tcPr>
            <w:tcW w:w="140" w:type="dxa"/>
            <w:vAlign w:val="bottom"/>
          </w:tcPr>
          <w:p>
            <w:pPr>
              <w:spacing w:after="0"/>
              <w:rPr>
                <w:sz w:val="18"/>
                <w:szCs w:val="18"/>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Investment</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Allocated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8"/>
                <w:szCs w:val="18"/>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Allocated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3"/>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Investment</w:t>
            </w:r>
          </w:p>
        </w:tc>
        <w:tc>
          <w:tcPr>
            <w:tcW w:w="8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Allocated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37,202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74,066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62,609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91,399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82,593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73,196</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46,895</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74,572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16,703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23,938</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17,305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147,068</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100,800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172,576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129,486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203,483</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166,784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6,306</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10,336</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8,383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13,041</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19,026</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35,439</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44,018</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28,477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Total with no related allowance recorded</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173,856</w:t>
            </w:r>
          </w:p>
        </w:tc>
        <w:tc>
          <w:tcPr>
            <w:tcW w:w="14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122,329</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218,351</w:t>
            </w: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156,962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262,876</w:t>
            </w: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208,302</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52,363</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49,777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44,395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3,451</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2,170</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3,672</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22,267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23,746</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75,495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70,311</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66,592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60,264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58,332</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14,267</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8,484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16,713</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15,412</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14,962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18,571</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20"/>
              <w:spacing w:after="0"/>
              <w:rPr>
                <w:sz w:val="20"/>
                <w:szCs w:val="20"/>
                <w:color w:val="auto"/>
              </w:rPr>
            </w:pPr>
            <w:r>
              <w:rPr>
                <w:rFonts w:ascii="Arial" w:cs="Arial" w:eastAsia="Arial" w:hAnsi="Arial"/>
                <w:sz w:val="18"/>
                <w:szCs w:val="18"/>
                <w:color w:val="auto"/>
              </w:rPr>
              <w:t>Total with an allowance recorded</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112,843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108,465</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100,431</w:t>
            </w:r>
          </w:p>
        </w:tc>
        <w:tc>
          <w:tcPr>
            <w:tcW w:w="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95,848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11,644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89,094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85,718</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286,699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230,794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11,971</w:t>
            </w:r>
          </w:p>
        </w:tc>
        <w:tc>
          <w:tcPr>
            <w:tcW w:w="2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318,782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252,810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351,970</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loans more than 90 days past due and still accruing interest at March 31, 2013, December 31, 2012 or March 31, 2012.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March 31, 2013, December 31, 2012 and March 31, 2102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Nonaccrual Loans</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17,304</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31,817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9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23,843</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23,319</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69,208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77,808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14,592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18,702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9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96,006</w:t>
            </w:r>
          </w:p>
        </w:tc>
        <w:tc>
          <w:tcPr>
            <w:tcW w:w="22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109,894</w:t>
            </w:r>
          </w:p>
        </w:tc>
        <w:tc>
          <w:tcPr>
            <w:tcW w:w="20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129,704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Balance as a percentage of unpaid principal</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March 31, 2013, December 31, 2012 and March 31, 2012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Loans Past Due</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Loans Not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40" w:type="dxa"/>
            <w:vAlign w:val="bottom"/>
            <w:gridSpan w:val="5"/>
          </w:tcPr>
          <w:p>
            <w:pPr>
              <w:spacing w:after="0"/>
              <w:rPr>
                <w:sz w:val="20"/>
                <w:szCs w:val="20"/>
                <w:color w:val="auto"/>
              </w:rPr>
            </w:pPr>
            <w:r>
              <w:rPr>
                <w:rFonts w:ascii="Arial" w:cs="Arial" w:eastAsia="Arial" w:hAnsi="Arial"/>
                <w:sz w:val="14"/>
                <w:szCs w:val="14"/>
                <w:b w:val="1"/>
                <w:bCs w:val="1"/>
                <w:color w:val="auto"/>
              </w:rPr>
              <w:t>As of March 31, 2013</w:t>
            </w:r>
          </w:p>
        </w:tc>
        <w:tc>
          <w:tcPr>
            <w:tcW w:w="140" w:type="dxa"/>
            <w:vAlign w:val="bottom"/>
          </w:tcPr>
          <w:p>
            <w:pPr>
              <w:spacing w:after="0"/>
              <w:rPr>
                <w:sz w:val="17"/>
                <w:szCs w:val="17"/>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30 - 59 Days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60 - 89 Days</w:t>
            </w:r>
          </w:p>
        </w:tc>
        <w:tc>
          <w:tcPr>
            <w:tcW w:w="18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&gt; 90 Days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Past Due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1,788,574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2,123</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451,641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Total commercial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23,965</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2,386,239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18,725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1,227,250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2,371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7,054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364,679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164,705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24,634</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7,913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18,140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50,687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4,142,873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4,193,560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December 31, 2012</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8,106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3,232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7,476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18,814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1,794,551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28,381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2,397,999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19,566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1,194,637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372,351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150,894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1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23,129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59,127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4,115,881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top w:val="single" w:sz="8" w:color="CCEEFF"/>
            </w:tcBorders>
            <w:gridSpan w:val="4"/>
          </w:tcPr>
          <w:p>
            <w:pPr>
              <w:spacing w:after="0" w:line="170" w:lineRule="exact"/>
              <w:rPr>
                <w:sz w:val="20"/>
                <w:szCs w:val="20"/>
                <w:color w:val="auto"/>
              </w:rPr>
            </w:pPr>
            <w:r>
              <w:rPr>
                <w:rFonts w:ascii="Arial" w:cs="Arial" w:eastAsia="Arial" w:hAnsi="Arial"/>
                <w:sz w:val="18"/>
                <w:szCs w:val="18"/>
                <w:b w:val="1"/>
                <w:bCs w:val="1"/>
                <w:color w:val="auto"/>
              </w:rPr>
              <w:t>As of March 31, 2012</w:t>
            </w: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1,818,750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5,079</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434,417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8,931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Total commercial</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38,467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2,411,358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28,866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7,462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20,247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415,128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109,563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4"/>
          </w:tcPr>
          <w:p>
            <w:pPr>
              <w:ind w:left="160"/>
              <w:spacing w:after="0"/>
              <w:rPr>
                <w:sz w:val="20"/>
                <w:szCs w:val="20"/>
                <w:color w:val="auto"/>
              </w:rPr>
            </w:pPr>
            <w:r>
              <w:rPr>
                <w:rFonts w:ascii="Arial" w:cs="Arial" w:eastAsia="Arial" w:hAnsi="Arial"/>
                <w:sz w:val="18"/>
                <w:szCs w:val="18"/>
                <w:color w:val="auto"/>
              </w:rPr>
              <w:t>Total loans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31,926</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10,573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46,636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89,135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4,038,431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4,127,566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of March 31, 2013, December 31, 2012, and March 31, 2012, $8.12 million, $9.50 million and $12.2 million of specific reserves were allocated to customers whose loan terms have been modified in TDRs. United committed to lend additional amounts totaling up to $613,000, $689,000, and $891,000 as of March 31, 2013, December 31, 2012 and March 31, 2012, respectively, to customers with outstanding loans that are classified as TDRs.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as of March 31, 2013, December 31, 2012 and March 31, 2012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March 31, 2013</w:t>
            </w: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2012</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6"/>
              </w:rPr>
              <w:t>March 31, 2012</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0"/>
                <w:szCs w:val="10"/>
                <w:color w:val="auto"/>
              </w:rPr>
            </w:pPr>
          </w:p>
        </w:tc>
        <w:tc>
          <w:tcPr>
            <w:tcW w:w="800" w:type="dxa"/>
            <w:vAlign w:val="bottom"/>
          </w:tcPr>
          <w:p>
            <w:pPr>
              <w:jc w:val="center"/>
              <w:ind w:right="15"/>
              <w:spacing w:after="0" w:line="126" w:lineRule="exact"/>
              <w:rPr>
                <w:sz w:val="20"/>
                <w:szCs w:val="20"/>
                <w:color w:val="auto"/>
              </w:rPr>
            </w:pPr>
            <w:r>
              <w:rPr>
                <w:rFonts w:ascii="Arial" w:cs="Arial" w:eastAsia="Arial" w:hAnsi="Arial"/>
                <w:sz w:val="14"/>
                <w:szCs w:val="14"/>
                <w:b w:val="1"/>
                <w:bCs w:val="1"/>
                <w:color w:val="auto"/>
                <w:w w:val="85"/>
              </w:rPr>
              <w:t>Post-</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0"/>
                <w:szCs w:val="10"/>
                <w:color w:val="auto"/>
              </w:rPr>
            </w:pPr>
          </w:p>
        </w:tc>
        <w:tc>
          <w:tcPr>
            <w:tcW w:w="800" w:type="dxa"/>
            <w:vAlign w:val="bottom"/>
          </w:tcPr>
          <w:p>
            <w:pPr>
              <w:jc w:val="center"/>
              <w:ind w:right="15"/>
              <w:spacing w:after="0" w:line="126"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8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Recorded</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6"/>
              </w:rPr>
              <w:t>Commercial (sec by RE)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80,618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74,675</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80,261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75,340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8"/>
              </w:rPr>
              <w:t>Commercial &amp; industrial</w:t>
            </w: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8,944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8,834</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7,250</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3,487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w w:val="94"/>
              </w:rPr>
              <w:t>Commercial construction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32,614</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37,537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33,809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35,184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8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126,053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116,123</w:t>
            </w: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125,290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116,399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121,901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19,023</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20,323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w w:val="98"/>
              </w:rPr>
              <w:t>Residential construction</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25,651</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23,345</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25,822</w:t>
            </w:r>
          </w:p>
        </w:tc>
        <w:tc>
          <w:tcPr>
            <w:tcW w:w="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23,786</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27,128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820" w:type="dxa"/>
            <w:vAlign w:val="bottom"/>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171,887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158,760</w:t>
            </w:r>
          </w:p>
        </w:tc>
        <w:tc>
          <w:tcPr>
            <w:tcW w:w="860" w:type="dxa"/>
            <w:vAlign w:val="bottom"/>
          </w:tcPr>
          <w:p>
            <w:pPr>
              <w:jc w:val="right"/>
              <w:spacing w:after="0"/>
              <w:rPr>
                <w:sz w:val="20"/>
                <w:szCs w:val="20"/>
                <w:color w:val="auto"/>
              </w:rPr>
            </w:pPr>
            <w:r>
              <w:rPr>
                <w:rFonts w:ascii="Arial" w:cs="Arial" w:eastAsia="Arial" w:hAnsi="Arial"/>
                <w:sz w:val="18"/>
                <w:szCs w:val="18"/>
                <w:color w:val="auto"/>
              </w:rPr>
              <w:t>388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172,727</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160,763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165,087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158,507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months ended March 31, 2013 and 2012 are presented in the table below. In addition, the following table presents loans modified under the terms of a TDR that became 90 days or more delinquent during the three months ended March 31, 2013 and 2012 that were initially restructured within one year prior to the three months ended March 31, 2013 and 2012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Troubled Debt Restructurings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Modified Within the Previous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Post-</w:t>
            </w: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Twelve Months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Subsequently Defaulted During</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New Troubled Debt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the Three Months Ended</w:t>
            </w:r>
          </w:p>
        </w:tc>
        <w:tc>
          <w:tcPr>
            <w:tcW w:w="0" w:type="dxa"/>
            <w:vAlign w:val="bottom"/>
          </w:tcPr>
          <w:p>
            <w:pPr>
              <w:spacing w:after="0"/>
              <w:rPr>
                <w:sz w:val="1"/>
                <w:szCs w:val="1"/>
                <w:color w:val="auto"/>
              </w:rPr>
            </w:pPr>
          </w:p>
        </w:tc>
      </w:tr>
      <w:tr>
        <w:trPr>
          <w:trHeight w:val="178"/>
        </w:trPr>
        <w:tc>
          <w:tcPr>
            <w:tcW w:w="4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5"/>
                <w:szCs w:val="15"/>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March 31, 2013</w:t>
            </w: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Restructurings for the Three</w:t>
            </w:r>
          </w:p>
        </w:tc>
        <w:tc>
          <w:tcPr>
            <w:tcW w:w="12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Months Ended March 31, 2013</w:t>
            </w: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5"/>
                <w:szCs w:val="15"/>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4,277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2,115</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7,303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7,068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Troubled Debt Restructurings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Modified Within the Previous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Post-</w:t>
            </w: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Twelve Months 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Subsequently Defaulted During</w:t>
            </w: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New Troubled Debt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60" w:type="dxa"/>
            <w:vAlign w:val="bottom"/>
          </w:tcPr>
          <w:p>
            <w:pPr>
              <w:spacing w:after="0"/>
              <w:rPr>
                <w:sz w:val="12"/>
                <w:szCs w:val="12"/>
                <w:color w:val="auto"/>
              </w:rPr>
            </w:pPr>
          </w:p>
        </w:tc>
        <w:tc>
          <w:tcPr>
            <w:tcW w:w="24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the Three Months Ended</w:t>
            </w:r>
          </w:p>
        </w:tc>
        <w:tc>
          <w:tcPr>
            <w:tcW w:w="0" w:type="dxa"/>
            <w:vAlign w:val="bottom"/>
          </w:tcPr>
          <w:p>
            <w:pPr>
              <w:spacing w:after="0"/>
              <w:rPr>
                <w:sz w:val="1"/>
                <w:szCs w:val="1"/>
                <w:color w:val="auto"/>
              </w:rPr>
            </w:pPr>
          </w:p>
        </w:tc>
      </w:tr>
      <w:tr>
        <w:trPr>
          <w:trHeight w:val="178"/>
        </w:trPr>
        <w:tc>
          <w:tcPr>
            <w:tcW w:w="4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5"/>
                <w:szCs w:val="15"/>
                <w:color w:val="auto"/>
              </w:rPr>
            </w:pPr>
          </w:p>
        </w:tc>
        <w:tc>
          <w:tcPr>
            <w:tcW w:w="2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March 31, 2012</w:t>
            </w:r>
          </w:p>
        </w:tc>
        <w:tc>
          <w:tcPr>
            <w:tcW w:w="0" w:type="dxa"/>
            <w:vAlign w:val="bottom"/>
          </w:tcPr>
          <w:p>
            <w:pPr>
              <w:spacing w:after="0"/>
              <w:rPr>
                <w:sz w:val="1"/>
                <w:szCs w:val="1"/>
                <w:color w:val="auto"/>
              </w:rPr>
            </w:pPr>
          </w:p>
        </w:tc>
      </w:tr>
      <w:tr>
        <w:trPr>
          <w:trHeight w:val="186"/>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Restructurings for the Three</w:t>
            </w:r>
          </w:p>
        </w:tc>
        <w:tc>
          <w:tcPr>
            <w:tcW w:w="120" w:type="dxa"/>
            <w:vAlign w:val="bottom"/>
          </w:tcPr>
          <w:p>
            <w:pPr>
              <w:spacing w:after="0"/>
              <w:rPr>
                <w:sz w:val="16"/>
                <w:szCs w:val="16"/>
                <w:color w:val="auto"/>
              </w:rPr>
            </w:pPr>
          </w:p>
        </w:tc>
        <w:tc>
          <w:tcPr>
            <w:tcW w:w="1160" w:type="dxa"/>
            <w:vAlign w:val="bottom"/>
          </w:tcPr>
          <w:p>
            <w:pPr>
              <w:jc w:val="right"/>
              <w:ind w:right="156"/>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Recorded</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Months Ended March 31, 2012</w:t>
            </w:r>
          </w:p>
        </w:tc>
        <w:tc>
          <w:tcPr>
            <w:tcW w:w="12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Contracts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Contracts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(secured by real estate)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2,724</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20,781</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38,604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37,246</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3,189</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47,694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45,763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Collateral dependent TDRs that subsequently default or are otherwise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charged-off.</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As of March 31, 2013, December 31, 2012 and March 31, 2012,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ind w:right="691"/>
              <w:spacing w:after="0"/>
              <w:rPr>
                <w:sz w:val="20"/>
                <w:szCs w:val="20"/>
                <w:color w:val="auto"/>
              </w:rPr>
            </w:pPr>
            <w:r>
              <w:rPr>
                <w:rFonts w:ascii="Arial" w:cs="Arial" w:eastAsia="Arial" w:hAnsi="Arial"/>
                <w:sz w:val="14"/>
                <w:szCs w:val="14"/>
                <w:b w:val="1"/>
                <w:bCs w:val="1"/>
                <w:color w:val="auto"/>
              </w:rPr>
              <w:t>Substandard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Doubtful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gridSpan w:val="5"/>
          </w:tcPr>
          <w:p>
            <w:pPr>
              <w:spacing w:after="0"/>
              <w:rPr>
                <w:sz w:val="20"/>
                <w:szCs w:val="20"/>
                <w:color w:val="auto"/>
              </w:rPr>
            </w:pPr>
            <w:r>
              <w:rPr>
                <w:rFonts w:ascii="Arial" w:cs="Arial" w:eastAsia="Arial" w:hAnsi="Arial"/>
                <w:sz w:val="14"/>
                <w:szCs w:val="14"/>
                <w:b w:val="1"/>
                <w:bCs w:val="1"/>
                <w:color w:val="auto"/>
              </w:rPr>
              <w:t>As of March 31, 2013</w:t>
            </w:r>
          </w:p>
        </w:tc>
        <w:tc>
          <w:tcPr>
            <w:tcW w:w="220" w:type="dxa"/>
            <w:vAlign w:val="bottom"/>
          </w:tcPr>
          <w:p>
            <w:pPr>
              <w:spacing w:after="0"/>
              <w:rPr>
                <w:sz w:val="17"/>
                <w:szCs w:val="17"/>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Pass</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Performing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Nonaccrual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Not Rated</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Commercial (secured by real estate)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1,593,193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396,363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6,775</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453,764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ind w:left="160"/>
              <w:spacing w:after="0"/>
              <w:rPr>
                <w:sz w:val="20"/>
                <w:szCs w:val="20"/>
                <w:color w:val="auto"/>
              </w:rPr>
            </w:pPr>
            <w:r>
              <w:rPr>
                <w:rFonts w:ascii="Arial" w:cs="Arial" w:eastAsia="Arial" w:hAnsi="Arial"/>
                <w:sz w:val="18"/>
                <w:szCs w:val="18"/>
                <w:color w:val="auto"/>
              </w:rPr>
              <w:t>Total commercial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2,093,969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79,364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166,902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2,410,204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296,029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23,230</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14,592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165,648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ind w:left="160"/>
              <w:spacing w:after="0"/>
              <w:rPr>
                <w:sz w:val="20"/>
                <w:szCs w:val="20"/>
                <w:color w:val="auto"/>
              </w:rPr>
            </w:pPr>
            <w:r>
              <w:rPr>
                <w:rFonts w:ascii="Arial" w:cs="Arial" w:eastAsia="Arial" w:hAnsi="Arial"/>
                <w:sz w:val="18"/>
                <w:szCs w:val="18"/>
                <w:color w:val="auto"/>
              </w:rPr>
              <w:t>Total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3,690,824</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134,288</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271,681</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96,006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4,193,560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December 31, 2012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5"/>
          </w:tcPr>
          <w:p>
            <w:pPr>
              <w:spacing w:after="0"/>
              <w:rPr>
                <w:sz w:val="20"/>
                <w:szCs w:val="20"/>
                <w:color w:val="auto"/>
              </w:rPr>
            </w:pPr>
            <w:r>
              <w:rPr>
                <w:rFonts w:ascii="Arial" w:cs="Arial" w:eastAsia="Arial" w:hAnsi="Arial"/>
                <w:sz w:val="18"/>
                <w:szCs w:val="18"/>
                <w:color w:val="auto"/>
                <w:w w:val="94"/>
              </w:rPr>
              <w:t>Commercial (secured by real estate) $</w:t>
            </w:r>
          </w:p>
        </w:tc>
        <w:tc>
          <w:tcPr>
            <w:tcW w:w="840" w:type="dxa"/>
            <w:vAlign w:val="bottom"/>
          </w:tcPr>
          <w:p>
            <w:pPr>
              <w:jc w:val="right"/>
              <w:spacing w:after="0"/>
              <w:rPr>
                <w:sz w:val="20"/>
                <w:szCs w:val="20"/>
                <w:color w:val="auto"/>
              </w:rPr>
            </w:pPr>
            <w:r>
              <w:rPr>
                <w:rFonts w:ascii="Arial" w:cs="Arial" w:eastAsia="Arial" w:hAnsi="Arial"/>
                <w:sz w:val="18"/>
                <w:szCs w:val="18"/>
                <w:color w:val="auto"/>
              </w:rPr>
              <w:t>1,592,677</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80,997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117,543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22,148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1,813,365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104,296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2,098,579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1,102,746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33,689</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65,179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12,589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1,214,203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147,214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152,748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2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3,640,803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161,428</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261,941</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109,894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4,175,008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80" w:type="dxa"/>
            <w:vAlign w:val="bottom"/>
            <w:tcBorders>
              <w:top w:val="single" w:sz="8" w:color="CCEEFF"/>
            </w:tcBorders>
            <w:gridSpan w:val="4"/>
          </w:tcPr>
          <w:p>
            <w:pPr>
              <w:spacing w:after="0" w:line="170" w:lineRule="exact"/>
              <w:rPr>
                <w:sz w:val="20"/>
                <w:szCs w:val="20"/>
                <w:color w:val="auto"/>
              </w:rPr>
            </w:pPr>
            <w:r>
              <w:rPr>
                <w:rFonts w:ascii="Arial" w:cs="Arial" w:eastAsia="Arial" w:hAnsi="Arial"/>
                <w:sz w:val="18"/>
                <w:szCs w:val="18"/>
                <w:b w:val="1"/>
                <w:bCs w:val="1"/>
                <w:color w:val="auto"/>
              </w:rPr>
              <w:t>As of March 31, 2012</w:t>
            </w: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4"/>
              </w:rPr>
              <w:t>Commercial (secured by real estate)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1,586,934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133,840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Commercial &amp; industrial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381,098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4,126</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36,314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ind w:left="160"/>
              <w:spacing w:after="0"/>
              <w:rPr>
                <w:sz w:val="20"/>
                <w:szCs w:val="20"/>
                <w:color w:val="auto"/>
              </w:rPr>
            </w:pPr>
            <w:r>
              <w:rPr>
                <w:rFonts w:ascii="Arial" w:cs="Arial" w:eastAsia="Arial" w:hAnsi="Arial"/>
                <w:sz w:val="18"/>
                <w:szCs w:val="18"/>
                <w:color w:val="auto"/>
              </w:rPr>
              <w:t>Total commercial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2,067,857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85,714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2,449,825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995,981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40,790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spacing w:after="0"/>
              <w:rPr>
                <w:sz w:val="20"/>
                <w:szCs w:val="20"/>
                <w:color w:val="auto"/>
              </w:rPr>
            </w:pPr>
            <w:r>
              <w:rPr>
                <w:rFonts w:ascii="Arial" w:cs="Arial" w:eastAsia="Arial" w:hAnsi="Arial"/>
                <w:sz w:val="18"/>
                <w:szCs w:val="18"/>
                <w:color w:val="auto"/>
              </w:rPr>
              <w:t>Residential construction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298,592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48,168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4"/>
          </w:tcPr>
          <w:p>
            <w:pPr>
              <w:ind w:left="160"/>
              <w:spacing w:after="0"/>
              <w:rPr>
                <w:sz w:val="20"/>
                <w:szCs w:val="20"/>
                <w:color w:val="auto"/>
              </w:rPr>
            </w:pPr>
            <w:r>
              <w:rPr>
                <w:rFonts w:ascii="Arial" w:cs="Arial" w:eastAsia="Arial" w:hAnsi="Arial"/>
                <w:sz w:val="18"/>
                <w:szCs w:val="18"/>
                <w:color w:val="auto"/>
              </w:rPr>
              <w:t>Total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3,468,554</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211,634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316,933</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129,704</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4,127,566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Foreclosed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foreclosed properties at March 31, 2013, December 31, 2012 and March 31, 2012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14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6,368</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4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Residential mortgage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6,757</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7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w:t>
            </w:r>
          </w:p>
        </w:tc>
        <w:tc>
          <w:tcPr>
            <w:tcW w:w="26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28,147</w:t>
            </w: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 foreclosed property</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25,218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49,633</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(17,746)</w:t>
            </w:r>
          </w:p>
        </w:tc>
        <w:tc>
          <w:tcPr>
            <w:tcW w:w="1140" w:type="dxa"/>
            <w:vAlign w:val="bottom"/>
          </w:tcPr>
          <w:p>
            <w:pPr>
              <w:spacing w:after="0"/>
              <w:rPr>
                <w:sz w:val="18"/>
                <w:szCs w:val="18"/>
                <w:color w:val="auto"/>
              </w:rPr>
            </w:pPr>
          </w:p>
        </w:tc>
      </w:tr>
      <w:tr>
        <w:trPr>
          <w:trHeight w:val="27"/>
        </w:trPr>
        <w:tc>
          <w:tcPr>
            <w:tcW w:w="1160" w:type="dxa"/>
            <w:vAlign w:val="bottom"/>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Foreclosed property, net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16,734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18,264</w:t>
            </w:r>
          </w:p>
        </w:tc>
        <w:tc>
          <w:tcPr>
            <w:tcW w:w="2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31,887</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as a percentage of original loan unpaid principal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line="210" w:lineRule="exact"/>
              <w:rPr>
                <w:sz w:val="20"/>
                <w:szCs w:val="20"/>
                <w:color w:val="auto"/>
              </w:rPr>
            </w:pPr>
            <w:r>
              <w:rPr>
                <w:rFonts w:ascii="Arial" w:cs="Arial" w:eastAsia="Arial" w:hAnsi="Arial"/>
                <w:sz w:val="12"/>
                <w:szCs w:val="12"/>
                <w:color w:val="auto"/>
              </w:rPr>
              <w:t>36.1</w:t>
            </w:r>
            <w:r>
              <w:rPr>
                <w:rFonts w:ascii="Arial" w:cs="Arial" w:eastAsia="Arial" w:hAnsi="Arial"/>
                <w:sz w:val="24"/>
                <w:szCs w:val="24"/>
                <w:color w:val="auto"/>
                <w:vertAlign w:val="subscript"/>
              </w:rPr>
              <w:t>%</w:t>
            </w:r>
          </w:p>
        </w:tc>
        <w:tc>
          <w:tcPr>
            <w:tcW w:w="1140" w:type="dxa"/>
            <w:vAlign w:val="bottom"/>
          </w:tcPr>
          <w:p>
            <w:pPr>
              <w:spacing w:after="0"/>
              <w:rPr>
                <w:sz w:val="18"/>
                <w:szCs w:val="18"/>
                <w:color w:val="auto"/>
              </w:rPr>
            </w:pPr>
          </w:p>
        </w:tc>
      </w:tr>
      <w:tr>
        <w:trPr>
          <w:trHeight w:val="581"/>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8"/>
        </w:trPr>
        <w:tc>
          <w:tcPr>
            <w:tcW w:w="1160" w:type="dxa"/>
            <w:vAlign w:val="bottom"/>
            <w:tcBorders>
              <w:bottom w:val="single" w:sz="8" w:color="808080"/>
            </w:tcBorders>
          </w:tcPr>
          <w:p>
            <w:pPr>
              <w:spacing w:after="0"/>
              <w:rPr>
                <w:sz w:val="9"/>
                <w:szCs w:val="9"/>
                <w:color w:val="auto"/>
              </w:rPr>
            </w:pPr>
          </w:p>
        </w:tc>
        <w:tc>
          <w:tcPr>
            <w:tcW w:w="4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48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 xml:space="preserve">Activity in the valuation allowance for foreclosed property for the three months ended March 31, 2013 and 2012 is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57"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wp:posOffset>
            </wp:positionV>
            <wp:extent cx="16033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46"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18,982</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(3,347)</w:t>
            </w:r>
          </w:p>
        </w:tc>
      </w:tr>
      <w:tr>
        <w:trPr>
          <w:trHeight w:val="216"/>
        </w:trPr>
        <w:tc>
          <w:tcPr>
            <w:tcW w:w="20" w:type="dxa"/>
            <w:vAlign w:val="bottom"/>
          </w:tcPr>
          <w:p>
            <w:pPr>
              <w:spacing w:after="0"/>
              <w:rPr>
                <w:sz w:val="18"/>
                <w:szCs w:val="18"/>
                <w:color w:val="auto"/>
              </w:rPr>
            </w:pPr>
          </w:p>
        </w:tc>
        <w:tc>
          <w:tcPr>
            <w:tcW w:w="534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4,979</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17,746</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Expenses related to foreclosed assets for the three months ended March 31, 2013 and 2012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1"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wp:posOffset>
            </wp:positionV>
            <wp:extent cx="16033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46"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on sales</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1,187</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Total foreclosed property expense</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2,333</w:t>
            </w: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presents the details regarding amounts reclassified out of accumulated other comprehensive income for the three months ended March 31,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For the Three Months Ended March 31, 2013</w:t>
            </w:r>
          </w:p>
        </w:tc>
        <w:tc>
          <w:tcPr>
            <w:tcW w:w="0" w:type="dxa"/>
            <w:vAlign w:val="bottom"/>
          </w:tcPr>
          <w:p>
            <w:pPr>
              <w:spacing w:after="0"/>
              <w:rPr>
                <w:sz w:val="1"/>
                <w:szCs w:val="1"/>
                <w:color w:val="auto"/>
              </w:rPr>
            </w:pPr>
          </w:p>
        </w:tc>
      </w:tr>
      <w:tr>
        <w:trPr>
          <w:trHeight w:val="126"/>
        </w:trPr>
        <w:tc>
          <w:tcPr>
            <w:tcW w:w="49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Amounts</w:t>
            </w:r>
          </w:p>
        </w:tc>
        <w:tc>
          <w:tcPr>
            <w:tcW w:w="3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7"/>
              </w:rPr>
              <w:t>Reclassified from</w:t>
            </w: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Details about Accumulated Other Comprehensive</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3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Affected Line Item in the Statement Where</w:t>
            </w:r>
          </w:p>
        </w:tc>
        <w:tc>
          <w:tcPr>
            <w:tcW w:w="0" w:type="dxa"/>
            <w:vAlign w:val="bottom"/>
          </w:tcPr>
          <w:p>
            <w:pPr>
              <w:spacing w:after="0"/>
              <w:rPr>
                <w:sz w:val="1"/>
                <w:szCs w:val="1"/>
                <w:color w:val="auto"/>
              </w:rPr>
            </w:pPr>
          </w:p>
        </w:tc>
      </w:tr>
      <w:tr>
        <w:trPr>
          <w:trHeight w:val="149"/>
        </w:trPr>
        <w:tc>
          <w:tcPr>
            <w:tcW w:w="496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20"/>
                <w:szCs w:val="20"/>
                <w:color w:val="auto"/>
              </w:rPr>
            </w:pPr>
            <w:r>
              <w:rPr>
                <w:rFonts w:ascii="Arial" w:cs="Arial" w:eastAsia="Arial" w:hAnsi="Arial"/>
                <w:sz w:val="14"/>
                <w:szCs w:val="14"/>
                <w:b w:val="1"/>
                <w:bCs w:val="1"/>
                <w:color w:val="auto"/>
              </w:rPr>
              <w:t>Income Components</w:t>
            </w: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Income</w:t>
            </w:r>
          </w:p>
        </w:tc>
        <w:tc>
          <w:tcPr>
            <w:tcW w:w="3180" w:type="dxa"/>
            <w:vAlign w:val="bottom"/>
          </w:tcPr>
          <w:p>
            <w:pPr>
              <w:jc w:val="center"/>
              <w:spacing w:after="0"/>
              <w:rPr>
                <w:sz w:val="20"/>
                <w:szCs w:val="20"/>
                <w:color w:val="auto"/>
              </w:rPr>
            </w:pPr>
            <w:r>
              <w:rPr>
                <w:rFonts w:ascii="Arial" w:cs="Arial" w:eastAsia="Arial" w:hAnsi="Arial"/>
                <w:sz w:val="14"/>
                <w:szCs w:val="14"/>
                <w:b w:val="1"/>
                <w:bCs w:val="1"/>
                <w:color w:val="auto"/>
                <w:w w:val="90"/>
              </w:rPr>
              <w:t>Net Income is Presented</w:t>
            </w:r>
          </w:p>
        </w:tc>
        <w:tc>
          <w:tcPr>
            <w:tcW w:w="0" w:type="dxa"/>
            <w:vAlign w:val="bottom"/>
          </w:tcPr>
          <w:p>
            <w:pPr>
              <w:spacing w:after="0"/>
              <w:rPr>
                <w:sz w:val="1"/>
                <w:szCs w:val="1"/>
                <w:color w:val="auto"/>
              </w:rPr>
            </w:pPr>
          </w:p>
        </w:tc>
      </w:tr>
      <w:tr>
        <w:trPr>
          <w:trHeight w:val="216"/>
        </w:trPr>
        <w:tc>
          <w:tcPr>
            <w:tcW w:w="49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Unrealized (losses) gains on available-for-sale securities:</w:t>
            </w:r>
          </w:p>
        </w:tc>
        <w:tc>
          <w:tcPr>
            <w:tcW w:w="2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220" w:type="dxa"/>
            <w:vAlign w:val="bottom"/>
            <w:gridSpan w:val="3"/>
          </w:tcPr>
          <w:p>
            <w:pPr>
              <w:ind w:left="2120"/>
              <w:spacing w:after="0"/>
              <w:rPr>
                <w:sz w:val="20"/>
                <w:szCs w:val="20"/>
                <w:color w:val="auto"/>
              </w:rPr>
            </w:pPr>
            <w:r>
              <w:rPr>
                <w:rFonts w:ascii="Arial" w:cs="Arial" w:eastAsia="Arial" w:hAnsi="Arial"/>
                <w:sz w:val="18"/>
                <w:szCs w:val="18"/>
                <w:color w:val="auto"/>
                <w:w w:val="79"/>
              </w:rPr>
              <w:t>$</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(116) Securities gains, net</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w w:val="95"/>
              </w:rPr>
              <w:t>Amortization of gains included in net income on available-for-sale securities transferred to held to maturity:</w:t>
            </w: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2220" w:type="dxa"/>
            <w:vAlign w:val="bottom"/>
            <w:gridSpan w:val="3"/>
          </w:tcPr>
          <w:p>
            <w:pPr>
              <w:ind w:left="2120"/>
              <w:spacing w:after="0"/>
              <w:rPr>
                <w:sz w:val="20"/>
                <w:szCs w:val="20"/>
                <w:color w:val="auto"/>
              </w:rPr>
            </w:pPr>
            <w:r>
              <w:rPr>
                <w:rFonts w:ascii="Arial" w:cs="Arial" w:eastAsia="Arial" w:hAnsi="Arial"/>
                <w:sz w:val="18"/>
                <w:szCs w:val="18"/>
                <w:color w:val="auto"/>
                <w:w w:val="79"/>
              </w:rPr>
              <w:t>$</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w w:val="99"/>
              </w:rPr>
              <w:t>(319) Investment Securities Interest Revenue</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Gains included in net income on derivative financial instruments accounted for as cash flow hedges:</w:t>
            </w:r>
          </w:p>
        </w:tc>
        <w:tc>
          <w:tcPr>
            <w:tcW w:w="3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40"/>
              <w:spacing w:after="0"/>
              <w:rPr>
                <w:sz w:val="20"/>
                <w:szCs w:val="20"/>
                <w:color w:val="auto"/>
              </w:rPr>
            </w:pPr>
            <w:r>
              <w:rPr>
                <w:rFonts w:ascii="Arial" w:cs="Arial" w:eastAsia="Arial" w:hAnsi="Arial"/>
                <w:sz w:val="18"/>
                <w:szCs w:val="18"/>
                <w:color w:val="auto"/>
              </w:rPr>
              <w:t>Interest Rate Contracts</w:t>
            </w:r>
          </w:p>
        </w:tc>
        <w:tc>
          <w:tcPr>
            <w:tcW w:w="2220" w:type="dxa"/>
            <w:vAlign w:val="bottom"/>
            <w:gridSpan w:val="3"/>
          </w:tcPr>
          <w:p>
            <w:pPr>
              <w:ind w:left="2120"/>
              <w:spacing w:after="0"/>
              <w:rPr>
                <w:sz w:val="20"/>
                <w:szCs w:val="20"/>
                <w:color w:val="auto"/>
              </w:rPr>
            </w:pPr>
            <w:r>
              <w:rPr>
                <w:rFonts w:ascii="Arial" w:cs="Arial" w:eastAsia="Arial" w:hAnsi="Arial"/>
                <w:sz w:val="18"/>
                <w:szCs w:val="18"/>
                <w:color w:val="auto"/>
                <w:w w:val="79"/>
              </w:rPr>
              <w:t>$</w:t>
            </w:r>
          </w:p>
        </w:tc>
        <w:tc>
          <w:tcPr>
            <w:tcW w:w="4240" w:type="dxa"/>
            <w:vAlign w:val="bottom"/>
            <w:gridSpan w:val="3"/>
          </w:tcPr>
          <w:p>
            <w:pPr>
              <w:ind w:left="620"/>
              <w:spacing w:after="0"/>
              <w:rPr>
                <w:sz w:val="20"/>
                <w:szCs w:val="20"/>
                <w:color w:val="auto"/>
              </w:rPr>
            </w:pPr>
            <w:r>
              <w:rPr>
                <w:rFonts w:ascii="Arial" w:cs="Arial" w:eastAsia="Arial" w:hAnsi="Arial"/>
                <w:sz w:val="18"/>
                <w:szCs w:val="18"/>
                <w:color w:val="auto"/>
              </w:rPr>
              <w:t>(537) Loan Interest Revenue</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Rate Contracts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(1) Other Fee Revenue</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Pr>
          <w:p>
            <w:pPr>
              <w:spacing w:after="0"/>
              <w:rPr>
                <w:sz w:val="18"/>
                <w:szCs w:val="18"/>
                <w:color w:val="auto"/>
              </w:rPr>
            </w:pPr>
          </w:p>
        </w:tc>
        <w:tc>
          <w:tcPr>
            <w:tcW w:w="2220" w:type="dxa"/>
            <w:vAlign w:val="bottom"/>
            <w:gridSpan w:val="3"/>
          </w:tcPr>
          <w:p>
            <w:pPr>
              <w:ind w:left="21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20" w:type="dxa"/>
            <w:vAlign w:val="bottom"/>
            <w:gridSpan w:val="7"/>
            <w:shd w:val="clear" w:color="auto" w:fill="CCEEFF"/>
          </w:tcPr>
          <w:p>
            <w:pPr>
              <w:ind w:left="180"/>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6"/>
        </w:trPr>
        <w:tc>
          <w:tcPr>
            <w:tcW w:w="4960" w:type="dxa"/>
            <w:vAlign w:val="bottom"/>
          </w:tcPr>
          <w:p>
            <w:pPr>
              <w:ind w:left="340"/>
              <w:spacing w:after="0"/>
              <w:rPr>
                <w:sz w:val="20"/>
                <w:szCs w:val="20"/>
                <w:color w:val="auto"/>
              </w:rPr>
            </w:pPr>
            <w:r>
              <w:rPr>
                <w:rFonts w:ascii="Arial" w:cs="Arial" w:eastAsia="Arial" w:hAnsi="Arial"/>
                <w:sz w:val="18"/>
                <w:szCs w:val="18"/>
                <w:color w:val="auto"/>
              </w:rPr>
              <w:t>Prior Service Cost</w:t>
            </w:r>
          </w:p>
        </w:tc>
        <w:tc>
          <w:tcPr>
            <w:tcW w:w="2220" w:type="dxa"/>
            <w:vAlign w:val="bottom"/>
            <w:gridSpan w:val="3"/>
          </w:tcPr>
          <w:p>
            <w:pPr>
              <w:ind w:left="2120"/>
              <w:spacing w:after="0"/>
              <w:rPr>
                <w:sz w:val="20"/>
                <w:szCs w:val="20"/>
                <w:color w:val="auto"/>
              </w:rPr>
            </w:pPr>
            <w:r>
              <w:rPr>
                <w:rFonts w:ascii="Arial" w:cs="Arial" w:eastAsia="Arial" w:hAnsi="Arial"/>
                <w:sz w:val="18"/>
                <w:szCs w:val="18"/>
                <w:color w:val="auto"/>
                <w:w w:val="79"/>
              </w:rPr>
              <w:t>$</w:t>
            </w:r>
          </w:p>
        </w:tc>
        <w:tc>
          <w:tcPr>
            <w:tcW w:w="4240" w:type="dxa"/>
            <w:vAlign w:val="bottom"/>
            <w:gridSpan w:val="3"/>
          </w:tcPr>
          <w:p>
            <w:pPr>
              <w:ind w:left="760"/>
              <w:spacing w:after="0"/>
              <w:rPr>
                <w:sz w:val="20"/>
                <w:szCs w:val="20"/>
                <w:color w:val="auto"/>
              </w:rPr>
            </w:pPr>
            <w:r>
              <w:rPr>
                <w:rFonts w:ascii="Arial" w:cs="Arial" w:eastAsia="Arial" w:hAnsi="Arial"/>
                <w:sz w:val="18"/>
                <w:szCs w:val="18"/>
                <w:color w:val="auto"/>
                <w:w w:val="97"/>
              </w:rPr>
              <w:t>90 Salaries and Employee Benefits Expense</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gain/loss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w w:val="97"/>
              </w:rPr>
              <w:t>42 Salaries and Employee Benefits Expense</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tcPr>
          <w:p>
            <w:pPr>
              <w:spacing w:after="0"/>
              <w:rPr>
                <w:sz w:val="18"/>
                <w:szCs w:val="18"/>
                <w:color w:val="auto"/>
              </w:rPr>
            </w:pPr>
          </w:p>
        </w:tc>
        <w:tc>
          <w:tcPr>
            <w:tcW w:w="2220" w:type="dxa"/>
            <w:vAlign w:val="bottom"/>
            <w:gridSpan w:val="3"/>
          </w:tcPr>
          <w:p>
            <w:pPr>
              <w:ind w:left="21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3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00" w:type="dxa"/>
            <w:vAlign w:val="bottom"/>
            <w:vMerge w:val="restart"/>
          </w:tcPr>
          <w:p>
            <w:pPr>
              <w:jc w:val="right"/>
              <w:ind w:right="107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9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three months ended March 31, 2013 and 2012,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23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wp:posOffset>
            </wp:positionV>
            <wp:extent cx="16033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46"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Series A - 6% fixed</w:t>
            </w:r>
          </w:p>
        </w:tc>
        <w:tc>
          <w:tcPr>
            <w:tcW w:w="720" w:type="dxa"/>
            <w:vAlign w:val="bottom"/>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2,608</w:t>
            </w: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D - LIBOR plus 9.6875%, resets quarterly</w:t>
            </w:r>
          </w:p>
        </w:tc>
        <w:tc>
          <w:tcPr>
            <w:tcW w:w="7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Total preferred stock dividends</w:t>
            </w:r>
          </w:p>
        </w:tc>
        <w:tc>
          <w:tcPr>
            <w:tcW w:w="720" w:type="dxa"/>
            <w:vAlign w:val="bottom"/>
          </w:tcPr>
          <w:p>
            <w:pPr>
              <w:jc w:val="right"/>
              <w:ind w:right="566"/>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3,052</w:t>
            </w: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3,030</w:t>
            </w: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preferred stock dividends are payable quarterly.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 B preferred stock was issued at a discount. Dividend amounts shown include discount accretion for each period.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 There were no dilutive securities outstanding for the three months ended March 31, 2013 and 2012.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months ended March 31,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 xml:space="preserve"> </w:t>
      </w:r>
      <w:r>
        <w:rPr>
          <w:rFonts w:ascii="Arial" w:cs="Arial" w:eastAsia="Arial" w:hAnsi="Arial"/>
          <w:sz w:val="18"/>
          <w:szCs w:val="18"/>
          <w:i w:val="1"/>
          <w:iCs w:val="1"/>
          <w:color w:val="auto"/>
        </w:rPr>
        <w:t>except per share data)</w:t>
      </w:r>
      <w:r>
        <w:rPr>
          <w:rFonts w:ascii="Arial" w:cs="Arial" w:eastAsia="Arial" w:hAnsi="Arial"/>
          <w:sz w:val="18"/>
          <w:szCs w:val="18"/>
          <w:color w:val="auto"/>
        </w:rPr>
        <w:t>.</w:t>
      </w:r>
    </w:p>
    <w:p>
      <w:pPr>
        <w:spacing w:after="0" w:line="257"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wp:posOffset>
            </wp:positionV>
            <wp:extent cx="160337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46"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shareholders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58,081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00"/>
              <w:spacing w:after="0"/>
              <w:rPr>
                <w:sz w:val="20"/>
                <w:szCs w:val="20"/>
                <w:color w:val="auto"/>
              </w:rPr>
            </w:pPr>
            <w:r>
              <w:rPr>
                <w:rFonts w:ascii="Arial" w:cs="Arial" w:eastAsia="Arial" w:hAnsi="Arial"/>
                <w:sz w:val="18"/>
                <w:szCs w:val="18"/>
                <w:color w:val="auto"/>
              </w:rPr>
              <w:t>Convertible securities</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00"/>
              <w:spacing w:after="0"/>
              <w:rPr>
                <w:sz w:val="20"/>
                <w:szCs w:val="20"/>
                <w:color w:val="auto"/>
              </w:rPr>
            </w:pPr>
            <w:r>
              <w:rPr>
                <w:rFonts w:ascii="Arial" w:cs="Arial" w:eastAsia="Arial" w:hAnsi="Arial"/>
                <w:sz w:val="18"/>
                <w:szCs w:val="18"/>
                <w:color w:val="auto"/>
              </w:rPr>
              <w:t>Warrants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Loss per common share:</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March 31, 2013, United had the following potentially dilutive stock options and warrants outstanding: a warrant to purchase 219,909 common shares at $61.40 per share issued to the U.S. Treasury in conjunction with the issuance of United’s fixed rate cumulative preferred perpetual stock, Series B; 129,670 common shares issuable upon exercise of warrants attached to trust preferred securities with an exercise price of $100 per share; 476,311 common shares issuable upon exercise of stock options granted to employees with a weighted average exercise price of $97.85; 497,800 shares issuable upon completion of vesting of restricted stock awards; 1,411,765 common shares issuable upon exercise of warrants exercisable at a price equivalent to $21.25 per share granted to Fletcher International Ltd. (“Fletcher”) in connection with a 2010 asset purchase and sale agreement; and 1,551,126 common shares issuable upon exercise of warrants granted in connection with United’s tax benefits preservation plan, exercisable at $12.50 per share.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net basis by counterparty portfolio.</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March 31, 2013, December 31, 2012 and March 31,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accounted for as hedges under ASC 815</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Interest Rate Products</w:t>
            </w:r>
          </w:p>
        </w:tc>
        <w:tc>
          <w:tcPr>
            <w:tcW w:w="74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3380" w:type="dxa"/>
            <w:vAlign w:val="bottom"/>
            <w:shd w:val="clear" w:color="auto" w:fill="CCEEFF"/>
          </w:tcPr>
          <w:p>
            <w:pPr>
              <w:spacing w:after="0"/>
              <w:rPr>
                <w:sz w:val="20"/>
                <w:szCs w:val="20"/>
                <w:color w:val="auto"/>
              </w:rPr>
            </w:pPr>
          </w:p>
        </w:tc>
        <w:tc>
          <w:tcPr>
            <w:tcW w:w="24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2460" w:type="dxa"/>
            <w:vAlign w:val="bottom"/>
            <w:gridSpan w:val="3"/>
          </w:tcPr>
          <w:p>
            <w:pPr>
              <w:ind w:left="7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13,964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
        </w:trPr>
        <w:tc>
          <w:tcPr>
            <w:tcW w:w="5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Derivatives not accounted for as hedges under ASC 815</w:t>
            </w: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000" w:type="dxa"/>
            <w:vAlign w:val="bottom"/>
            <w:gridSpan w:val="3"/>
            <w:vMerge w:val="continue"/>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1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201"/>
        </w:trPr>
        <w:tc>
          <w:tcPr>
            <w:tcW w:w="5000" w:type="dxa"/>
            <w:vAlign w:val="bottom"/>
            <w:gridSpan w:val="3"/>
          </w:tcPr>
          <w:p>
            <w:pPr>
              <w:spacing w:after="0"/>
              <w:rPr>
                <w:sz w:val="20"/>
                <w:szCs w:val="20"/>
                <w:color w:val="auto"/>
              </w:rPr>
            </w:pPr>
            <w:r>
              <w:rPr>
                <w:rFonts w:ascii="Arial" w:cs="Arial" w:eastAsia="Arial" w:hAnsi="Arial"/>
                <w:sz w:val="14"/>
                <w:szCs w:val="14"/>
                <w:b w:val="1"/>
                <w:bCs w:val="1"/>
                <w:color w:val="auto"/>
              </w:rPr>
              <w:t>Interest Rate Products</w:t>
            </w:r>
          </w:p>
        </w:tc>
        <w:tc>
          <w:tcPr>
            <w:tcW w:w="74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18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3380" w:type="dxa"/>
            <w:vAlign w:val="bottom"/>
            <w:shd w:val="clear" w:color="auto" w:fill="CCEEFF"/>
          </w:tcPr>
          <w:p>
            <w:pPr>
              <w:spacing w:after="0"/>
              <w:rPr>
                <w:sz w:val="20"/>
                <w:szCs w:val="20"/>
                <w:color w:val="auto"/>
              </w:rPr>
            </w:pPr>
          </w:p>
        </w:tc>
        <w:tc>
          <w:tcPr>
            <w:tcW w:w="24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2460" w:type="dxa"/>
            <w:vAlign w:val="bottom"/>
            <w:gridSpan w:val="3"/>
          </w:tcPr>
          <w:p>
            <w:pPr>
              <w:ind w:left="7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Derivative contracts that are not accounted for as hedges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between United and certain commercial loan customers with offsetting positions to dealers under a back-to-back swap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March 31, 2013,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United in a rising rate environment. The swaps are forward starting and do not become effective until 2014. United had five swap contracts outstanding with a total notional amount of $400 million that were designated as cash flow hedges of brokered deposits at March 31, 2013 and December 31, 2012. United had no active derivative contracts outstanding at March 31, 2012, that were designated as cash flow hedges of interest rate risk.</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effective portion of changes in the fair value of derivatives designated as,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At March 31, 2013, a portion of the amount included in other comprehensive income represents deferred gains from terminated cash flow hedges where the forecasted hedging transaction is expected to remain effective over the remaining unexpired term of the original contract.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gains are being deferred and recognized over the remaining life of the contract on a straight line basis. During the three months ended March 31, 2013 and 2012, United accelerated the reclassification of $1,000 and $81,000, respectively, in gains from terminated positions as a result of the forecasted transactions becoming probable not to occur. During the next twelve months, United estimates that the remaining $365,000 of the deferred gains on terminated cash flow hedging positions will be reclassified as an increase to loan interest revenue. In addition, United’s forward starting active cash flow hedges of floating rate liabilities will begin to become effective over the next twelve months. United expects that $83,000 will be reclassified as an increase to deposit interest expense over the next twelve months related to these cash flow hedges.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involve the receipt of fixed-rate or variable rate amounts from a counterparty in exchange for United making variable rate or fixed rate payments over the life of the agreements without the exchange of the underlying notional amount. At March 31, 2013, United had 18 interest rate swaps with an aggregate notional amount of $220 million that were designated as fair value hedges of interest rate risk. Two of the interest rate swaps outstanding at March 31, 2013 with an aggregate notional amount of $21 million were receive-variable / pay-fixed swaps that were used for the purpose of hedging changes in the fair value of fixed rate corporate bonds resulting from changes in interest rates. The other 16 were pay-variable / receive-fixed swaps hedging changes in fair value of fixed rate brokered time deposits resulting from changes in interest rates. As of March 31, 2012, United had four interest rate swaps with an aggregate notional amount of $64.5 million that were designated as fair value hedges.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months ended March 31, 2013 and 2012, United recognized net losses of $86,000 and net gains of $34,000, respectively, related to ineffectiveness of the fair value hedging relationships. United also recognized a net reduction of interest expense of $1.06 million and $278,000 for the three months ended March 31, 2013 and 2012, respectively, related to United’s fair value hedges of brokered time deposits, which includes net settlements on the derivatives. United recognized a $12,000 reduction of interest revenue on securities during the first quarter of 2013 related to United’s fair value hedges of corporate bonds.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months ended March 31,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Location of Gain (Loss)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4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Amount of Gain (Loss) Recognized in</w:t>
            </w:r>
          </w:p>
        </w:tc>
        <w:tc>
          <w:tcPr>
            <w:tcW w:w="100" w:type="dxa"/>
            <w:vAlign w:val="bottom"/>
          </w:tcPr>
          <w:p>
            <w:pPr>
              <w:spacing w:after="0"/>
              <w:rPr>
                <w:sz w:val="14"/>
                <w:szCs w:val="14"/>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Amount of Gain (Loss) Recognized in</w:t>
            </w:r>
          </w:p>
        </w:tc>
        <w:tc>
          <w:tcPr>
            <w:tcW w:w="0" w:type="dxa"/>
            <w:vAlign w:val="bottom"/>
          </w:tcPr>
          <w:p>
            <w:pPr>
              <w:spacing w:after="0"/>
              <w:rPr>
                <w:sz w:val="1"/>
                <w:szCs w:val="1"/>
                <w:color w:val="auto"/>
              </w:rPr>
            </w:pPr>
          </w:p>
        </w:tc>
      </w:tr>
      <w:tr>
        <w:trPr>
          <w:trHeight w:val="178"/>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Recognized in Income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7"/>
          </w:tcPr>
          <w:p>
            <w:pPr>
              <w:jc w:val="center"/>
              <w:ind w:right="580"/>
              <w:spacing w:after="0"/>
              <w:rPr>
                <w:sz w:val="20"/>
                <w:szCs w:val="20"/>
                <w:color w:val="auto"/>
              </w:rPr>
            </w:pPr>
            <w:r>
              <w:rPr>
                <w:rFonts w:ascii="Arial" w:cs="Arial" w:eastAsia="Arial" w:hAnsi="Arial"/>
                <w:sz w:val="14"/>
                <w:szCs w:val="14"/>
                <w:b w:val="1"/>
                <w:bCs w:val="1"/>
                <w:color w:val="auto"/>
                <w:w w:val="93"/>
              </w:rPr>
              <w:t>Income on Derivative</w:t>
            </w:r>
          </w:p>
        </w:tc>
        <w:tc>
          <w:tcPr>
            <w:tcW w:w="100" w:type="dxa"/>
            <w:vAlign w:val="bottom"/>
          </w:tcPr>
          <w:p>
            <w:pPr>
              <w:spacing w:after="0"/>
              <w:rPr>
                <w:sz w:val="15"/>
                <w:szCs w:val="15"/>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Income on Hedged Item</w:t>
            </w:r>
          </w:p>
        </w:tc>
        <w:tc>
          <w:tcPr>
            <w:tcW w:w="0" w:type="dxa"/>
            <w:vAlign w:val="bottom"/>
          </w:tcPr>
          <w:p>
            <w:pPr>
              <w:spacing w:after="0"/>
              <w:rPr>
                <w:sz w:val="1"/>
                <w:szCs w:val="1"/>
                <w:color w:val="auto"/>
              </w:rPr>
            </w:pPr>
          </w:p>
        </w:tc>
      </w:tr>
      <w:tr>
        <w:trPr>
          <w:trHeight w:val="216"/>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on Derivative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(2,076)</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
        </w:trPr>
        <w:tc>
          <w:tcPr>
            <w:tcW w:w="5080" w:type="dxa"/>
            <w:vAlign w:val="bottom"/>
            <w:gridSpan w:val="6"/>
            <w:vMerge w:val="restart"/>
          </w:tcPr>
          <w:p>
            <w:pPr>
              <w:spacing w:after="0"/>
              <w:rPr>
                <w:sz w:val="20"/>
                <w:szCs w:val="20"/>
                <w:color w:val="auto"/>
              </w:rPr>
            </w:pPr>
            <w:r>
              <w:rPr>
                <w:rFonts w:ascii="Arial" w:cs="Arial" w:eastAsia="Arial" w:hAnsi="Arial"/>
                <w:sz w:val="18"/>
                <w:szCs w:val="18"/>
                <w:b w:val="1"/>
                <w:bCs w:val="1"/>
                <w:color w:val="auto"/>
                <w:w w:val="94"/>
              </w:rPr>
              <w:t xml:space="preserve">Derivatives in Cash Flow Hedging Relationships </w:t>
            </w:r>
            <w:r>
              <w:rPr>
                <w:rFonts w:ascii="Arial" w:cs="Arial" w:eastAsia="Arial" w:hAnsi="Arial"/>
                <w:sz w:val="18"/>
                <w:szCs w:val="18"/>
                <w:i w:val="1"/>
                <w:iCs w:val="1"/>
                <w:color w:val="auto"/>
                <w:w w:val="94"/>
              </w:rPr>
              <w:t>(in thousands).</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08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Recognized in 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gridSpan w:val="10"/>
            <w:vMerge w:val="restart"/>
          </w:tcPr>
          <w:p>
            <w:pPr>
              <w:jc w:val="center"/>
              <w:ind w:right="140"/>
              <w:spacing w:after="0"/>
              <w:rPr>
                <w:sz w:val="20"/>
                <w:szCs w:val="20"/>
                <w:color w:val="auto"/>
              </w:rPr>
            </w:pPr>
            <w:r>
              <w:rPr>
                <w:rFonts w:ascii="Arial" w:cs="Arial" w:eastAsia="Arial" w:hAnsi="Arial"/>
                <w:sz w:val="14"/>
                <w:szCs w:val="14"/>
                <w:b w:val="1"/>
                <w:bCs w:val="1"/>
                <w:color w:val="auto"/>
                <w:w w:val="92"/>
              </w:rPr>
              <w:t>Gain (Loss) Reclassified from Accumulated Other</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 Income 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80" w:type="dxa"/>
            <w:vAlign w:val="bottom"/>
            <w:gridSpan w:val="10"/>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Derivative (Effective Portion)</w:t>
            </w: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140" w:type="dxa"/>
            <w:vAlign w:val="bottom"/>
            <w:tcBorders>
              <w:bottom w:val="single" w:sz="8" w:color="auto"/>
            </w:tcBorders>
            <w:gridSpan w:val="12"/>
          </w:tcPr>
          <w:p>
            <w:pPr>
              <w:jc w:val="center"/>
              <w:ind w:left="638"/>
              <w:spacing w:after="0"/>
              <w:rPr>
                <w:sz w:val="20"/>
                <w:szCs w:val="20"/>
                <w:color w:val="auto"/>
              </w:rPr>
            </w:pPr>
            <w:r>
              <w:rPr>
                <w:rFonts w:ascii="Arial" w:cs="Arial" w:eastAsia="Arial" w:hAnsi="Arial"/>
                <w:sz w:val="14"/>
                <w:szCs w:val="14"/>
                <w:b w:val="1"/>
                <w:bCs w:val="1"/>
                <w:color w:val="auto"/>
                <w:w w:val="92"/>
              </w:rPr>
              <w:t>Comprehensive Income into Income (Effective Portion)</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65"/>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1000" w:type="dxa"/>
            <w:vAlign w:val="bottom"/>
            <w:gridSpan w:val="2"/>
          </w:tcPr>
          <w:p>
            <w:pPr>
              <w:ind w:left="540"/>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Location</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4"/>
          </w:tcPr>
          <w:p>
            <w:pPr>
              <w:spacing w:after="0"/>
              <w:rPr>
                <w:sz w:val="20"/>
                <w:szCs w:val="20"/>
                <w:color w:val="auto"/>
              </w:rPr>
            </w:pPr>
            <w:r>
              <w:rPr>
                <w:rFonts w:ascii="Arial" w:cs="Arial" w:eastAsia="Arial" w:hAnsi="Arial"/>
                <w:sz w:val="18"/>
                <w:szCs w:val="18"/>
                <w:color w:val="auto"/>
              </w:rPr>
              <w:t>Interest revenue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538</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income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Interest rate products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sectPr>
      </w:pPr>
    </w:p>
    <w:bookmarkStart w:id="26" w:name="page27"/>
    <w:bookmarkEnd w:id="26"/>
    <w:p>
      <w:pPr>
        <w:jc w:val="center"/>
        <w:ind w:right="40"/>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Derivatives Not Accounted for as Hedges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Location of Gain (Loss)</w:t>
            </w: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Amount of Gain (Loss) Recognized in</w:t>
            </w:r>
          </w:p>
        </w:tc>
        <w:tc>
          <w:tcPr>
            <w:tcW w:w="0" w:type="dxa"/>
            <w:vAlign w:val="bottom"/>
          </w:tcPr>
          <w:p>
            <w:pPr>
              <w:spacing w:after="0"/>
              <w:rPr>
                <w:sz w:val="1"/>
                <w:szCs w:val="1"/>
                <w:color w:val="auto"/>
              </w:rPr>
            </w:pPr>
          </w:p>
        </w:tc>
      </w:tr>
      <w:tr>
        <w:trPr>
          <w:trHeight w:val="178"/>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Recognized in Income</w:t>
            </w: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Income on Customer Derivatives</w:t>
            </w: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on Derivative</w:t>
            </w:r>
          </w:p>
        </w:tc>
        <w:tc>
          <w:tcPr>
            <w:tcW w:w="2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fee revenue</w:t>
            </w:r>
          </w:p>
        </w:tc>
        <w:tc>
          <w:tcPr>
            <w:tcW w:w="2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March 31, 2013, collateral totaling $14.6 million was pledged toward derivatives in a liability position.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Valuation Methodology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1, 2013, United changed its valuation methodology for over-the-counter derivatives to discount cash flows based on Overnight Index Swap (“OIS”) rates. Fully collateralized trades are discounted using OIS with no additional economic adjustments to arrive at fair value. Uncollateralized or partially collateralized trades are also discounted at OIS, but include appropriate economic adjustments for funding costs (i.e. LIBOR-OIS basis adjustment to approximate uncollateralized cost of funds) and credit risk. United changed its methodology to better align its inputs, assumptions and pricing methodologies with those used in its principal market by most dealers and major market participants. The changes in valuation methodology are applied prospectively as a change in accounting estimate and are not material to United’s financial position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and restricted stock unit awards provide for accelerated vesting if there is a change in control (as defined in the plan). As of March 31, 2013, 1,194,000 additional awards could be granted under the plan. Through March 31, 2013, incentive stock options, nonqualified stock options, restricted stock and restricted stock unit awards, base salary stock grants and performance share awards have been granted under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three months of 2013.</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Weighted-</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Intrinisic</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Average Exercise</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8"/>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Options</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Term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33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482,528</w:t>
            </w:r>
          </w:p>
        </w:tc>
        <w:tc>
          <w:tcPr>
            <w:tcW w:w="2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97.73</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Forfeited</w:t>
            </w:r>
          </w:p>
        </w:tc>
        <w:tc>
          <w:tcPr>
            <w:tcW w:w="3300" w:type="dxa"/>
            <w:vAlign w:val="bottom"/>
            <w:gridSpan w:val="4"/>
          </w:tcPr>
          <w:p>
            <w:pPr>
              <w:jc w:val="right"/>
              <w:ind w:right="8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30.11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000" w:type="dxa"/>
            <w:vAlign w:val="bottom"/>
            <w:gridSpan w:val="2"/>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98.55</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2013</w:t>
            </w:r>
          </w:p>
        </w:tc>
        <w:tc>
          <w:tcPr>
            <w:tcW w:w="2000" w:type="dxa"/>
            <w:vAlign w:val="bottom"/>
            <w:tcBorders>
              <w:top w:val="single" w:sz="8" w:color="CCEEFF"/>
            </w:tcBorders>
            <w:gridSpan w:val="2"/>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476,311</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97.85</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3.1</w:t>
            </w:r>
          </w:p>
        </w:tc>
        <w:tc>
          <w:tcPr>
            <w:tcW w:w="2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Exercisable at March 31, 2013</w:t>
            </w:r>
          </w:p>
        </w:tc>
        <w:tc>
          <w:tcPr>
            <w:tcW w:w="3300" w:type="dxa"/>
            <w:vAlign w:val="bottom"/>
            <w:gridSpan w:val="4"/>
          </w:tcPr>
          <w:p>
            <w:pPr>
              <w:jc w:val="right"/>
              <w:ind w:right="140"/>
              <w:spacing w:after="0"/>
              <w:rPr>
                <w:sz w:val="20"/>
                <w:szCs w:val="20"/>
                <w:color w:val="auto"/>
              </w:rPr>
            </w:pPr>
            <w:r>
              <w:rPr>
                <w:rFonts w:ascii="Arial" w:cs="Arial" w:eastAsia="Arial" w:hAnsi="Arial"/>
                <w:sz w:val="18"/>
                <w:szCs w:val="18"/>
                <w:color w:val="auto"/>
              </w:rPr>
              <w:t>456,514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101.07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80" w:type="dxa"/>
            <w:vAlign w:val="bottom"/>
            <w:vMerge w:val="restart"/>
          </w:tcPr>
          <w:p>
            <w:pPr>
              <w:jc w:val="right"/>
              <w:ind w:right="7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three month period ended March 31, 2013. Recent decreases in United’s stock price have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 No options were granted during the three months ended March 31, 2013 and 2012.</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Compensation expense relating to stock options of $64,000 and $180,000 was included in earnings for the three months ended March 31, 2013 and 2012, respectively.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three months of 2013 or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activity in restricted stock and restricted stock unit awards for the first three months of 2013.</w:t>
      </w:r>
    </w:p>
    <w:p>
      <w:pPr>
        <w:spacing w:after="0" w:line="29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Average Grant-</w:t>
            </w: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Restricted Stock</w:t>
            </w:r>
          </w:p>
        </w:tc>
        <w:tc>
          <w:tcPr>
            <w:tcW w:w="16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Date 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2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485,584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Granted</w:t>
            </w:r>
          </w:p>
        </w:tc>
        <w:tc>
          <w:tcPr>
            <w:tcW w:w="2880" w:type="dxa"/>
            <w:vAlign w:val="bottom"/>
            <w:gridSpan w:val="3"/>
          </w:tcPr>
          <w:p>
            <w:pPr>
              <w:jc w:val="right"/>
              <w:ind w:right="140"/>
              <w:spacing w:after="0"/>
              <w:rPr>
                <w:sz w:val="20"/>
                <w:szCs w:val="20"/>
                <w:color w:val="auto"/>
              </w:rPr>
            </w:pPr>
            <w:r>
              <w:rPr>
                <w:rFonts w:ascii="Arial" w:cs="Arial" w:eastAsia="Arial" w:hAnsi="Arial"/>
                <w:sz w:val="18"/>
                <w:szCs w:val="18"/>
                <w:color w:val="auto"/>
              </w:rPr>
              <w:t>21,517</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Excercised</w:t>
            </w:r>
          </w:p>
        </w:tc>
        <w:tc>
          <w:tcPr>
            <w:tcW w:w="2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(4,301)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Cancelled</w:t>
            </w:r>
          </w:p>
        </w:tc>
        <w:tc>
          <w:tcPr>
            <w:tcW w:w="16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2013</w:t>
            </w:r>
          </w:p>
        </w:tc>
        <w:tc>
          <w:tcPr>
            <w:tcW w:w="16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497,800</w:t>
            </w: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Vested at March 31, 2013</w:t>
            </w:r>
          </w:p>
        </w:tc>
        <w:tc>
          <w:tcPr>
            <w:tcW w:w="16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43,100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Compensation expense for restricted stock and restricted stock units is based on the fair value of restricted stock and restricted stock unit awards at the time of grant, which is equal to the value of United’s common stock on the date of grant. The value of restricted stock and restricted stock unit grants that are expected to vest is amortized into expense over the vesting period. For the three months ended March 31, 2013 and 2012, compensation expense of $445,000 and $405,000, respectively, was recognized related to restricted stock and restricted stock unit awards. In addition, for the three months ended March 31, 2013, $17,000 was recognized in other operating expense for restricted stock units granted to members of United’s board of directors. The total intrinsic value of restricted stock and restricted stock units was $5.65 million at March 31, 2013.</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31, 2013, there was $2.85 million of unrecognized compensation cost related to non-vested stock options and restricted stock and restricted stock unit awards granted under the plan. That cost is expected to be recognized over a weighted-average period of 1.76 years. The aggregate grant date fair value of options and restricted stock and restricted stock unit awards that vested during the three months ended March 31, 2013, was $461,000.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three months ended March 31, 2013 and 2012, United issued 18,170 and 35,648 shares, respectively, and increased capital by $189,000 and $278,000, respectively, through these programs.</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 stock and settlement must be accomplished in shares at the time the deferral period is completed. At March 31, 2013 and 2012, 133,469 and 90,126 shares, respectively, were issuable under the deferred compensation plan.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Assets and Liabilities Measured at Fair Value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75"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5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 Generally, book value approximates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2013,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March 31, 2013, December 31, 2012 and March 31, 2012,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440" w:type="dxa"/>
            <w:vAlign w:val="bottom"/>
            <w:gridSpan w:val="2"/>
          </w:tcPr>
          <w:p>
            <w:pPr>
              <w:ind w:left="460"/>
              <w:spacing w:after="0"/>
              <w:rPr>
                <w:sz w:val="20"/>
                <w:szCs w:val="20"/>
                <w:color w:val="auto"/>
              </w:rPr>
            </w:pPr>
            <w:r>
              <w:rPr>
                <w:rFonts w:ascii="Arial" w:cs="Arial" w:eastAsia="Arial" w:hAnsi="Arial"/>
                <w:sz w:val="14"/>
                <w:szCs w:val="14"/>
                <w:b w:val="1"/>
                <w:bCs w:val="1"/>
                <w:color w:val="auto"/>
              </w:rPr>
              <w:t>March 31, 2013</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3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1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24,037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Mortgage-backed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1,468,311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1,468,311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188,444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188,794</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225,870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225,870</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46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3,037</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1,909,678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1,913,065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
        </w:trPr>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3,037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Brokered certificates of deposit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194,415</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14,556</w:t>
            </w:r>
          </w:p>
        </w:tc>
        <w:tc>
          <w:tcPr>
            <w:tcW w:w="46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60" w:type="dxa"/>
            <w:vAlign w:val="bottom"/>
          </w:tcPr>
          <w:p>
            <w:pPr>
              <w:spacing w:after="0"/>
              <w:rPr>
                <w:sz w:val="22"/>
                <w:szCs w:val="22"/>
                <w:color w:val="auto"/>
              </w:rPr>
            </w:pPr>
          </w:p>
        </w:tc>
        <w:tc>
          <w:tcPr>
            <w:tcW w:w="3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0" w:type="dxa"/>
            <w:vAlign w:val="bottom"/>
            <w:gridSpan w:val="2"/>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208,971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212,008</w:t>
            </w:r>
          </w:p>
        </w:tc>
        <w:tc>
          <w:tcPr>
            <w:tcW w:w="460" w:type="dxa"/>
            <w:vAlign w:val="bottom"/>
          </w:tcPr>
          <w:p>
            <w:pPr>
              <w:spacing w:after="0"/>
              <w:rPr>
                <w:sz w:val="22"/>
                <w:szCs w:val="22"/>
                <w:color w:val="auto"/>
              </w:rPr>
            </w:pPr>
          </w:p>
        </w:tc>
      </w:tr>
      <w:tr>
        <w:trPr>
          <w:trHeight w:val="433"/>
        </w:trPr>
        <w:tc>
          <w:tcPr>
            <w:tcW w:w="460" w:type="dxa"/>
            <w:vAlign w:val="bottom"/>
          </w:tcPr>
          <w:p>
            <w:pPr>
              <w:spacing w:after="0"/>
              <w:rPr>
                <w:sz w:val="24"/>
                <w:szCs w:val="24"/>
                <w:color w:val="auto"/>
              </w:rPr>
            </w:pPr>
          </w:p>
        </w:tc>
        <w:tc>
          <w:tcPr>
            <w:tcW w:w="398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4"/>
                <w:szCs w:val="14"/>
                <w:b w:val="1"/>
                <w:bCs w:val="1"/>
                <w:color w:val="auto"/>
              </w:rPr>
              <w:t>December 31, 2012</w:t>
            </w:r>
          </w:p>
        </w:tc>
        <w:tc>
          <w:tcPr>
            <w:tcW w:w="15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 and political subdivisions</w:t>
            </w:r>
          </w:p>
        </w:tc>
        <w:tc>
          <w:tcPr>
            <w:tcW w:w="1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Mortgage-backed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1,428,502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1,428,502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163,312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163,662</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210,556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210,556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3,101</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46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3,101</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1,834,901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1,838,352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
        </w:trPr>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3,101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Brokered certificates of deposit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154,641</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12,543</w:t>
            </w:r>
          </w:p>
        </w:tc>
        <w:tc>
          <w:tcPr>
            <w:tcW w:w="46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60" w:type="dxa"/>
            <w:vAlign w:val="bottom"/>
          </w:tcPr>
          <w:p>
            <w:pPr>
              <w:spacing w:after="0"/>
              <w:rPr>
                <w:sz w:val="22"/>
                <w:szCs w:val="22"/>
                <w:color w:val="auto"/>
              </w:rPr>
            </w:pPr>
          </w:p>
        </w:tc>
        <w:tc>
          <w:tcPr>
            <w:tcW w:w="3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0" w:type="dxa"/>
            <w:vAlign w:val="bottom"/>
            <w:gridSpan w:val="2"/>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170,285</w:t>
            </w:r>
          </w:p>
        </w:tc>
        <w:tc>
          <w:tcPr>
            <w:tcW w:w="460" w:type="dxa"/>
            <w:vAlign w:val="bottom"/>
          </w:tcPr>
          <w:p>
            <w:pPr>
              <w:spacing w:after="0"/>
              <w:rPr>
                <w:sz w:val="22"/>
                <w:szCs w:val="22"/>
                <w:color w:val="auto"/>
              </w:rPr>
            </w:pPr>
          </w:p>
        </w:tc>
      </w:tr>
      <w:tr>
        <w:trPr>
          <w:trHeight w:val="433"/>
        </w:trPr>
        <w:tc>
          <w:tcPr>
            <w:tcW w:w="460" w:type="dxa"/>
            <w:vAlign w:val="bottom"/>
          </w:tcPr>
          <w:p>
            <w:pPr>
              <w:spacing w:after="0"/>
              <w:rPr>
                <w:sz w:val="24"/>
                <w:szCs w:val="24"/>
                <w:color w:val="auto"/>
              </w:rPr>
            </w:pPr>
          </w:p>
        </w:tc>
        <w:tc>
          <w:tcPr>
            <w:tcW w:w="398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4"/>
                <w:szCs w:val="14"/>
                <w:b w:val="1"/>
                <w:bCs w:val="1"/>
                <w:color w:val="auto"/>
              </w:rPr>
              <w:t>March 31, 2012</w:t>
            </w:r>
          </w:p>
        </w:tc>
        <w:tc>
          <w:tcPr>
            <w:tcW w:w="15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agencies</w:t>
            </w:r>
          </w:p>
        </w:tc>
        <w:tc>
          <w:tcPr>
            <w:tcW w:w="18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43,789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State and political subdivisions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22,808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22,808</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1,725,068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1,725,068</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104,236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104,586</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2,564</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2,973</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3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160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2,973</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1,898,538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1,901,861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
        </w:trPr>
        <w:tc>
          <w:tcPr>
            <w:tcW w:w="4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18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2,973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2,973</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Brokered certificates of deposit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61,069</w:t>
            </w:r>
          </w:p>
        </w:tc>
        <w:tc>
          <w:tcPr>
            <w:tcW w:w="4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460" w:type="dxa"/>
            <w:vAlign w:val="bottom"/>
          </w:tcPr>
          <w:p>
            <w:pPr>
              <w:spacing w:after="0"/>
              <w:rPr>
                <w:sz w:val="18"/>
                <w:szCs w:val="18"/>
                <w:color w:val="auto"/>
              </w:rPr>
            </w:pPr>
          </w:p>
        </w:tc>
      </w:tr>
      <w:tr>
        <w:trPr>
          <w:trHeight w:val="27"/>
        </w:trPr>
        <w:tc>
          <w:tcPr>
            <w:tcW w:w="4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7"/>
        </w:trPr>
        <w:tc>
          <w:tcPr>
            <w:tcW w:w="460" w:type="dxa"/>
            <w:vAlign w:val="bottom"/>
          </w:tcPr>
          <w:p>
            <w:pPr>
              <w:spacing w:after="0"/>
              <w:rPr>
                <w:sz w:val="22"/>
                <w:szCs w:val="22"/>
                <w:color w:val="auto"/>
              </w:rPr>
            </w:pPr>
          </w:p>
        </w:tc>
        <w:tc>
          <w:tcPr>
            <w:tcW w:w="3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600" w:type="dxa"/>
            <w:vAlign w:val="bottom"/>
            <w:gridSpan w:val="2"/>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63,668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66,641</w:t>
            </w:r>
          </w:p>
        </w:tc>
        <w:tc>
          <w:tcPr>
            <w:tcW w:w="460" w:type="dxa"/>
            <w:vAlign w:val="bottom"/>
          </w:tcPr>
          <w:p>
            <w:pPr>
              <w:spacing w:after="0"/>
              <w:rPr>
                <w:sz w:val="22"/>
                <w:szCs w:val="22"/>
                <w:color w:val="auto"/>
              </w:rPr>
            </w:pPr>
          </w:p>
        </w:tc>
      </w:tr>
      <w:tr>
        <w:trPr>
          <w:trHeight w:val="601"/>
        </w:trPr>
        <w:tc>
          <w:tcPr>
            <w:tcW w:w="460" w:type="dxa"/>
            <w:vAlign w:val="bottom"/>
          </w:tcPr>
          <w:p>
            <w:pPr>
              <w:spacing w:after="0"/>
              <w:rPr>
                <w:sz w:val="24"/>
                <w:szCs w:val="24"/>
                <w:color w:val="auto"/>
              </w:rPr>
            </w:pPr>
          </w:p>
        </w:tc>
        <w:tc>
          <w:tcPr>
            <w:tcW w:w="39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60" w:type="dxa"/>
            <w:vAlign w:val="bottom"/>
          </w:tcPr>
          <w:p>
            <w:pPr>
              <w:spacing w:after="0"/>
              <w:rPr>
                <w:sz w:val="24"/>
                <w:szCs w:val="24"/>
                <w:color w:val="auto"/>
              </w:rPr>
            </w:pPr>
          </w:p>
        </w:tc>
      </w:tr>
      <w:tr>
        <w:trPr>
          <w:trHeight w:val="108"/>
        </w:trPr>
        <w:tc>
          <w:tcPr>
            <w:tcW w:w="460" w:type="dxa"/>
            <w:vAlign w:val="bottom"/>
            <w:tcBorders>
              <w:bottom w:val="single" w:sz="8" w:color="808080"/>
            </w:tcBorders>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Securities Available for Sale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18"/>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40"/>
              <w:spacing w:after="0"/>
              <w:rPr>
                <w:sz w:val="20"/>
                <w:szCs w:val="20"/>
                <w:color w:val="auto"/>
              </w:rPr>
            </w:pPr>
            <w:r>
              <w:rPr>
                <w:rFonts w:ascii="Arial" w:cs="Arial" w:eastAsia="Arial" w:hAnsi="Arial"/>
                <w:sz w:val="18"/>
                <w:szCs w:val="18"/>
                <w:color w:val="auto"/>
              </w:rPr>
              <w:t>Amounts included in earnings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Paydowns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has two securities that have Level 3 valuations. They are trust preferred securities in community banks that have shown deteriorating financial condition during the financial crisis, and both are currently deferring interest payments. Since both investments are not actively traded, there is no recent trade activity upon which to assess value. The values assigned to the investments are based on sales price estimates from brokers. Both investments have a par amount of $1 million. One was considered impaired in 2010 and was written down to $50,000 with a $950,000 impairment charge to earnings. The other is carried at its original cost basis of $1 million with a $700,000 negative mark to fair value through other comprehensive income. United does not consider this investment to be other than temporarily impaired, as the community bank was recapitalized by a private equity investment that management believes will result in full payment at maturity.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March 31, 2013, December 31, 2012 and March 31, 2012,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March 31, 2013</w:t>
            </w: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Loans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170,767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Foreclosed properties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185,483</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185,483</w:t>
            </w:r>
          </w:p>
        </w:tc>
        <w:tc>
          <w:tcPr>
            <w:tcW w:w="0" w:type="dxa"/>
            <w:vAlign w:val="bottom"/>
          </w:tcPr>
          <w:p>
            <w:pPr>
              <w:spacing w:after="0"/>
              <w:rPr>
                <w:sz w:val="1"/>
                <w:szCs w:val="1"/>
                <w:color w:val="auto"/>
              </w:rPr>
            </w:pPr>
          </w:p>
        </w:tc>
      </w:tr>
      <w:tr>
        <w:trPr>
          <w:trHeight w:val="21"/>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68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Loans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165,751</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Foreclosed properties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180,539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180,539</w:t>
            </w:r>
          </w:p>
        </w:tc>
        <w:tc>
          <w:tcPr>
            <w:tcW w:w="0" w:type="dxa"/>
            <w:vAlign w:val="bottom"/>
          </w:tcPr>
          <w:p>
            <w:pPr>
              <w:spacing w:after="0"/>
              <w:rPr>
                <w:sz w:val="1"/>
                <w:szCs w:val="1"/>
                <w:color w:val="auto"/>
              </w:rPr>
            </w:pPr>
          </w:p>
        </w:tc>
      </w:tr>
      <w:tr>
        <w:trPr>
          <w:trHeight w:val="21"/>
        </w:trPr>
        <w:tc>
          <w:tcPr>
            <w:tcW w:w="3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2012</w:t>
            </w: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68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Loans</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176,632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176,632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Foreclosed properties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ind w:left="7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ind w:left="74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204,307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204,307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vMerge w:val="restart"/>
          </w:tcPr>
          <w:p>
            <w:pPr>
              <w:jc w:val="right"/>
              <w:ind w:right="7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significant effect on fair value estimates and have not been considered in the estimates.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March 31, 2013, December 31, 2012, and March 31,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2220" w:type="dxa"/>
            <w:vAlign w:val="bottom"/>
            <w:tcBorders>
              <w:top w:val="single" w:sz="8" w:color="auto"/>
              <w:bottom w:val="single" w:sz="8" w:color="auto"/>
            </w:tcBorders>
            <w:gridSpan w:val="6"/>
          </w:tcPr>
          <w:p>
            <w:pPr>
              <w:ind w:left="420"/>
              <w:spacing w:after="0" w:line="155" w:lineRule="exact"/>
              <w:rPr>
                <w:sz w:val="20"/>
                <w:szCs w:val="20"/>
                <w:color w:val="auto"/>
              </w:rPr>
            </w:pPr>
            <w:r>
              <w:rPr>
                <w:rFonts w:ascii="Arial" w:cs="Arial" w:eastAsia="Arial" w:hAnsi="Arial"/>
                <w:sz w:val="14"/>
                <w:szCs w:val="14"/>
                <w:b w:val="1"/>
                <w:bCs w:val="1"/>
                <w:color w:val="auto"/>
              </w:rPr>
              <w:t>Fair Value Level</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March 31, 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231,087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247,087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247,087</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4,087,807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3,980,932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3,980,932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18,290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18,803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6,025,852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6,034,103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6,034,103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30"/>
        </w:trPr>
        <w:tc>
          <w:tcPr>
            <w:tcW w:w="2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124,825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123,402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123,402</w:t>
            </w:r>
          </w:p>
        </w:tc>
      </w:tr>
      <w:tr>
        <w:trPr>
          <w:trHeight w:val="45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244,184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261,131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261,131</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4,067,871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3,957,669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3,957,669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28,821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5,952,140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5,988,743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5,988,743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40,125</w:t>
            </w:r>
          </w:p>
        </w:tc>
      </w:tr>
      <w:tr>
        <w:trPr>
          <w:trHeight w:val="230"/>
        </w:trPr>
        <w:tc>
          <w:tcPr>
            <w:tcW w:w="2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118,626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118,626</w:t>
            </w:r>
          </w:p>
        </w:tc>
      </w:tr>
      <w:tr>
        <w:trPr>
          <w:trHeight w:val="45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March 31, 2012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Securities held to maturity</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303,636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318,490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318,490</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4,013,965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3,825,482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3,825,482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24,809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25,288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6,000,539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5,986,925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5,986,925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215,125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217,033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217,033</w:t>
            </w:r>
          </w:p>
        </w:tc>
      </w:tr>
      <w:tr>
        <w:trPr>
          <w:trHeight w:val="230"/>
        </w:trPr>
        <w:tc>
          <w:tcPr>
            <w:tcW w:w="20" w:type="dxa"/>
            <w:vAlign w:val="bottom"/>
          </w:tcPr>
          <w:p>
            <w:pPr>
              <w:spacing w:after="0"/>
              <w:rPr>
                <w:sz w:val="20"/>
                <w:szCs w:val="20"/>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120,245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113,891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113,891</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and its wholly-owned subsidiary, United Community Bank,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as of March 31, 2013, December 31, 2012 and March 31, 2012, the contractual amount of off-balance sheet instruments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March 31, 2013</w:t>
            </w:r>
          </w:p>
        </w:tc>
        <w:tc>
          <w:tcPr>
            <w:tcW w:w="1740" w:type="dxa"/>
            <w:vAlign w:val="bottom"/>
            <w:gridSpan w:val="3"/>
          </w:tcPr>
          <w:p>
            <w:pPr>
              <w:spacing w:after="0"/>
              <w:rPr>
                <w:sz w:val="20"/>
                <w:szCs w:val="20"/>
                <w:color w:val="auto"/>
              </w:rPr>
            </w:pPr>
            <w:r>
              <w:rPr>
                <w:rFonts w:ascii="Arial" w:cs="Arial" w:eastAsia="Arial" w:hAnsi="Arial"/>
                <w:sz w:val="18"/>
                <w:szCs w:val="18"/>
                <w:b w:val="1"/>
                <w:bCs w:val="1"/>
                <w:color w:val="auto"/>
              </w:rPr>
              <w:t>December 31, 2012</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 2012</w:t>
            </w:r>
          </w:p>
        </w:tc>
      </w:tr>
      <w:tr>
        <w:trPr>
          <w:trHeight w:val="222"/>
        </w:trPr>
        <w:tc>
          <w:tcPr>
            <w:tcW w:w="6440" w:type="dxa"/>
            <w:vAlign w:val="bottom"/>
          </w:tcPr>
          <w:p>
            <w:pPr>
              <w:ind w:left="260"/>
              <w:spacing w:after="0"/>
              <w:rPr>
                <w:sz w:val="20"/>
                <w:szCs w:val="20"/>
                <w:color w:val="auto"/>
              </w:rPr>
            </w:pPr>
            <w:r>
              <w:rPr>
                <w:rFonts w:ascii="Arial" w:cs="Arial" w:eastAsia="Arial" w:hAnsi="Arial"/>
                <w:sz w:val="18"/>
                <w:szCs w:val="18"/>
                <w:color w:val="auto"/>
              </w:rPr>
              <w:t>Commitments to extend credit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565,685</w:t>
            </w:r>
          </w:p>
        </w:tc>
        <w:tc>
          <w:tcPr>
            <w:tcW w:w="500" w:type="dxa"/>
            <w:vAlign w:val="bottom"/>
          </w:tcPr>
          <w:p>
            <w:pPr>
              <w:spacing w:after="0"/>
              <w:rPr>
                <w:sz w:val="19"/>
                <w:szCs w:val="19"/>
                <w:color w:val="auto"/>
              </w:rPr>
            </w:pPr>
          </w:p>
        </w:tc>
        <w:tc>
          <w:tcPr>
            <w:tcW w:w="5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313,798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429,672</w:t>
            </w: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Letters of credit</w:t>
            </w:r>
          </w:p>
        </w:tc>
        <w:tc>
          <w:tcPr>
            <w:tcW w:w="1180" w:type="dxa"/>
            <w:vAlign w:val="bottom"/>
          </w:tcPr>
          <w:p>
            <w:pPr>
              <w:jc w:val="right"/>
              <w:spacing w:after="0"/>
              <w:rPr>
                <w:sz w:val="20"/>
                <w:szCs w:val="20"/>
                <w:color w:val="auto"/>
              </w:rPr>
            </w:pPr>
            <w:r>
              <w:rPr>
                <w:rFonts w:ascii="Arial" w:cs="Arial" w:eastAsia="Arial" w:hAnsi="Arial"/>
                <w:sz w:val="18"/>
                <w:szCs w:val="18"/>
                <w:color w:val="auto"/>
              </w:rPr>
              <w:t>12,818</w:t>
            </w: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13,683</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16,655</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tabs>
          <w:tab w:leader="none" w:pos="15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2012, as well as the following factors:</w:t>
      </w:r>
    </w:p>
    <w:p>
      <w:pPr>
        <w:spacing w:after="0" w:line="21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Dodd-Frank Act and related regulations and other changes in financial services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special assessment that may be imposed by the FDIC on all FDIC-insured institutions in the future, similar to the assessment in 2009 that decreased our earnings;</w:t>
      </w: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March 31, 2013, United had total consolidated assets of $6.85 billion and total loans of $4.19 billion (excluding the loans acquired from Southern Community Bank (“SCB”) that are covered by loss sharing agreements). United also had total deposits of $6.03 billion and shareholders’ equity of $592 million.</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activities are primarily conducted by its wholly-owned Georgia banking subsidiary, United Community Bank (the “Bank”). The Bank’s operations are conducted under a community bank model that operates 27 “community banks” with local bank presidents and boards in north Georgia, the Atlanta-Sandy Springs-Roswell, Georgia metropolitan statistical area (the “Atlanta MSA”), the Gainesville, Georgia metropolitan statistical area (the “Gainesville MSA”), coastal Georgia, western North Carolina, east Tennessee and the Greenville-Anderson-Mauldin, South Carolina metropolitan statistical area (the “Greenville MSA”).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37.</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United reported a net income of $11.8 million for the first quarter of 2013. This compared to net income of $11.5 million for the first quarter of 2012. Diluted earnings per common share was $.15 for the first quarter of 2013, compared to diluted earnings per common share of $.15 for the first quarter of 2012.</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Taxable equivalent net interest revenue was $54.7 million for the first quarter of 2013, compared to $58.9 million for the same period of 2012. The decrease in net interest revenue was primarily the result of the lower yields on the loan and securities portfolios, which were due to loan pricing competition and reinvestment of maturing securities proceeds at record low rates as well as $12.4 million in lower average investment securities balances for the quarter. The impact of the decrease in average earning asset yield was substantially offset by lower deposit rates. Net interest margin decreased from 3.53% for the three months ended March 31, 2012 to 3.38% for the same period in 2013.</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provision for loan losses was $11.0 million for the three months ended March 31, 2013, compared to $15.0 million for the same period in 2012. Net charge-offs for the first quarter of 2013 were $12.4 million, compared to $15.9 million for the first quarter of 2012. United’s credit quality indicators have continued to steadily improve leading to the lower provision for loan losses and net charge-offs in the first quarter of 2013.</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2013, United’s allowance for loan losses was $106 million, or 2.52% of loans, compared to $114 million, or 2.75% of loans, at March 31, 2012. Nonperforming assets of $113 million, which excludes assets of SCB that are covered by loss sharing agreements with the FDIC, decreased to 1.65% of total assets at March 31, 2013 from 2.25% as of March 31, 2012. Nonperforming asset levels are impacted significantly by the inflow of new nonperforming loans and United’s ability to liquidate foreclosed properties. During the first quarter of 2013, $9.67 million in loans were placed on nonaccrual compared with $32.4 million in the first quarter of 2012.</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Fee revenue decreased $2.55 million, or 17%, from the first quarter of 2012. The decrease was due primarily to a decrease in other fee income. In the first quarter of 2012, United recognized $1.10 million in interest on a 2008 federal tax refund, and a $728,000 gain from the sale of low income housing tax credits. In addition, service charges and fees were down $380,000, or 5% from the first quarter of 2012, mostly in overdraft fees and other service charges and fees. United began assessing a new service fee on low balance demand deposit accounts in the first quarter of 2012 and those fees have trended downward since that time.</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first quarter of 2013, operating expenses of $43.8 million were down $3.19 million from the first quarter of 2012. Lower salary and employee benefits accounted for $1.63 million of the decrease. In addition, foreclosed property write-downs and maintenance expenses were down $1.49 million from the first quarter of 2012. Expenses in general are down from a year ago reflecting management’s efforts to reduce costs and improve operating efficiency.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March 11, 2013, the United States Department of Treasury (“Treasury”), the holder of all 180,000 shares of outstanding Fixed Rate Cumulative Preferred Stock, Series B (the “Securities”) issued by United, announced that it had auctioned all of the Securities in a private transaction with unaffiliated third party investors. United received no proceeds from this transaction. The clearing price in the auction was $962.50 per share of the Securities (which have a $1,000 liquidation preference). The closing of the sale of the Securities occurred on March 28, 2013.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jc w:val="both"/>
        <w:spacing w:after="0" w:line="255" w:lineRule="auto"/>
        <w:rPr>
          <w:sz w:val="20"/>
          <w:szCs w:val="20"/>
          <w:color w:val="auto"/>
        </w:rPr>
      </w:pPr>
      <w:r>
        <w:rPr>
          <w:rFonts w:ascii="Arial" w:cs="Arial" w:eastAsia="Arial" w:hAnsi="Arial"/>
          <w:sz w:val="18"/>
          <w:szCs w:val="18"/>
          <w:color w:val="auto"/>
        </w:rPr>
        <w:t>The sale of the Securities had no effect on the terms of the outstanding Securities, including United’s obligation to satisfy accrued and unpaid dividends prior to payment of any dividend or other distribution to holders of junior stock, including United’s common stock, and an increase in the dividend rate from 5% to 9%, effective December 15, 2013 and commencing with the dividend payment on February 15, 2014. Further, the sale of the Securities has no effect on the United’s capital, regulatory capital, financial condition or results of operations. Upon the closing of the sale of the Securities, United is no longer subject to various executive compensation and corporate governance requirements to which participants in Treasury’s Capital Purchase Program were subject while Treasury held the Securities.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sale of Securities did not include the sale of a warrant to purchase 219,909 shares of the United’s common stock at an exercise price of $61.40, which expires on December 15, 2018 and the Treasury may continue to hold or sell in its discretion, subject to applicable securities laws and United’s right to repurchase the warrant at fair market value under the terms of the agreements with Treasury.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In particular, United’s accounting policies related to allowance for loan losses, fair value measurements and income taxes involve the use of estimates and require significant judgment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37.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restart"/>
          </w:tcPr>
          <w:p>
            <w:pPr>
              <w:jc w:val="right"/>
              <w:ind w:right="105"/>
              <w:spacing w:after="0"/>
              <w:rPr>
                <w:sz w:val="20"/>
                <w:szCs w:val="20"/>
                <w:color w:val="auto"/>
              </w:rPr>
            </w:pPr>
            <w:r>
              <w:rPr>
                <w:rFonts w:ascii="Arial" w:cs="Arial" w:eastAsia="Arial" w:hAnsi="Arial"/>
                <w:sz w:val="14"/>
                <w:szCs w:val="14"/>
                <w:b w:val="1"/>
                <w:bCs w:val="1"/>
                <w:color w:val="auto"/>
              </w:rPr>
              <w:t>2012</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First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186"/>
        </w:trPr>
        <w:tc>
          <w:tcPr>
            <w:tcW w:w="306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1"/>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Fourth</w:t>
            </w:r>
          </w:p>
        </w:tc>
        <w:tc>
          <w:tcPr>
            <w:tcW w:w="200" w:type="dxa"/>
            <w:vAlign w:val="bottom"/>
          </w:tcPr>
          <w:p>
            <w:pPr>
              <w:spacing w:after="0"/>
              <w:rPr>
                <w:sz w:val="16"/>
                <w:szCs w:val="16"/>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6"/>
                <w:szCs w:val="16"/>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Second</w:t>
            </w:r>
          </w:p>
        </w:tc>
        <w:tc>
          <w:tcPr>
            <w:tcW w:w="200" w:type="dxa"/>
            <w:vAlign w:val="bottom"/>
          </w:tcPr>
          <w:p>
            <w:pPr>
              <w:spacing w:after="0"/>
              <w:rPr>
                <w:sz w:val="16"/>
                <w:szCs w:val="16"/>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2013-2012</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060" w:type="dxa"/>
            <w:vAlign w:val="bottom"/>
            <w:gridSpan w:val="2"/>
          </w:tcPr>
          <w:p>
            <w:pPr>
              <w:spacing w:after="0"/>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6"/>
                <w:szCs w:val="16"/>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Interest revenue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62,134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64,450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65,978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66,780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70,221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8,607</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9,944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11,357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Net interest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54,659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56,028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57,371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56,836</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58,864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15,500</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13,764</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12,867</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15,379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55,635</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51,703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59,243</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50,726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44,783</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44,310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46,955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10,852</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7,393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12,288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894</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760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10,568</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Preferred dividends and discount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60" w:type="dxa"/>
            <w:vAlign w:val="bottom"/>
            <w:gridSpan w:val="2"/>
          </w:tcPr>
          <w:p>
            <w:pPr>
              <w:spacing w:after="0"/>
              <w:rPr>
                <w:sz w:val="20"/>
                <w:szCs w:val="20"/>
                <w:color w:val="auto"/>
              </w:rPr>
            </w:pPr>
            <w:r>
              <w:rPr>
                <w:rFonts w:ascii="Arial" w:cs="Arial" w:eastAsia="Arial" w:hAnsi="Arial"/>
                <w:sz w:val="18"/>
                <w:szCs w:val="18"/>
                <w:color w:val="auto"/>
              </w:rPr>
              <w:t>accretion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3,052</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3,045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3,041</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3,032</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3,030</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available to common</w:t>
            </w: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8,713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7,527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PERFORMANCE MEASURES</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common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Diluted income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Book value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line="216"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6.48</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6.54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Key performance ratios: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line="216"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8.78%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line="216"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line="21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Efficiency ratio</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64.97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62.95</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63.84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63.31</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rPr>
                <w:sz w:val="20"/>
                <w:szCs w:val="20"/>
                <w:color w:val="auto"/>
              </w:rPr>
            </w:pPr>
            <w:r>
              <w:rPr>
                <w:rFonts w:ascii="Arial" w:cs="Arial" w:eastAsia="Arial" w:hAnsi="Arial"/>
                <w:sz w:val="18"/>
                <w:szCs w:val="18"/>
                <w:color w:val="auto"/>
              </w:rPr>
              <w:t>Equity to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8.63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8.75</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8.19</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line="216"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320"/>
              <w:spacing w:after="0" w:line="216" w:lineRule="exact"/>
              <w:rPr>
                <w:sz w:val="20"/>
                <w:szCs w:val="20"/>
                <w:color w:val="auto"/>
              </w:rPr>
            </w:pPr>
            <w:r>
              <w:rPr>
                <w:rFonts w:ascii="Arial" w:cs="Arial" w:eastAsia="Arial" w:hAnsi="Arial"/>
                <w:sz w:val="18"/>
                <w:szCs w:val="18"/>
                <w:color w:val="auto"/>
                <w:w w:val="90"/>
              </w:rPr>
              <w:t xml:space="preserve">Tangible common equity to assets </w:t>
            </w:r>
            <w:r>
              <w:rPr>
                <w:rFonts w:ascii="Arial" w:cs="Arial" w:eastAsia="Arial" w:hAnsi="Arial"/>
                <w:sz w:val="25"/>
                <w:szCs w:val="25"/>
                <w:color w:val="auto"/>
                <w:w w:val="90"/>
                <w:vertAlign w:val="superscript"/>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5.66</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5.67</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5.73</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5.45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5.33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Tangible common equity to risk-</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 xml:space="preserve">weighted assets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8.44</w:t>
            </w: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8.21</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rPr>
              <w:t>ASSET QUALITY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Non-performing loans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115,340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129,704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18,264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26,958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30,421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31,887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Total non-performing assets (NPAs)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141,959</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145,761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161,591</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105,753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107,642</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112,705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113,601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charge-offs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12,384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20,563</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18,896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15,867</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Allowance for loan losses to loans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2.75%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w w:val="99"/>
              </w:rPr>
              <w:t xml:space="preserve">Net charge-offs to average loans </w:t>
            </w:r>
            <w:r>
              <w:rPr>
                <w:rFonts w:ascii="Arial" w:cs="Arial" w:eastAsia="Arial" w:hAnsi="Arial"/>
                <w:sz w:val="25"/>
                <w:szCs w:val="25"/>
                <w:color w:val="auto"/>
                <w:w w:val="99"/>
                <w:vertAlign w:val="superscript"/>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88"/>
              </w:rPr>
              <w:t>NPAs to loans and foreclosed properties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3.51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3.88</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NPAs to total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b w:val="1"/>
                <w:bCs w:val="1"/>
                <w:color w:val="auto"/>
                <w:w w:val="98"/>
              </w:rPr>
              <w:t xml:space="preserve">AVERAGE BALANCES </w:t>
            </w:r>
            <w:r>
              <w:rPr>
                <w:rFonts w:ascii="Arial" w:cs="Arial" w:eastAsia="Arial" w:hAnsi="Arial"/>
                <w:sz w:val="18"/>
                <w:szCs w:val="18"/>
                <w:i w:val="1"/>
                <w:iCs w:val="1"/>
                <w:color w:val="auto"/>
                <w:w w:val="98"/>
              </w:rPr>
              <w:t>($ in millions)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4,156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2,141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1,971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2,145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2,153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6,547</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6,346</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6,665</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6,834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6,648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6,993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7,045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5,946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5,789</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5,853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6,028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 xml:space="preserve">Common shares - basic </w:t>
            </w:r>
            <w:r>
              <w:rPr>
                <w:rFonts w:ascii="Arial" w:cs="Arial" w:eastAsia="Arial" w:hAnsi="Arial"/>
                <w:sz w:val="18"/>
                <w:szCs w:val="18"/>
                <w:i w:val="1"/>
                <w:iCs w:val="1"/>
                <w:color w:val="auto"/>
                <w:w w:val="98"/>
              </w:rPr>
              <w:t>(thousands)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58,081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57,971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57,880</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57,840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57,764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w w:val="94"/>
              </w:rPr>
              <w:t xml:space="preserve">Common shares - diluted </w:t>
            </w:r>
            <w:r>
              <w:rPr>
                <w:rFonts w:ascii="Arial" w:cs="Arial" w:eastAsia="Arial" w:hAnsi="Arial"/>
                <w:sz w:val="18"/>
                <w:szCs w:val="18"/>
                <w:i w:val="1"/>
                <w:iCs w:val="1"/>
                <w:color w:val="auto"/>
                <w:w w:val="94"/>
              </w:rPr>
              <w:t>(thousands)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58,081</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57,971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57,880</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57,840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57,764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Loans *</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4,194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4,175</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4,138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4,119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2,202</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6,849</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6,802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6,699</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6,737</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7,174</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5,823</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6,001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585</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580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shares outstanding</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320"/>
              <w:spacing w:after="0"/>
              <w:rPr>
                <w:sz w:val="20"/>
                <w:szCs w:val="20"/>
                <w:color w:val="auto"/>
              </w:rPr>
            </w:pPr>
            <w:r>
              <w:rPr>
                <w:rFonts w:ascii="Arial" w:cs="Arial" w:eastAsia="Arial" w:hAnsi="Arial"/>
                <w:sz w:val="18"/>
                <w:szCs w:val="18"/>
                <w:i w:val="1"/>
                <w:iCs w:val="1"/>
                <w:color w:val="auto"/>
              </w:rPr>
              <w:t>(thousands)</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57,767</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57,741</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57,710</w:t>
            </w:r>
          </w:p>
        </w:tc>
        <w:tc>
          <w:tcPr>
            <w:tcW w:w="20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57,641</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57,603</w:t>
            </w: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Net income available to common shareholders, which is net of preferred stock dividends, divided by average realized common equity, which excludes</w:t>
      </w:r>
    </w:p>
    <w:p>
      <w:pPr>
        <w:jc w:val="center"/>
        <w:ind w:right="40"/>
        <w:spacing w:after="0" w:line="193" w:lineRule="auto"/>
        <w:rPr>
          <w:sz w:val="20"/>
          <w:szCs w:val="20"/>
          <w:color w:val="auto"/>
        </w:rPr>
      </w:pPr>
      <w:r>
        <w:rPr>
          <w:rFonts w:ascii="Arial" w:cs="Arial" w:eastAsia="Arial" w:hAnsi="Arial"/>
          <w:sz w:val="17"/>
          <w:szCs w:val="17"/>
          <w:color w:val="auto"/>
        </w:rPr>
        <w:t xml:space="preserve">accumulated other comprehensive income (loss). </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Excludes effect of acquisition related intangibles and associated amortization. </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Annualized.</w:t>
      </w:r>
    </w:p>
    <w:p>
      <w:pPr>
        <w:ind w:left="5620" w:right="4260" w:hanging="5612"/>
        <w:spacing w:after="0" w:line="431" w:lineRule="auto"/>
        <w:tabs>
          <w:tab w:leader="none" w:pos="463"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303"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72"/>
              <w:spacing w:after="0"/>
              <w:rPr>
                <w:sz w:val="20"/>
                <w:szCs w:val="20"/>
                <w:color w:val="auto"/>
              </w:rPr>
            </w:pPr>
            <w:r>
              <w:rPr>
                <w:rFonts w:ascii="Arial" w:cs="Arial" w:eastAsia="Arial" w:hAnsi="Arial"/>
                <w:sz w:val="14"/>
                <w:szCs w:val="14"/>
                <w:b w:val="1"/>
                <w:bCs w:val="1"/>
                <w:color w:val="auto"/>
                <w:w w:val="98"/>
              </w:rPr>
              <w:t>First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Fourth</w:t>
            </w:r>
          </w:p>
        </w:tc>
        <w:tc>
          <w:tcPr>
            <w:tcW w:w="240" w:type="dxa"/>
            <w:vAlign w:val="bottom"/>
          </w:tcPr>
          <w:p>
            <w:pPr>
              <w:spacing w:after="0"/>
              <w:rPr>
                <w:sz w:val="16"/>
                <w:szCs w:val="16"/>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Third</w:t>
            </w:r>
          </w:p>
        </w:tc>
        <w:tc>
          <w:tcPr>
            <w:tcW w:w="240" w:type="dxa"/>
            <w:vAlign w:val="bottom"/>
          </w:tcPr>
          <w:p>
            <w:pPr>
              <w:spacing w:after="0"/>
              <w:rPr>
                <w:sz w:val="16"/>
                <w:szCs w:val="16"/>
                <w:color w:val="auto"/>
              </w:rPr>
            </w:pPr>
          </w:p>
        </w:tc>
        <w:tc>
          <w:tcPr>
            <w:tcW w:w="13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6"/>
                <w:szCs w:val="16"/>
                <w:color w:val="auto"/>
              </w:rPr>
            </w:pPr>
          </w:p>
        </w:tc>
        <w:tc>
          <w:tcPr>
            <w:tcW w:w="840" w:type="dxa"/>
            <w:vAlign w:val="bottom"/>
          </w:tcPr>
          <w:p>
            <w:pPr>
              <w:jc w:val="right"/>
              <w:ind w:right="271"/>
              <w:spacing w:after="0"/>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data; taxable equivalent)</w:t>
            </w:r>
          </w:p>
        </w:tc>
        <w:tc>
          <w:tcPr>
            <w:tcW w:w="1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8"/>
              </w:rPr>
              <w:t>Quarter</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revenue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Interest revenue - taxable equivalent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62,134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64,450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65,978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66,780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Interest revenue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61,769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64,069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65,559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66,336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69,775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Net interest revenue - taxable equivalent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54,659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56,028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57,371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56,836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Net interest revenue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54,294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55,647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56,952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56,392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58,418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56,485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56,789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55,635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51,703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59,243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Total revenue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56,120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56,408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55,216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51,259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58,797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taxes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12,715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6,063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10,852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7,393</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Income before taxes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12,350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5,682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10,433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6,949</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11,842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tax expense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950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894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Taxable equivalent adjustment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Income tax expense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Book value per common share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Tangible book value per common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6.76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6.57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6.48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Book value per common share (GAAP)</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6.61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Tangible equity to assets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goodwill and other intangibles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Equity to assets (GAAP)</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gridSpan w:val="2"/>
            <w:shd w:val="clear" w:color="auto" w:fill="CCEEFF"/>
          </w:tcPr>
          <w:p>
            <w:pPr>
              <w:spacing w:after="0" w:line="191" w:lineRule="exact"/>
              <w:rPr>
                <w:sz w:val="20"/>
                <w:szCs w:val="20"/>
                <w:color w:val="auto"/>
              </w:rPr>
            </w:pPr>
            <w:r>
              <w:rPr>
                <w:rFonts w:ascii="Arial" w:cs="Arial" w:eastAsia="Arial" w:hAnsi="Arial"/>
                <w:sz w:val="18"/>
                <w:szCs w:val="18"/>
                <w:b w:val="1"/>
                <w:bCs w:val="1"/>
                <w:color w:val="auto"/>
                <w:w w:val="92"/>
              </w:rPr>
              <w:t>Tangible common equity to risk-weighted assets</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9"/>
              </w:rPr>
              <w:t>Tangible common equity to risk-weighted assets</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8.26%</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8.37%</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other comprehensive income</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Effect of trust preferred</w:t>
            </w:r>
          </w:p>
        </w:tc>
        <w:tc>
          <w:tcPr>
            <w:tcW w:w="24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preferred equity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Tier I capital ratio (Regulatory)</w:t>
            </w:r>
          </w:p>
        </w:tc>
        <w:tc>
          <w:tcPr>
            <w:tcW w:w="24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14.16%</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14.26%</w:t>
            </w:r>
          </w:p>
        </w:tc>
        <w:tc>
          <w:tcPr>
            <w:tcW w:w="2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14.19%</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891"/>
              <w:spacing w:after="0"/>
              <w:rPr>
                <w:sz w:val="20"/>
                <w:szCs w:val="20"/>
                <w:color w:val="auto"/>
              </w:rPr>
            </w:pPr>
            <w:r>
              <w:rPr>
                <w:rFonts w:ascii="Arial" w:cs="Arial" w:eastAsia="Arial" w:hAnsi="Arial"/>
                <w:sz w:val="18"/>
                <w:szCs w:val="18"/>
                <w:color w:val="auto"/>
                <w:w w:val="99"/>
              </w:rPr>
              <w:t>37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$11.8 million for the first quarter of 2013. This compared to net income of $11.5 million for the same period in 2012. For the first quarter of 2013, diluted earnings per common share was $.15 compared to $.15 for the first quarter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March 31, 2013 was $54.7 million, down $4.21 million, or 7%, from the first quarter of 2012. The decrease in net interest revenue for the first quarter of 2013 compared to the first quarter of 2012 was mostly due to lower yields on the securities and loan portfolios and a smaller balance of interest-earning assets. United continues its intense focus on loan and deposit pricing in an effort to maintain a steady level of net interest revenue.</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average loans increased $28.3 million, or 1%, from the first quarter of last year, the yield on loans decreased 46 basis points. The decreasing balances in the loan portfolio stabilized in 2012 and United began achieving modest loan growth; however, there is a high level of competition for quality lending relationships, which continues to put pressure on loan pricing. The increase in residential real estate loans is primarily the result of the promotion of a new home equity line product in mid-2012 and the introduction of a new low-cost mortgage product in early 2013; however, the low introductory rate on these products also contributed to the lower yield on average loans.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Average interest-earning assets for the first quarter of 2013 decreased $152 million, or 2%, from the same period in 2012, due primarily to the decrease in reverse repurchase agreements included in average short-term investments. The average yield on interest-earning assets for the three months ended March 31, 2013 was 3.84%, down 37 basis points from 4.21% for the same period of 2012. For the first quarter of 2013, the yield on loans decreased 46 basis points and the yield on securities decreased 56 basis points from the same period a year ago, as management was unable to reinvest the cash proceeds of maturing securities at yields comparable to those of the securities they replaced. Partially offsetting the lower loan and securities yields was a higher average yield on other interest-earnings assets due to the use of reverse repurchase agreements including collateral swap transactions where United enters into a repurchase agreement and reverse repurchase agreement or offsetting securities lending transactions simultaneously with the same counterparty subject to a master netting agreement. In these transactions, the offsetting balances are netted on the balance sheet.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interest-bearing liabilities decreased $414 million, or 8%, from the first quarter of 2012 due to the rolling off of higher-cost brokered deposits and certificates of deposit as noninterest bearing demand deposits increased $201 million and overall funding needs decreased. The average cost of interest-bearing liabilities for the first quarter of 2013 was .61% compared to .85% for the same period of 2012, reflecting United’s concerted efforts to reduce deposit pricing. Also contributing to the overall lower rate on interest-bearing liabilities was a shift in the mix of deposits away from more expensive time deposits toward lower-rate transaction deposits.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2013 and 2012, the net interest spread was 3.23% and 3.36%, respectively, while the net interest margin was 3.38% and 3.53%, respectively. The decline in both ratios is due to lower yields on securities and loans, which were not completely offset by the decrease in rates paid for deposits and other interest bearing liabilities.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March 31,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Avg.</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Avg.</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gridSpan w:val="3"/>
          </w:tcPr>
          <w:p>
            <w:pPr>
              <w:spacing w:after="0"/>
              <w:rPr>
                <w:sz w:val="20"/>
                <w:szCs w:val="20"/>
                <w:color w:val="auto"/>
              </w:rPr>
            </w:pPr>
            <w:r>
              <w:rPr>
                <w:rFonts w:ascii="Arial" w:cs="Arial" w:eastAsia="Arial" w:hAnsi="Arial"/>
                <w:sz w:val="14"/>
                <w:szCs w:val="14"/>
                <w:i w:val="1"/>
                <w:iCs w:val="1"/>
                <w:color w:val="auto"/>
              </w:rPr>
              <w:t>(dollars in thousands, taxable equivalent)</w:t>
            </w:r>
          </w:p>
        </w:tc>
        <w:tc>
          <w:tcPr>
            <w:tcW w:w="140" w:type="dxa"/>
            <w:vAlign w:val="bottom"/>
          </w:tcPr>
          <w:p>
            <w:pPr>
              <w:spacing w:after="0"/>
              <w:rPr>
                <w:sz w:val="16"/>
                <w:szCs w:val="16"/>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Interest</w:t>
            </w: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6"/>
                <w:szCs w:val="16"/>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16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4,196,757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50,999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4,168,440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16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2,119,085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9,753</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2,127,794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12,754</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Federal funds sold and other interest-earning assets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209,674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1.97</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377,988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interest-earning assets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4"/>
              </w:rPr>
              <w:t>6,547,249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62,134</w:t>
            </w:r>
          </w:p>
        </w:tc>
        <w:tc>
          <w:tcPr>
            <w:tcW w:w="10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3.84</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6,699,660</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70,221</w:t>
            </w: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Non-interest-earning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Allowance for loan losses</w:t>
            </w: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(110,941)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(117,803)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64,294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Premises and equipment</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169,280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174,849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Borders>
              <w:bottom w:val="single" w:sz="8" w:color="CCEEFF"/>
            </w:tcBorders>
            <w:gridSpan w:val="2"/>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4"/>
              </w:rPr>
              <w:t>6,834,132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7,045,046</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Interest-bearing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Interest-bearing deposits: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1,303,308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1,458,112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Money market</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1,257,409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1,069,658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205,402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Time less than $100,000</w:t>
            </w: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1,039,707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1,749</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1,271,351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Time greater than $100,000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694,553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821,164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Brokered time deposits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161,335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interest-bearing deposits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4,704,215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4,987,022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Federal funds purchased and other borrowings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138,372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124,816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8.65</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120,237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borrowed funds</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5.64</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360,867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interest-bearing liabilities</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4,934,257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7,475</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5,347,889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11,357</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Non-interest-bearing liabilities:</w:t>
            </w: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Non-interest-bearing deposits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1,241,527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1,040,587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70,839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79,612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6,246,623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6,468,088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587,509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576,958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6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6,834,132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7,045,046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interest revenue</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54,659</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58,864</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interest-rate spread</w:t>
            </w: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3.23%</w:t>
            </w:r>
          </w:p>
        </w:tc>
        <w:tc>
          <w:tcPr>
            <w:tcW w:w="1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20" w:right="220" w:hanging="612"/>
        <w:spacing w:after="0" w:line="216" w:lineRule="auto"/>
        <w:tabs>
          <w:tab w:leader="none" w:pos="6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5"/>
          <w:szCs w:val="25"/>
          <w:color w:val="auto"/>
          <w:vertAlign w:val="superscript"/>
        </w:rPr>
      </w:pPr>
    </w:p>
    <w:p>
      <w:pPr>
        <w:ind w:left="620" w:hanging="612"/>
        <w:spacing w:after="0" w:line="205" w:lineRule="auto"/>
        <w:tabs>
          <w:tab w:leader="none" w:pos="6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22"/>
          <w:szCs w:val="22"/>
          <w:color w:val="auto"/>
          <w:vertAlign w:val="superscript"/>
        </w:rPr>
      </w:pPr>
    </w:p>
    <w:p>
      <w:pPr>
        <w:ind w:left="620" w:right="160" w:hanging="612"/>
        <w:spacing w:after="0" w:line="208" w:lineRule="auto"/>
        <w:tabs>
          <w:tab w:leader="none" w:pos="6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gains of $17.1 million in 2013 and $23.6 million in 2012 are included in other assets for purposes of this presentation.</w:t>
      </w:r>
    </w:p>
    <w:p>
      <w:pPr>
        <w:spacing w:after="0" w:line="1" w:lineRule="exact"/>
        <w:rPr>
          <w:rFonts w:ascii="Arial" w:cs="Arial" w:eastAsia="Arial" w:hAnsi="Arial"/>
          <w:sz w:val="25"/>
          <w:szCs w:val="25"/>
          <w:color w:val="auto"/>
          <w:vertAlign w:val="superscript"/>
        </w:rPr>
      </w:pPr>
    </w:p>
    <w:p>
      <w:pPr>
        <w:ind w:left="620" w:hanging="612"/>
        <w:spacing w:after="0" w:line="180" w:lineRule="auto"/>
        <w:tabs>
          <w:tab w:leader="none" w:pos="62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204" w:lineRule="exact"/>
        <w:rPr>
          <w:sz w:val="20"/>
          <w:szCs w:val="20"/>
          <w:color w:val="auto"/>
        </w:rPr>
      </w:pPr>
    </w:p>
    <w:p>
      <w:pPr>
        <w:ind w:left="1140" w:right="4060"/>
        <w:spacing w:after="0" w:line="282" w:lineRule="auto"/>
        <w:rPr>
          <w:sz w:val="20"/>
          <w:szCs w:val="20"/>
          <w:color w:val="auto"/>
        </w:rPr>
      </w:pPr>
      <w:r>
        <w:rPr>
          <w:rFonts w:ascii="Arial" w:cs="Arial" w:eastAsia="Arial" w:hAnsi="Arial"/>
          <w:sz w:val="18"/>
          <w:szCs w:val="18"/>
          <w:b w:val="1"/>
          <w:bCs w:val="1"/>
          <w:color w:val="auto"/>
        </w:rPr>
        <w:t xml:space="preserve">Table 3 - Change in Interest Revenue and Expense on a Taxable Equivalent Basis </w:t>
      </w:r>
      <w:r>
        <w:rPr>
          <w:rFonts w:ascii="Arial" w:cs="Arial" w:eastAsia="Arial" w:hAnsi="Arial"/>
          <w:sz w:val="18"/>
          <w:szCs w:val="18"/>
          <w:i w:val="1"/>
          <w:iCs w:val="1"/>
          <w:color w:val="auto"/>
        </w:rPr>
        <w:t>(in thousands)</w:t>
      </w:r>
    </w:p>
    <w:tbl>
      <w:tblPr>
        <w:tblLayout w:type="fixed"/>
        <w:tblInd w:w="114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gridSpan w:val="8"/>
          </w:tcPr>
          <w:p>
            <w:pPr>
              <w:jc w:val="center"/>
              <w:ind w:left="472"/>
              <w:spacing w:after="0" w:line="157" w:lineRule="exact"/>
              <w:rPr>
                <w:sz w:val="20"/>
                <w:szCs w:val="20"/>
                <w:color w:val="auto"/>
              </w:rPr>
            </w:pPr>
            <w:r>
              <w:rPr>
                <w:rFonts w:ascii="Arial" w:cs="Arial" w:eastAsia="Arial" w:hAnsi="Arial"/>
                <w:sz w:val="14"/>
                <w:szCs w:val="14"/>
                <w:b w:val="1"/>
                <w:bCs w:val="1"/>
                <w:color w:val="auto"/>
                <w:w w:val="94"/>
              </w:rPr>
              <w:t>Three Months Ended March 31, 2013</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Compared to 2012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Increase (decrease)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Due to Changes in</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Volume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(5,220)</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Tax-exempt securities</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funds sold and other interest-earning assets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160"/>
              <w:spacing w:after="0"/>
              <w:rPr>
                <w:sz w:val="20"/>
                <w:szCs w:val="20"/>
                <w:color w:val="auto"/>
              </w:rPr>
            </w:pPr>
            <w:r>
              <w:rPr>
                <w:rFonts w:ascii="Arial" w:cs="Arial" w:eastAsia="Arial" w:hAnsi="Arial"/>
                <w:sz w:val="18"/>
                <w:szCs w:val="18"/>
                <w:b w:val="1"/>
                <w:bCs w:val="1"/>
                <w:color w:val="auto"/>
              </w:rPr>
              <w:t>Total interest-earning assets</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(7,680)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NOW accounts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Time deposits greater than $100,000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Brokered deposits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interest-bearing deposits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Federal funds purchased &amp; other borrowings</w:t>
            </w: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Home Loan Bank advances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borrowed funds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2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80"/>
              <w:spacing w:after="0"/>
              <w:rPr>
                <w:sz w:val="20"/>
                <w:szCs w:val="20"/>
                <w:color w:val="auto"/>
              </w:rPr>
            </w:pPr>
            <w:r>
              <w:rPr>
                <w:rFonts w:ascii="Arial" w:cs="Arial" w:eastAsia="Arial" w:hAnsi="Arial"/>
                <w:sz w:val="18"/>
                <w:szCs w:val="18"/>
                <w:b w:val="1"/>
                <w:bCs w:val="1"/>
                <w:color w:val="auto"/>
              </w:rPr>
              <w:t>Increase (decrease) in net interest revenue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8"/>
                <w:szCs w:val="18"/>
                <w:color w:val="auto"/>
              </w:rPr>
            </w:pPr>
          </w:p>
        </w:tc>
        <w:tc>
          <w:tcPr>
            <w:tcW w:w="34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(4,906)</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loan losses is based on management’s evaluation of losses inherent in the loan portfolio and corresponding analysis of the allowance for loan losses at quarter-end. The provision for loan losses was $11.0 million for the first quarter of 2013, compared to $15.0 million for the same period in 2012. The amount of provision recorded in each period was the amount required such that the total allowance for loan losses reflected the appropriate balance, in the estimation of management that was sufficient to cover inherent losses in the loan portfolio. The first quarter of 2013 loan loss provision was $4.00 million lower than the first quarter of 2012 provision, primarily due to the improvement in credit trends, such as net charge-offs and total nonperforming loans. For the three months ended March 31, 2013, net loan charge-offs as an annualized percentage of average outstanding loans were 1.21% compared to 1.55% for the same period in 2012.</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the residential construction and housing markets have struggled, it has been difficult for many builders and developers to produce cash flow needed to service debt from selling lots and houses. This deterioration of the residential construction and housing market was the primary factor that resulted in higher credit losses and increases in nonperforming assets over the last several years. Although a majority of the charge-offs have been within the residential construction and development portion of the portfolio, credit quality deterioration migrated to other loan categories as pressure resulting from economic conditions has persisted and unemployment levels have remained high throughout United’s markets. However, over the past eight quarters, we have seen a general improvement in credit quality and corresponding credit metrics. Additional discussion on credit quality and the allowance for loan losses is included in the Asset Quality and Risk Elements section of this report on page 45.</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revenue for the three months ended March 31, 2013 was $12.8 million, a decrease of $2.55 million, or 17%, compared to the first quarter of 2012. The following table presents the components of fee revenue for the first quarters of 2013 and 2012.</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Debit card fees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40"/>
              <w:spacing w:after="0"/>
              <w:rPr>
                <w:sz w:val="20"/>
                <w:szCs w:val="20"/>
                <w:color w:val="auto"/>
              </w:rPr>
            </w:pPr>
            <w:r>
              <w:rPr>
                <w:rFonts w:ascii="Arial" w:cs="Arial" w:eastAsia="Arial" w:hAnsi="Arial"/>
                <w:sz w:val="18"/>
                <w:szCs w:val="18"/>
                <w:color w:val="auto"/>
              </w:rPr>
              <w:t>Service charges and fees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Brokerage fees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Losses from prepayment of debt</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Hedge ineffectiveness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(2,524)</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fee revenue</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12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15,379</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 charges and fees of $7.40 million were down $380,000, or 5%, from the first quarter of 2012. The decrease was primarily due to a decline in overdraft fees resulting from decreased utilization of our courtesy overdraft services as well as a decline in other account service charges. Customers have been able to avoid these charges on demand deposit accounts by maintaining higher balances.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Mortgage loans and related fees for the first quarter of 2013 were up $556,000, or 26%, from the same period in 2012. In the first quarter of 2013, United closed 464 loans totaling $69.8 million compared with 517 loans totaling $81.7 million in the first quarter of 2012. Although origination volume was down from the first quarter of 2012, the gains realized on the sale of the mortgages were higher in 2013 due to the strong origination volume in the fourth quarter.</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recognized net securities gains of $116,000 and $557,000 for the three months ended March 31, 2013 and 2012, respectively. United also recognized $482,000 in charges from the prepayment of Federal Home Loan Bank advances and structured repurchase agreements in the first quarter of 2012. The securities gains and prepayment losses were mostly offsetting and had minimal net impact on the comparison of financial results for three months ended March 31, 2013 and 2012.</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first quarter of 2013, United recognized $85,000 in net losses from hedge ineffectiveness compared with $115,000 in net gains in the first quarter of 2012. In 2012, a portion of the hedge ineffectiveness related to terminated cash flow hedges where the gains realized on the terminated positions are being deferred over the original term of the derivative instrument. The ineffectiveness, which was caused by a decrease in qualifying prime-based loans, results in the accelerated recognition of the deferred gains. In 2012 and 2013, most of the hedge ineffectiveness gains and losses resulted from ineffectiveness on fair value hedges of brokered deposits.</w:t>
      </w:r>
    </w:p>
    <w:p>
      <w:pPr>
        <w:spacing w:after="0" w:line="21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fee revenue of $1.97 million for the first quarter of 2013 was down $2.52 million from the first quarter of 2012. In the first quarter of 2012, United recognized $1.10 million in interest on a 2008 federal tax refund, as well as a $728,000 gain from the sale of low income housing tax credits.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months ended March 31, 2013 and 2012.</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vMerge w:val="restart"/>
          </w:tcPr>
          <w:p>
            <w:pPr>
              <w:ind w:left="800"/>
              <w:spacing w:after="0"/>
              <w:rPr>
                <w:sz w:val="20"/>
                <w:szCs w:val="20"/>
                <w:color w:val="auto"/>
              </w:rPr>
            </w:pPr>
            <w:r>
              <w:rPr>
                <w:rFonts w:ascii="Arial" w:cs="Arial" w:eastAsia="Arial" w:hAnsi="Arial"/>
                <w:sz w:val="14"/>
                <w:szCs w:val="14"/>
                <w:b w:val="1"/>
                <w:bCs w:val="1"/>
                <w:color w:val="auto"/>
              </w:rPr>
              <w:t>Change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w:t>
            </w:r>
          </w:p>
        </w:tc>
        <w:tc>
          <w:tcPr>
            <w:tcW w:w="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FDIC assessments and other regulatory charges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Total excluding foreclosed property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41,437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43,130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(1,693)</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Net losses on sales of foreclosed properties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Foreclosed property write downs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Foreclosed property maintenance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43,770</w:t>
            </w:r>
          </w:p>
        </w:tc>
        <w:tc>
          <w:tcPr>
            <w:tcW w:w="2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46,955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(3,185)</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first quarter of 2013 totaled $43.8 million, down $3.19 million, or 7%, from the first quarter of 2012. Excluding foreclosed property costs, total operating expenses were $41.4 million for the three months ended March 31, 2013, down $1.69 million, or 4%, from the first quarter of 2012. Decreases in operating expenses occurred in most categories reflecting management’s focused efforts in reducing costs and improving operating efficiency.</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Salaries and employee benefits for the first quarter of 2013 were $23.6 million, down $1.63 million, or 6%, from the same period of 2012. The decrease was due to reduced staffing levels. Headcount totaled 1,540 at March 31, 2013, compared to 1,707 at March 31, 2012, a decrease of 167 positions.</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Occupancy expense of $3.37 million for the first quarter of 2013 was down $404,000, or 11%, compared to the same period of 2012. The decrease was across all subcategories of occupancy expense including building maintenance, insurance, property taxes and depreciation reflecting efforts to reduce costs and improve efficiency and the closing of two underperforming branches with two additional closings scheduled for second quarter 2013.</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and public relations expense for the first quarter of 2013 totaled $938,000, up $92,000, or 11%, from the first quarter of 2012. The increase was due to higher charitable contributions.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Postage, printing and supplies expense for the first quarter of 2013 totaled $863,000, down $116,000, or 12%, from the same period of 2012. The decrease was primarily due to lower outside courier expenses reflecting further use of electronic statements and technology as well as lower spending on office supplies.</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Professional fees for the first quarter of 2013 of $2.37 million were up $391,000, or 20%, from the same period in 2012, primarily due to legal costs and consulting services.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FDIC assessments and other regulatory charges of $2.51 million for the first quarter of 2013, remained relatively flat compared to the first quarter of 2012.</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of $4.01 million for the first quarter of 2013 increased $118,000 from the first quarter of 2012. The increase for the quarter was primarily due to higher appraisal costs on substandard loans and foreclosed properties.</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losses on sales of foreclosed property totaled $105,000 for the first quarter of 2013, compared to net losses on sale of $93,000 for the first quarter of 2012. Foreclosed property write-downs for the first quarter of 2013 were $1.04 million compared to $2.11 million a year ago. Foreclosed property maintenance expenses include legal fees, property taxes, marketing costs, utility services, maintenance and repair charges that totaled $1.19 million for the first quarter of 2013 compared with $1.62 million a year ago. These costs continue to decline with the volume of foreclosed properties held by United.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first quarter of 2013 was $585,000 as compared with income tax expense of $314,000 for the first quarter of 2012, representing effective tax rates of approximately 4.7% and 2.7%, respectively. With the full valuation allowance on United’s net deferred tax asset, United’s tax expense on its pre-tax earnings mostly represents adjustments to its reserve for uncertain tax positions and amounts payable under the Federal Alternative Minimum Tax.</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At March 31, 2013, December 31, 2012, and March 31, 2012, United reported no net deferred tax asset due to a full valuation allowance of $271 million, $270 million, and $274 million, respectively. Accounting Standards Codification Topic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that companies assess whether a valuation allowance should be established against their deferred tax assets based on the consideration of all available evidence using a “more likely than not” standard. Management considers both positive and negative evidence and analyzes changes in near-term market conditions as well as other factors which may impact future operating results. In making such judgments, significant weight is given to evidence that can be objectively verified. The deferred tax assets are analyzed quarterly for changes affecting realizability.</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management has determined that the objective negative evidence outweighs the positive evidence, management has established a full valuation allowance against its net deferred tax asset. Currently, the significant positive evidence in our analysis includes stronger capital levels and a return to profitability for six consecutive quarterly periods and seven of the last eight that were driven by increases in fee revenue and lower operating expenses, coupled with lower credit costs due to considerable improvements in credit measures and asset quality ratios. The most significant negative evidence continues to be the historic losses recorded by United as a result of the financial and economic crisis, including the cumulative three-year loss position. However, with continued positive trends and strength of our financial performance and the significant improvement in credit measures and asset quality during 2012 and the first quarter of 2013, financial and credit projections are becoming more reliable whereby they may be given more weight as to positive evidence in future periods if our current trends and performance continue. Management will continue to evaluate and weigh the positive and negative evidence going forward, and if the weight of evidence shifts such that in management’s estimation, the positive evidence outweighs the negative evidence, the valuation allowance will be adjusted or completely reversed as appropriate.</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tax benefits preservation plan, on February 22, 2011, United entered into a share exchange agreement with an investor to transfer to United 1,551,126 shares of United’s common stock, in exchange for 16,613 shares of the Company’s series D preferred shares and warrants to purchase 1,551,126 shares of common stock. Prior to entering into the share exchange agreement, collectively, the investor was United’s largest shareholder. By exchanging the investor’s common stock for the Series D Preferred Shares and warrants, United eliminated its only “5-percent shareholder” and, as a result, obtained further protection against an ownership change under Section 382.</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March 31, 2013, December 31, 2012 and March 31, 2012 were $6.85 billion, $6.80 billion and $7.17 billion, respectively. Average total assets for the first quarter of 2013 were $6.83 billion, down from $7.05 billion in the first quarter of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loan portfolio.</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6 - Loans Outstanding (excludes loans covered by loss share agreement)</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54"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1,804,030</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1,813,365</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1,843,207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453,764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458,246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152,410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commercial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2,410,204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2,426,380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2,449,825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1,245,975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1,214,203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1,131,248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371,733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381,677</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435,375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152,748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4,193,560</w:t>
            </w:r>
          </w:p>
        </w:tc>
        <w:tc>
          <w:tcPr>
            <w:tcW w:w="2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4,175,008</w:t>
            </w:r>
          </w:p>
        </w:tc>
        <w:tc>
          <w:tcPr>
            <w:tcW w:w="2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4,127,566</w:t>
            </w: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total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commercial</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Consumer installment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North Georgia</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1,362,479</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1,363,723</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1,407,701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1,316,961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1,287,909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1,238,622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575,063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579,085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587,790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398,047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259,385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261,406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262,055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281,625</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282,863</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265,455</w:t>
            </w: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4,193,560</w:t>
            </w:r>
          </w:p>
        </w:tc>
        <w:tc>
          <w:tcPr>
            <w:tcW w:w="2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4,175,008</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4,127,566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and Tennessee, including customers who have a seasonal residence in United’s market areas. More than 85% of the loans are secured by real estate. At March 31, 2013, total loans, excluding loans acquired from SCB that are covered by loss sharing agreements with the FDIC, were $4.19 billion, an increase of $66.0 million, or 2%, from March 31, 2012. The rate of loan growth began to decline in the first quarter of 2007 and the balances continued to decline through the subsequent years. The decrease in the loan portfolio began with deterioration in the residential construction and housing markets. This deterioration resulted in part as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has continued to pursue lending opportunities. The increase from a year ago in residential mortgage reflects a successful home equity line promotion that has gained traction in United’s footprint and a new low closing cost mortgage product that began being offered early in the first quarter of 2013. The increase in consumer installment loans reflects purchases of approximately $60 million in indirect auto loans over the last four quarters.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United’s Annual Report on Form 10-K for the year ended December 31, 2012.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are well-defined weaknesses that jeopardize the repayment by the borrower and there is a distinct possibility that United could sustain some loss if the deficiency is not corrected.</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home equity lines, which are a component of the residential mortgage portfolio, generally require the payment of interest only for a set period after origination. After this initial period, the outstanding balance begins amortizing and requires the payment of both principal and interest. At March 31, 2013, December 31, 2012 and March 31, 2012, home equity lines totaled $395 million, $385 million, and $295 million, respectively.</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3% of the home equity loans at March 31, 2013 were amortizing. Of the $395 million in balances outstanding at March 31, 2013, $246 million, or 62%, were first liens. The balance at March 31, 2013 represents 62% of the total committed lines.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7 - Performing Substandard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320" w:type="dxa"/>
            <w:vAlign w:val="bottom"/>
          </w:tcPr>
          <w:p>
            <w:pPr>
              <w:spacing w:after="0"/>
              <w:rPr>
                <w:sz w:val="16"/>
                <w:szCs w:val="16"/>
                <w:color w:val="auto"/>
              </w:rPr>
            </w:pPr>
          </w:p>
        </w:tc>
        <w:tc>
          <w:tcPr>
            <w:tcW w:w="15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r>
      <w:tr>
        <w:trPr>
          <w:trHeight w:val="208"/>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128,120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117,543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126,332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148,418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133,840</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18,477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15,916</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17,217</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18,462</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19,285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37,876</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23,256</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166,902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155,305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172,252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202,210</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174,313</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64,103</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65,179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72,198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73,277</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75,736</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37,804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45,450</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64,274</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Consumer installment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2,706</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261,941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323,643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316,933</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By Market</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121,358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131,253</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Atlanta MSA</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74,064</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77,630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79,242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105,647</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94,191</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30,391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28,657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38,049</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38,792</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Coastal Georgia</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17,496</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17,421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20,164</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19,342</w:t>
            </w: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28,514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19,251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20,524</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18,745</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East Tennessee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13,418</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13,131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17,901</w:t>
            </w:r>
          </w:p>
        </w:tc>
        <w:tc>
          <w:tcPr>
            <w:tcW w:w="3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14,610</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271,681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261,941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282,506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323,643</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316,933</w:t>
            </w:r>
          </w:p>
        </w:tc>
      </w:tr>
      <w:tr>
        <w:trPr>
          <w:trHeight w:val="20"/>
        </w:trPr>
        <w:tc>
          <w:tcPr>
            <w:tcW w:w="20" w:type="dxa"/>
            <w:vAlign w:val="bottom"/>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March 31, 2013, performing substandard loans totaled $272 million and increased $9.74 million from the prior quarter-end, and decreased $45.3 million from a year ago. The increase from the fourth quarter of 2012 was primarily in commercial loans in the Gainesville MSA. The decrease from the first quarter of 2012 was primarily in residential construction, primarily in north Georgia, the Atlanta MSA and North Carolina. Performing substandard loans have been on a downward trend as credit conditions have continued to improve and problem credits are resolved.</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on a regular basis with management each quarter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external loan review to ensure the independence of the loan review process.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presents a summary of the changes in the allowance for loan losses for the three months ended March 31, 2013 and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96"/>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107,137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114,468</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Commercial (secured by real estate)</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5,454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3,928</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5,767</w:t>
            </w: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5,629</w:t>
            </w: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w:t>
            </w:r>
          </w:p>
        </w:tc>
      </w:tr>
      <w:tr>
        <w:trPr>
          <w:trHeight w:val="223"/>
        </w:trPr>
        <w:tc>
          <w:tcPr>
            <w:tcW w:w="20" w:type="dxa"/>
            <w:vAlign w:val="bottom"/>
          </w:tcPr>
          <w:p>
            <w:pPr>
              <w:spacing w:after="0"/>
              <w:rPr>
                <w:sz w:val="19"/>
                <w:szCs w:val="19"/>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Total loans charged-off</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13,367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17,197</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Commercial (secured by real estate)</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315</w:t>
            </w:r>
          </w:p>
        </w:tc>
      </w:tr>
      <w:tr>
        <w:trPr>
          <w:trHeight w:val="223"/>
        </w:trPr>
        <w:tc>
          <w:tcPr>
            <w:tcW w:w="20" w:type="dxa"/>
            <w:vAlign w:val="bottom"/>
          </w:tcPr>
          <w:p>
            <w:pPr>
              <w:spacing w:after="0"/>
              <w:rPr>
                <w:sz w:val="19"/>
                <w:szCs w:val="19"/>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w:t>
            </w:r>
          </w:p>
        </w:tc>
      </w:tr>
      <w:tr>
        <w:trPr>
          <w:trHeight w:val="223"/>
        </w:trPr>
        <w:tc>
          <w:tcPr>
            <w:tcW w:w="20" w:type="dxa"/>
            <w:vAlign w:val="bottom"/>
          </w:tcPr>
          <w:p>
            <w:pPr>
              <w:spacing w:after="0"/>
              <w:rPr>
                <w:sz w:val="19"/>
                <w:szCs w:val="19"/>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Total recoveries</w:t>
            </w: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charge-offs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12,384</w:t>
            </w: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Balance end of period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105,753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113,601</w:t>
            </w: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loans: *</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At period-end</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4,193,560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4,127,566</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Average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4,166,225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4,117,635</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160"/>
              <w:spacing w:after="0"/>
              <w:rPr>
                <w:sz w:val="20"/>
                <w:szCs w:val="20"/>
                <w:color w:val="auto"/>
              </w:rPr>
            </w:pPr>
            <w:r>
              <w:rPr>
                <w:rFonts w:ascii="Arial" w:cs="Arial" w:eastAsia="Arial" w:hAnsi="Arial"/>
                <w:sz w:val="18"/>
                <w:szCs w:val="18"/>
                <w:color w:val="auto"/>
              </w:rPr>
              <w:t>Net charge-offs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 Excludes loans covered by loss sharing agreements with the FDIC</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level of the allowance for loan losses compared to the previous periods reflects stabilizing trends in substandard loans, leading to an expectation that charge-off levels will continue to decline. Further, the declining balance of the allowance for loan losses over the last several quarters reflects an overall improving trend in credit quality of the loan portfolio.</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2013, the allowance for loan losses was $106 million, or 2.52% of loans, compared with $107 million, or 2.57% of loans, at December 31, 2012 and $114 million, or 3.75% of loans, at March 31, 2012.</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the allowance for loan losses at March 31, 2013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nonperforming assets, excluding SCB’s assets covered by the loss-sharing agreement with the FDIC. Those assets have been excluded from nonperforming assets, as the loss-sharing agreement with the FDIC and purchase price adjustments to reflect credit losses effectively eliminate the likelihood of recognizing any losses on the covered assets.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w:t>
            </w:r>
          </w:p>
        </w:tc>
      </w:tr>
      <w:tr>
        <w:trPr>
          <w:trHeight w:val="208"/>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96,006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109,894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129,704</w:t>
            </w: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16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16,734</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18,264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31,887</w:t>
            </w:r>
          </w:p>
        </w:tc>
      </w:tr>
      <w:tr>
        <w:trPr>
          <w:trHeight w:val="257"/>
        </w:trPr>
        <w:tc>
          <w:tcPr>
            <w:tcW w:w="20" w:type="dxa"/>
            <w:vAlign w:val="bottom"/>
          </w:tcPr>
          <w:p>
            <w:pPr>
              <w:spacing w:after="0"/>
              <w:rPr>
                <w:sz w:val="22"/>
                <w:szCs w:val="22"/>
                <w:color w:val="auto"/>
              </w:rPr>
            </w:pPr>
          </w:p>
        </w:tc>
        <w:tc>
          <w:tcPr>
            <w:tcW w:w="73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nonperforming assets</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112,740</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128,158</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161,591</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Nonperforming loans as a percentage of total loans</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There were no loans 90 days or more past due that were still accruing at period end.</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March 31, 2013, nonperforming loans were $96.0 million, compared to $110 million at December 31, 2012 and $130 million at March 31, 2012. Nonperforming loans have steadily decreased in dollar amount and as a percentage of total loans following the classification of United’s largest lending relationship in the third quarter of 2011. Nonperforming assets, which include nonperforming loans and foreclosed real estate, totaled $113 million at March 31, 2013, compared with $128 million at December 31, 2012 and $162 million at March 31, 2012. United sold $6.73 million of foreclosed properties during the first quarter of 2013, however this was offset by $6.29 million in new foreclosures for the quarter.</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6, 7, 8 and 9, assets covered by the loss-sharing agreement with the FDIC related to the acquisition of SCB are excluded from this table.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10 - Nonperforming Assets by Quarter </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i w:val="1"/>
          <w:i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6"/>
              </w:rPr>
              <w:t>March 31, 2013</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34"/>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4"/>
              </w:rPr>
              <w:t>March 31, 2012</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Nonaccrual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Foreclosed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9"/>
              </w:rPr>
              <w:t>Nonaccrual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8"/>
              </w:rPr>
              <w:t>Foreclosed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Nonaccrual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Foreclosed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r>
      <w:tr>
        <w:trPr>
          <w:trHeight w:val="185"/>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Properties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171"/>
              <w:spacing w:after="0"/>
              <w:rPr>
                <w:sz w:val="20"/>
                <w:szCs w:val="20"/>
                <w:color w:val="auto"/>
              </w:rPr>
            </w:pPr>
            <w:r>
              <w:rPr>
                <w:rFonts w:ascii="Arial" w:cs="Arial" w:eastAsia="Arial" w:hAnsi="Arial"/>
                <w:sz w:val="14"/>
                <w:szCs w:val="14"/>
                <w:b w:val="1"/>
                <w:bCs w:val="1"/>
                <w:color w:val="auto"/>
              </w:rPr>
              <w:t>Loans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Properties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Properties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NPAs</w:t>
            </w:r>
          </w:p>
        </w:tc>
      </w:tr>
      <w:tr>
        <w:trPr>
          <w:trHeight w:val="198"/>
        </w:trPr>
        <w:tc>
          <w:tcPr>
            <w:tcW w:w="20" w:type="dxa"/>
            <w:vAlign w:val="bottom"/>
          </w:tcPr>
          <w:p>
            <w:pPr>
              <w:spacing w:after="0"/>
              <w:rPr>
                <w:sz w:val="17"/>
                <w:szCs w:val="17"/>
                <w:color w:val="auto"/>
              </w:rPr>
            </w:pPr>
          </w:p>
        </w:tc>
        <w:tc>
          <w:tcPr>
            <w:tcW w:w="1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BY</w:t>
            </w: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right w:val="single" w:sz="8" w:color="auto"/>
            </w:tcBorders>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(sec. by RE)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17,304</w:t>
            </w:r>
          </w:p>
        </w:tc>
        <w:tc>
          <w:tcPr>
            <w:tcW w:w="18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5,584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22,888</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5,479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27,627</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26,081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10,808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36,889</w:t>
            </w:r>
          </w:p>
        </w:tc>
      </w:tr>
      <w:tr>
        <w:trPr>
          <w:trHeight w:val="202"/>
        </w:trPr>
        <w:tc>
          <w:tcPr>
            <w:tcW w:w="20" w:type="dxa"/>
            <w:vAlign w:val="bottom"/>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Commercial &amp;</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29,545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31,817</w:t>
            </w:r>
          </w:p>
        </w:tc>
        <w:tc>
          <w:tcPr>
            <w:tcW w:w="2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36,314</w:t>
            </w: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Commercial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37"/>
        </w:trPr>
        <w:tc>
          <w:tcPr>
            <w:tcW w:w="130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22,359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3,027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25,386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26,047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23,319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3,266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26,585</w:t>
            </w:r>
          </w:p>
        </w:tc>
      </w:tr>
      <w:tr>
        <w:trPr>
          <w:trHeight w:val="175"/>
        </w:trPr>
        <w:tc>
          <w:tcPr>
            <w:tcW w:w="20" w:type="dxa"/>
            <w:vAlign w:val="bottom"/>
          </w:tcPr>
          <w:p>
            <w:pPr>
              <w:spacing w:after="0"/>
              <w:rPr>
                <w:sz w:val="15"/>
                <w:szCs w:val="15"/>
                <w:color w:val="auto"/>
              </w:rPr>
            </w:pPr>
          </w:p>
        </w:tc>
        <w:tc>
          <w:tcPr>
            <w:tcW w:w="1280" w:type="dxa"/>
            <w:vAlign w:val="bottom"/>
            <w:tcBorders>
              <w:top w:val="single" w:sz="8" w:color="CCEEFF"/>
            </w:tcBorders>
            <w:shd w:val="clear" w:color="auto" w:fill="CCEEFF"/>
          </w:tcPr>
          <w:p>
            <w:pPr>
              <w:ind w:left="320"/>
              <w:spacing w:after="0" w:line="175" w:lineRule="exact"/>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8,611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77,808</w:t>
            </w:r>
          </w:p>
        </w:tc>
        <w:tc>
          <w:tcPr>
            <w:tcW w:w="2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85,714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99,788</w:t>
            </w: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mortgage</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11,817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3,463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15,280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12,589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4,753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17,342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18,741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24,623</w:t>
            </w:r>
          </w:p>
        </w:tc>
      </w:tr>
      <w:tr>
        <w:trPr>
          <w:trHeight w:val="202"/>
        </w:trPr>
        <w:tc>
          <w:tcPr>
            <w:tcW w:w="20" w:type="dxa"/>
            <w:vAlign w:val="bottom"/>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18,702</w:t>
            </w:r>
          </w:p>
        </w:tc>
        <w:tc>
          <w:tcPr>
            <w:tcW w:w="2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24,341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11,931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36,272</w:t>
            </w: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Consumer</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installment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389</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908</w:t>
            </w:r>
          </w:p>
        </w:tc>
      </w:tr>
      <w:tr>
        <w:trPr>
          <w:trHeight w:val="27"/>
        </w:trPr>
        <w:tc>
          <w:tcPr>
            <w:tcW w:w="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1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 xml:space="preserve">Total NPAs </w:t>
            </w: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96,006</w:t>
            </w:r>
          </w:p>
        </w:tc>
        <w:tc>
          <w:tcPr>
            <w:tcW w:w="1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112,740</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109,894</w:t>
            </w:r>
          </w:p>
        </w:tc>
        <w:tc>
          <w:tcPr>
            <w:tcW w:w="3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18,264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128,158</w:t>
            </w:r>
          </w:p>
        </w:tc>
        <w:tc>
          <w:tcPr>
            <w:tcW w:w="2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129,704</w:t>
            </w:r>
          </w:p>
        </w:tc>
        <w:tc>
          <w:tcPr>
            <w:tcW w:w="2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31,887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161,591</w:t>
            </w:r>
          </w:p>
        </w:tc>
      </w:tr>
      <w:tr>
        <w:trPr>
          <w:trHeight w:val="191"/>
        </w:trPr>
        <w:tc>
          <w:tcPr>
            <w:tcW w:w="20" w:type="dxa"/>
            <w:vAlign w:val="bottom"/>
          </w:tcPr>
          <w:p>
            <w:pPr>
              <w:spacing w:after="0"/>
              <w:rPr>
                <w:sz w:val="16"/>
                <w:szCs w:val="16"/>
                <w:color w:val="auto"/>
              </w:rPr>
            </w:pPr>
          </w:p>
        </w:tc>
        <w:tc>
          <w:tcPr>
            <w:tcW w:w="1280" w:type="dxa"/>
            <w:vAlign w:val="bottom"/>
            <w:tcBorders>
              <w:top w:val="single" w:sz="8" w:color="CCEEFF"/>
            </w:tcBorders>
          </w:tcPr>
          <w:p>
            <w:pPr>
              <w:ind w:left="320"/>
              <w:spacing w:after="0" w:line="191" w:lineRule="exact"/>
              <w:rPr>
                <w:sz w:val="20"/>
                <w:szCs w:val="20"/>
                <w:color w:val="auto"/>
              </w:rPr>
            </w:pPr>
            <w:r>
              <w:rPr>
                <w:rFonts w:ascii="Arial" w:cs="Arial" w:eastAsia="Arial" w:hAnsi="Arial"/>
                <w:sz w:val="18"/>
                <w:szCs w:val="18"/>
                <w:b w:val="1"/>
                <w:bCs w:val="1"/>
                <w:color w:val="auto"/>
                <w:w w:val="99"/>
              </w:rPr>
              <w:t>Balance as</w:t>
            </w: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480"/>
              <w:spacing w:after="0"/>
              <w:rPr>
                <w:sz w:val="20"/>
                <w:szCs w:val="20"/>
                <w:color w:val="auto"/>
              </w:rPr>
            </w:pPr>
            <w:r>
              <w:rPr>
                <w:rFonts w:ascii="Arial" w:cs="Arial" w:eastAsia="Arial" w:hAnsi="Arial"/>
                <w:sz w:val="18"/>
                <w:szCs w:val="18"/>
                <w:b w:val="1"/>
                <w:bCs w:val="1"/>
                <w:color w:val="auto"/>
              </w:rPr>
              <w:t>a % of</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480"/>
              <w:spacing w:after="0"/>
              <w:rPr>
                <w:sz w:val="20"/>
                <w:szCs w:val="20"/>
                <w:color w:val="auto"/>
              </w:rPr>
            </w:pPr>
            <w:r>
              <w:rPr>
                <w:rFonts w:ascii="Arial" w:cs="Arial" w:eastAsia="Arial" w:hAnsi="Arial"/>
                <w:sz w:val="18"/>
                <w:szCs w:val="18"/>
                <w:b w:val="1"/>
                <w:bCs w:val="1"/>
                <w:color w:val="auto"/>
              </w:rPr>
              <w:t>Unpaid</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80" w:type="dxa"/>
            <w:vAlign w:val="bottom"/>
          </w:tcPr>
          <w:p>
            <w:pPr>
              <w:ind w:left="480"/>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4"/>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59.4%</w:t>
            </w:r>
          </w:p>
        </w:tc>
      </w:tr>
      <w:tr>
        <w:trPr>
          <w:trHeight w:val="277"/>
        </w:trPr>
        <w:tc>
          <w:tcPr>
            <w:tcW w:w="20" w:type="dxa"/>
            <w:vAlign w:val="bottom"/>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BY MARKET</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left w:val="single" w:sz="8" w:color="CCEEFF"/>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16"/>
        </w:trPr>
        <w:tc>
          <w:tcPr>
            <w:tcW w:w="1300" w:type="dxa"/>
            <w:vAlign w:val="bottom"/>
            <w:gridSpan w:val="2"/>
          </w:tcPr>
          <w:p>
            <w:pPr>
              <w:spacing w:after="0"/>
              <w:rPr>
                <w:sz w:val="20"/>
                <w:szCs w:val="20"/>
                <w:color w:val="auto"/>
              </w:rPr>
            </w:pPr>
            <w:r>
              <w:rPr>
                <w:rFonts w:ascii="Arial" w:cs="Arial" w:eastAsia="Arial" w:hAnsi="Arial"/>
                <w:sz w:val="18"/>
                <w:szCs w:val="18"/>
                <w:color w:val="auto"/>
              </w:rPr>
              <w:t>North Georgia</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63,210</w:t>
            </w:r>
          </w:p>
        </w:tc>
        <w:tc>
          <w:tcPr>
            <w:tcW w:w="1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6,616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69,826</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69,950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8,219</w:t>
            </w:r>
          </w:p>
        </w:tc>
        <w:tc>
          <w:tcPr>
            <w:tcW w:w="3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78,169</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81,117</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14,559</w:t>
            </w:r>
          </w:p>
        </w:tc>
        <w:tc>
          <w:tcPr>
            <w:tcW w:w="2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95,676</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18,556</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29,968</w:t>
            </w: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2,533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11,052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2,579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13,593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15,765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4,650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20,415</w:t>
            </w: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6"/>
              </w:rPr>
              <w:t>Coastal Georgia</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2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6,890</w:t>
            </w:r>
          </w:p>
        </w:tc>
      </w:tr>
      <w:tr>
        <w:trPr>
          <w:trHeight w:val="202"/>
        </w:trPr>
        <w:tc>
          <w:tcPr>
            <w:tcW w:w="20" w:type="dxa"/>
            <w:vAlign w:val="bottom"/>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Gainesville</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MSA</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3,387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5,597</w:t>
            </w:r>
          </w:p>
        </w:tc>
      </w:tr>
      <w:tr>
        <w:trPr>
          <w:trHeight w:val="243"/>
        </w:trPr>
        <w:tc>
          <w:tcPr>
            <w:tcW w:w="20" w:type="dxa"/>
            <w:vAlign w:val="bottom"/>
          </w:tcPr>
          <w:p>
            <w:pPr>
              <w:spacing w:after="0"/>
              <w:rPr>
                <w:sz w:val="21"/>
                <w:szCs w:val="21"/>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6"/>
              </w:rPr>
              <w:t>East Tennessee</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3,045</w:t>
            </w:r>
          </w:p>
        </w:tc>
      </w:tr>
      <w:tr>
        <w:trPr>
          <w:trHeight w:val="27"/>
        </w:trPr>
        <w:tc>
          <w:tcPr>
            <w:tcW w:w="20" w:type="dxa"/>
            <w:vAlign w:val="bottom"/>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w w:val="99"/>
              </w:rPr>
              <w:t xml:space="preserve">Total NPAs </w:t>
            </w: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96,006</w:t>
            </w:r>
          </w:p>
        </w:tc>
        <w:tc>
          <w:tcPr>
            <w:tcW w:w="1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16,734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112,740</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109,894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18,264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128,158</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129,704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31,887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161,591</w:t>
            </w:r>
          </w:p>
        </w:tc>
      </w:tr>
      <w:tr>
        <w:trPr>
          <w:trHeight w:val="21"/>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ectPr>
          <w:pgSz w:w="11900" w:h="16870" w:orient="portrait"/>
          <w:cols w:equalWidth="0" w:num="1">
            <w:col w:w="11420"/>
          </w:cols>
          <w:pgMar w:left="240" w:top="490" w:right="239" w:bottom="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97790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right="300"/>
        <w:spacing w:after="0" w:line="259" w:lineRule="auto"/>
        <w:rPr>
          <w:sz w:val="20"/>
          <w:szCs w:val="20"/>
          <w:color w:val="auto"/>
        </w:rPr>
      </w:pPr>
      <w:r>
        <w:rPr>
          <w:rFonts w:ascii="Arial" w:cs="Arial" w:eastAsia="Arial" w:hAnsi="Arial"/>
          <w:sz w:val="18"/>
          <w:szCs w:val="18"/>
          <w:color w:val="auto"/>
        </w:rPr>
        <w:t>Nonperforming assets in the residential construction category were $19.3 million at March 31, 2013, compared with $36.3 million at March 31, 2012, a decrease of $17.0 million, or 47%. Commercial nonperforming assets decreased from $99.8 million at March 31, 2012 to $77.8 million at March 31, 2013. Residential mortgage non-performing assets of $15.3 million decreased $9.34 million from March 31, 2012. The decreasing trend in nonperforming assets is consistent with our overall improving credit trends.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2013, December 31, 2012, and March 31, 2102, United had $159 million, $161 million and $159 respectively, in loans with terms that have been modified in a troubled debt restructuring (“TDR”). Included therein were $32.8 million, $38.0 million and $32.7 million, respectively, of TDRs that were not performing in accordance with their modified terms and were included in nonperforming loans. The remaining TDRs with an aggregate balance of $126 million, $123 million and $126 million, respectively, were performing according to their modified terms and are therefore not considered to be nonperforming assets.</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At March 31, 2013, December 31, 2012, and March 31, 2012, there were $231 million, $253 million and $294 million, respectively, of loans classified as impaired under the definition outlined in the Accounting Standards Codification. Included in impaired loans at March 31, 2013, December 31, 2012 and March 31, 2012, was $122 million, $157 million and $208 million, respectively, that did not require specific reserves or had previously been charged down to net realizable value. The balance of impaired loans at March 31, 2013, December 31, 2012 and March 31, 2012, of $108 million, $95.8 million and $85.7 million, respectively, had specific reserves that totaled $12.0 million, $11.6 million and $16.2 million, respectively. The average recorded investment in impaired loans for the first quarters of 2013 and 2012 was $236 million and $281 million, respectively. For the three months ended March 31, 2013 and 2012, United recognized $1.83 million and $2.27 million, respectively, in interest revenue on impaired loans. United’s policy is to discontinue the recognition of interest revenue for loans classified as impaired under ASC 310-10-35,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when a loan meets the criteria for nonaccrual status. Impaired loans decreased 22% from March 31, 2012 to March 31, 2013, as the level of United’s nonaccrual and impaired substandard accruing loans over $2 million began to subside.</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Table 11 - Activity in Nonperforming Assets by Year</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6"/>
          </w:tcPr>
          <w:p>
            <w:pPr>
              <w:jc w:val="center"/>
              <w:ind w:left="440"/>
              <w:spacing w:after="0"/>
              <w:rPr>
                <w:sz w:val="20"/>
                <w:szCs w:val="20"/>
                <w:color w:val="auto"/>
              </w:rPr>
            </w:pPr>
            <w:r>
              <w:rPr>
                <w:rFonts w:ascii="Arial" w:cs="Arial" w:eastAsia="Arial" w:hAnsi="Arial"/>
                <w:sz w:val="14"/>
                <w:szCs w:val="14"/>
                <w:b w:val="1"/>
                <w:bCs w:val="1"/>
                <w:color w:val="auto"/>
                <w:w w:val="97"/>
              </w:rPr>
              <w:t xml:space="preserve">First Quarter 2013 </w:t>
            </w:r>
            <w:r>
              <w:rPr>
                <w:rFonts w:ascii="Arial" w:cs="Arial" w:eastAsia="Arial" w:hAnsi="Arial"/>
                <w:sz w:val="10"/>
                <w:szCs w:val="10"/>
                <w:color w:val="auto"/>
                <w:w w:val="97"/>
              </w:rPr>
              <w:t>(1)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center"/>
              <w:ind w:left="420"/>
              <w:spacing w:after="0"/>
              <w:rPr>
                <w:sz w:val="20"/>
                <w:szCs w:val="20"/>
                <w:color w:val="auto"/>
              </w:rPr>
            </w:pPr>
            <w:r>
              <w:rPr>
                <w:rFonts w:ascii="Arial" w:cs="Arial" w:eastAsia="Arial" w:hAnsi="Arial"/>
                <w:sz w:val="14"/>
                <w:szCs w:val="14"/>
                <w:b w:val="1"/>
                <w:bCs w:val="1"/>
                <w:color w:val="auto"/>
                <w:w w:val="97"/>
              </w:rPr>
              <w:t xml:space="preserve">Fourth Quarter 2012 </w:t>
            </w:r>
            <w:r>
              <w:rPr>
                <w:rFonts w:ascii="Arial" w:cs="Arial" w:eastAsia="Arial" w:hAnsi="Arial"/>
                <w:sz w:val="10"/>
                <w:szCs w:val="10"/>
                <w:color w:val="auto"/>
                <w:w w:val="97"/>
              </w:rPr>
              <w:t>(1)</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4"/>
                <w:szCs w:val="14"/>
                <w:b w:val="1"/>
                <w:bCs w:val="1"/>
                <w:color w:val="auto"/>
              </w:rPr>
              <w:t xml:space="preserve">First Quarter 2012 </w:t>
            </w:r>
            <w:r>
              <w:rPr>
                <w:rFonts w:ascii="Arial" w:cs="Arial" w:eastAsia="Arial" w:hAnsi="Arial"/>
                <w:sz w:val="10"/>
                <w:szCs w:val="10"/>
                <w:color w:val="auto"/>
              </w:rPr>
              <w:t>(1)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Nonaccrual</w:t>
            </w:r>
          </w:p>
        </w:tc>
        <w:tc>
          <w:tcPr>
            <w:tcW w:w="920" w:type="dxa"/>
            <w:vAlign w:val="bottom"/>
            <w:tcBorders>
              <w:right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88"/>
              </w:rPr>
              <w:t>Foreclosed</w:t>
            </w:r>
          </w:p>
        </w:tc>
        <w:tc>
          <w:tcPr>
            <w:tcW w:w="240" w:type="dxa"/>
            <w:vAlign w:val="bottom"/>
          </w:tcPr>
          <w:p>
            <w:pPr>
              <w:spacing w:after="0"/>
              <w:rPr>
                <w:sz w:val="16"/>
                <w:szCs w:val="16"/>
                <w:color w:val="auto"/>
              </w:rPr>
            </w:pPr>
          </w:p>
        </w:tc>
        <w:tc>
          <w:tcPr>
            <w:tcW w:w="760" w:type="dxa"/>
            <w:vAlign w:val="bottom"/>
            <w:tcBorders>
              <w:right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Nonaccrual</w:t>
            </w:r>
          </w:p>
        </w:tc>
        <w:tc>
          <w:tcPr>
            <w:tcW w:w="80" w:type="dxa"/>
            <w:vAlign w:val="bottom"/>
          </w:tcPr>
          <w:p>
            <w:pPr>
              <w:spacing w:after="0"/>
              <w:rPr>
                <w:sz w:val="16"/>
                <w:szCs w:val="16"/>
                <w:color w:val="auto"/>
              </w:rPr>
            </w:pPr>
          </w:p>
        </w:tc>
        <w:tc>
          <w:tcPr>
            <w:tcW w:w="94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8"/>
              </w:rPr>
              <w:t>Foreclosed</w:t>
            </w:r>
          </w:p>
        </w:tc>
        <w:tc>
          <w:tcPr>
            <w:tcW w:w="260" w:type="dxa"/>
            <w:vAlign w:val="bottom"/>
          </w:tcPr>
          <w:p>
            <w:pPr>
              <w:spacing w:after="0"/>
              <w:rPr>
                <w:sz w:val="16"/>
                <w:szCs w:val="16"/>
                <w:color w:val="auto"/>
              </w:rPr>
            </w:pPr>
          </w:p>
        </w:tc>
        <w:tc>
          <w:tcPr>
            <w:tcW w:w="740" w:type="dxa"/>
            <w:vAlign w:val="bottom"/>
            <w:tcBorders>
              <w:right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Nonaccrual</w:t>
            </w:r>
          </w:p>
        </w:tc>
        <w:tc>
          <w:tcPr>
            <w:tcW w:w="80" w:type="dxa"/>
            <w:vAlign w:val="bottom"/>
          </w:tcPr>
          <w:p>
            <w:pPr>
              <w:spacing w:after="0"/>
              <w:rPr>
                <w:sz w:val="16"/>
                <w:szCs w:val="16"/>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5"/>
              </w:rPr>
              <w:t>Foreclosed</w:t>
            </w:r>
          </w:p>
        </w:tc>
        <w:tc>
          <w:tcPr>
            <w:tcW w:w="240" w:type="dxa"/>
            <w:vAlign w:val="bottom"/>
          </w:tcPr>
          <w:p>
            <w:pPr>
              <w:spacing w:after="0"/>
              <w:rPr>
                <w:sz w:val="16"/>
                <w:szCs w:val="16"/>
                <w:color w:val="auto"/>
              </w:rPr>
            </w:pPr>
          </w:p>
        </w:tc>
        <w:tc>
          <w:tcPr>
            <w:tcW w:w="820" w:type="dxa"/>
            <w:vAlign w:val="bottom"/>
            <w:tcBorders>
              <w:right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Loans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Properties</w:t>
            </w:r>
          </w:p>
        </w:tc>
        <w:tc>
          <w:tcPr>
            <w:tcW w:w="12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Properties</w:t>
            </w:r>
          </w:p>
        </w:tc>
        <w:tc>
          <w:tcPr>
            <w:tcW w:w="120" w:type="dxa"/>
            <w:vAlign w:val="bottom"/>
            <w:tcBorders>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Loans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9"/>
              </w:rPr>
              <w:t>Properties</w:t>
            </w:r>
          </w:p>
        </w:tc>
        <w:tc>
          <w:tcPr>
            <w:tcW w:w="140" w:type="dxa"/>
            <w:vAlign w:val="bottom"/>
            <w:tcBorders>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109,894</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18,264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128,158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115,001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26,958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141,959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127,479</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32,859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160,338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line="203" w:lineRule="exact"/>
              <w:rPr>
                <w:sz w:val="20"/>
                <w:szCs w:val="20"/>
                <w:color w:val="auto"/>
              </w:rPr>
            </w:pPr>
            <w:r>
              <w:rPr>
                <w:rFonts w:ascii="Arial" w:cs="Arial" w:eastAsia="Arial" w:hAnsi="Arial"/>
                <w:sz w:val="16"/>
                <w:szCs w:val="16"/>
                <w:color w:val="auto"/>
                <w:w w:val="95"/>
              </w:rPr>
              <w:t xml:space="preserve">Loans placed on non-accrual </w:t>
            </w:r>
            <w:r>
              <w:rPr>
                <w:rFonts w:ascii="Arial" w:cs="Arial" w:eastAsia="Arial" w:hAnsi="Arial"/>
                <w:sz w:val="22"/>
                <w:szCs w:val="22"/>
                <w:color w:val="auto"/>
                <w:w w:val="95"/>
                <w:vertAlign w:val="superscript"/>
              </w:rPr>
              <w:t>(2)</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9,665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9,665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20,211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20,211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32,437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32,437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Payments received</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(6,809)</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(5,945)</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Loan charge-offs</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(10,456)</w:t>
            </w:r>
          </w:p>
        </w:tc>
        <w:tc>
          <w:tcPr>
            <w:tcW w:w="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(11,722)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(11,722)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(14,733)</w:t>
            </w:r>
          </w:p>
        </w:tc>
        <w:tc>
          <w:tcPr>
            <w:tcW w:w="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Foreclosures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(6,288)</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6,288</w:t>
            </w:r>
          </w:p>
        </w:tc>
        <w:tc>
          <w:tcPr>
            <w:tcW w:w="2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7,138</w:t>
            </w:r>
          </w:p>
        </w:tc>
        <w:tc>
          <w:tcPr>
            <w:tcW w:w="2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(9,534)</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9,534</w:t>
            </w:r>
          </w:p>
        </w:tc>
        <w:tc>
          <w:tcPr>
            <w:tcW w:w="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Capitalized costs</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54</w:t>
            </w:r>
          </w:p>
        </w:tc>
        <w:tc>
          <w:tcPr>
            <w:tcW w:w="240" w:type="dxa"/>
            <w:vAlign w:val="bottom"/>
          </w:tcPr>
          <w:p>
            <w:pPr>
              <w:spacing w:after="0"/>
              <w:rPr>
                <w:sz w:val="17"/>
                <w:szCs w:val="17"/>
                <w:color w:val="auto"/>
              </w:rPr>
            </w:pPr>
          </w:p>
        </w:tc>
        <w:tc>
          <w:tcPr>
            <w:tcW w:w="7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201</w:t>
            </w:r>
          </w:p>
        </w:tc>
        <w:tc>
          <w:tcPr>
            <w:tcW w:w="260" w:type="dxa"/>
            <w:vAlign w:val="bottom"/>
          </w:tcPr>
          <w:p>
            <w:pPr>
              <w:spacing w:after="0"/>
              <w:rPr>
                <w:sz w:val="17"/>
                <w:szCs w:val="17"/>
                <w:color w:val="auto"/>
              </w:rPr>
            </w:pPr>
          </w:p>
        </w:tc>
        <w:tc>
          <w:tcPr>
            <w:tcW w:w="7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329</w:t>
            </w:r>
          </w:p>
        </w:tc>
        <w:tc>
          <w:tcPr>
            <w:tcW w:w="240" w:type="dxa"/>
            <w:vAlign w:val="bottom"/>
          </w:tcPr>
          <w:p>
            <w:pPr>
              <w:spacing w:after="0"/>
              <w:rPr>
                <w:sz w:val="17"/>
                <w:szCs w:val="17"/>
                <w:color w:val="auto"/>
              </w:rPr>
            </w:pPr>
          </w:p>
        </w:tc>
        <w:tc>
          <w:tcPr>
            <w:tcW w:w="8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Note / property sales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(6,726)</w:t>
            </w:r>
          </w:p>
        </w:tc>
        <w:tc>
          <w:tcPr>
            <w:tcW w:w="240" w:type="dxa"/>
            <w:vAlign w:val="bottom"/>
            <w:shd w:val="clear" w:color="auto" w:fill="CCEEFF"/>
          </w:tcPr>
          <w:p>
            <w:pPr>
              <w:spacing w:after="0"/>
              <w:rPr>
                <w:sz w:val="17"/>
                <w:szCs w:val="17"/>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(12,845)</w:t>
            </w:r>
          </w:p>
        </w:tc>
        <w:tc>
          <w:tcPr>
            <w:tcW w:w="260" w:type="dxa"/>
            <w:vAlign w:val="bottom"/>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(8,631)</w:t>
            </w:r>
          </w:p>
        </w:tc>
        <w:tc>
          <w:tcPr>
            <w:tcW w:w="24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00" w:type="dxa"/>
            <w:vAlign w:val="bottom"/>
          </w:tcPr>
          <w:p>
            <w:pPr>
              <w:spacing w:after="0"/>
              <w:rPr>
                <w:sz w:val="20"/>
                <w:szCs w:val="20"/>
                <w:color w:val="auto"/>
              </w:rPr>
            </w:pPr>
            <w:r>
              <w:rPr>
                <w:rFonts w:ascii="Arial" w:cs="Arial" w:eastAsia="Arial" w:hAnsi="Arial"/>
                <w:sz w:val="16"/>
                <w:szCs w:val="16"/>
                <w:color w:val="auto"/>
              </w:rPr>
              <w:t>Write downs</w:t>
            </w:r>
          </w:p>
        </w:tc>
        <w:tc>
          <w:tcPr>
            <w:tcW w:w="14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(1,041)</w:t>
            </w:r>
          </w:p>
        </w:tc>
        <w:tc>
          <w:tcPr>
            <w:tcW w:w="240" w:type="dxa"/>
            <w:vAlign w:val="bottom"/>
          </w:tcPr>
          <w:p>
            <w:pPr>
              <w:spacing w:after="0"/>
              <w:rPr>
                <w:sz w:val="17"/>
                <w:szCs w:val="17"/>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(1,438)</w:t>
            </w:r>
          </w:p>
        </w:tc>
        <w:tc>
          <w:tcPr>
            <w:tcW w:w="260" w:type="dxa"/>
            <w:vAlign w:val="bottom"/>
          </w:tcPr>
          <w:p>
            <w:pPr>
              <w:spacing w:after="0"/>
              <w:rPr>
                <w:sz w:val="17"/>
                <w:szCs w:val="17"/>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(2,111)</w:t>
            </w:r>
          </w:p>
        </w:tc>
        <w:tc>
          <w:tcPr>
            <w:tcW w:w="240" w:type="dxa"/>
            <w:vAlign w:val="bottom"/>
          </w:tcPr>
          <w:p>
            <w:pPr>
              <w:spacing w:after="0"/>
              <w:rPr>
                <w:sz w:val="17"/>
                <w:szCs w:val="17"/>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6"/>
                <w:szCs w:val="16"/>
                <w:color w:val="auto"/>
              </w:rPr>
              <w:t>Net losses on sales</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c>
          <w:tcPr>
            <w:tcW w:w="240" w:type="dxa"/>
            <w:vAlign w:val="bottom"/>
            <w:shd w:val="clear" w:color="auto" w:fill="CCEEFF"/>
          </w:tcPr>
          <w:p>
            <w:pPr>
              <w:spacing w:after="0"/>
              <w:rPr>
                <w:sz w:val="19"/>
                <w:szCs w:val="19"/>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(1,750)</w:t>
            </w:r>
          </w:p>
        </w:tc>
        <w:tc>
          <w:tcPr>
            <w:tcW w:w="260" w:type="dxa"/>
            <w:vAlign w:val="bottom"/>
            <w:shd w:val="clear" w:color="auto" w:fill="CCEEFF"/>
          </w:tcPr>
          <w:p>
            <w:pPr>
              <w:spacing w:after="0"/>
              <w:rPr>
                <w:sz w:val="19"/>
                <w:szCs w:val="19"/>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(93)</w:t>
            </w:r>
          </w:p>
        </w:tc>
        <w:tc>
          <w:tcPr>
            <w:tcW w:w="240" w:type="dxa"/>
            <w:vAlign w:val="bottom"/>
            <w:shd w:val="clear" w:color="auto" w:fill="CCEEFF"/>
          </w:tcPr>
          <w:p>
            <w:pPr>
              <w:spacing w:after="0"/>
              <w:rPr>
                <w:sz w:val="19"/>
                <w:szCs w:val="19"/>
                <w:color w:val="auto"/>
              </w:rPr>
            </w:pP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6"/>
                <w:szCs w:val="16"/>
                <w:b w:val="1"/>
                <w:bCs w:val="1"/>
                <w:color w:val="auto"/>
              </w:rPr>
              <w:t>Ending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96,006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16,734</w:t>
            </w:r>
          </w:p>
        </w:tc>
        <w:tc>
          <w:tcPr>
            <w:tcW w:w="120" w:type="dxa"/>
            <w:vAlign w:val="bottom"/>
            <w:tcBorders>
              <w:right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112,740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109,894</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18,264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tcPr>
          <w:p>
            <w:pPr>
              <w:jc w:val="right"/>
              <w:ind w:right="20"/>
              <w:spacing w:after="0"/>
              <w:rPr>
                <w:sz w:val="20"/>
                <w:szCs w:val="20"/>
                <w:color w:val="auto"/>
              </w:rPr>
            </w:pPr>
            <w:r>
              <w:rPr>
                <w:rFonts w:ascii="Arial" w:cs="Arial" w:eastAsia="Arial" w:hAnsi="Arial"/>
                <w:sz w:val="16"/>
                <w:szCs w:val="16"/>
                <w:color w:val="auto"/>
              </w:rPr>
              <w:t>128,158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129,704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31,887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161,591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Excludes non-performing loans and foreclosed properties covered by the loss-sharing agreement with the FDIC, related to the acquisition of SCB.</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first quarter of 2013, United transferred $6.29 million of loans into foreclosed property through foreclosures. During the same period, proceeds from sales of foreclosed property were $6.73 million, which includes $1.00 million in sales that were financed by United.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March 31, 2013 decreased $61.9 million from a year ago.</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jc w:val="both"/>
        <w:spacing w:after="0" w:line="300" w:lineRule="auto"/>
        <w:rPr>
          <w:sz w:val="20"/>
          <w:szCs w:val="20"/>
          <w:color w:val="auto"/>
        </w:rPr>
      </w:pPr>
      <w:r>
        <w:rPr>
          <w:rFonts w:ascii="Arial" w:cs="Arial" w:eastAsia="Arial" w:hAnsi="Arial"/>
          <w:sz w:val="17"/>
          <w:szCs w:val="17"/>
          <w:color w:val="auto"/>
        </w:rPr>
        <w:t xml:space="preserve">At March 31, 2013, United had securities held-to-maturity with a carrying amount of $231 million and securities available-for-sale totaling $1.91 billion. At March 31, 2013, December 31, 2012, and March 31, 2012, the securities portfolio remained stable as a </w:t>
      </w:r>
      <w:r>
        <w:rPr>
          <w:rFonts w:ascii="Arial" w:cs="Arial" w:eastAsia="Arial" w:hAnsi="Arial"/>
          <w:sz w:val="20"/>
          <w:szCs w:val="20"/>
          <w:color w:val="auto"/>
        </w:rPr>
        <w:t>percentage of assets at 31%.</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 has continued to pursue customer transaction deposits by stressing its high customer satisfaction scores.</w:t>
      </w:r>
    </w:p>
    <w:p>
      <w:pPr>
        <w:spacing w:after="0" w:line="19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customer deposits, excluding brokered deposits, as of March 31, 2013 were $5.69 billion, a decrease of $139 million from March 31, 2012. Total core deposits (demand, NOW, money market and savings deposits, excluding public funds deposits) of $3.29 billion increased $241 million, or 8%, from a year ago. Total non-interest-bearing demand deposit accounts of $1.30 billion increased $197 million, or 18%, due to the success of core deposit programs. Also impacted by the programs were NOW, money market and savings accounts of $2.69 billion which decreased $36.3 million, or 1%, from March 31, 2012.</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time deposits, excluding brokered deposits, as of March 31, 2013 were $1.70 billion, down $300 million from March 31, 2012. Time deposits less than $100,000 totaled $1.02 billion, a decrease of $188 million, or 16%, from a year ago. Time deposits of $100,000 and greater totaled $685 million as of March 31, 2013, a decrease of $112 million, or 14%, from March 31, 2012. United continued to offer low rates on certificates of deposit, allowing balances to decline as United’s funding needs declined due to weak loan demand and a shift to lower cost transaction account deposits.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Brokered deposits totaled $332 million as of March 31, 2013, an increase of $164 million from a year ago. We have actively added long-term deposits which are swapped to LIBOR minus a spread to diversify our deposit base with low cost funding.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$125,000 and $215 million, respectively, as of March 31, 2013 and 2012. United anticipates continued use of this short and long-term source of funds. Additional information regarding FHLB advances is provided in Note 12 to the consolidated financial statements included in United’s Annual Report on Form 10-K for the year ended December 31, 2012.</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2013 and 2012, United had $52 million and $102 million, respectively, in other short-term borrowings outstanding. United takes advantage of these additional sources of liquidity when rates are favorable compared to other forms of short-term borrowings, such as FHLB advances and brokered deposits.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jc w:val="both"/>
        <w:spacing w:after="0"/>
        <w:rPr>
          <w:sz w:val="20"/>
          <w:szCs w:val="20"/>
          <w:color w:val="auto"/>
        </w:rPr>
      </w:pPr>
      <w:r>
        <w:rPr>
          <w:rFonts w:ascii="Arial" w:cs="Arial" w:eastAsia="Arial" w:hAnsi="Arial"/>
          <w:sz w:val="22"/>
          <w:szCs w:val="22"/>
          <w:color w:val="auto"/>
        </w:rPr>
        <w:t>(“ALCO”)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March 31, 2013 and 2012 made use of the down scenarios problematic. The following table presents United’s interest sensitivity position at March 31, 2013 and 2012.</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12 - Interest Sensitivity</w:t>
      </w:r>
    </w:p>
    <w:p>
      <w:pPr>
        <w:spacing w:after="0" w:line="8"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Increase (Decrease) in Net Interest Revenue</w:t>
      </w:r>
    </w:p>
    <w:p>
      <w:pPr>
        <w:jc w:val="center"/>
        <w:ind w:left="5020"/>
        <w:spacing w:after="0" w:line="221" w:lineRule="auto"/>
        <w:rPr>
          <w:sz w:val="20"/>
          <w:szCs w:val="20"/>
          <w:color w:val="auto"/>
        </w:rPr>
      </w:pPr>
      <w:r>
        <w:rPr>
          <w:rFonts w:ascii="Arial" w:cs="Arial" w:eastAsia="Arial" w:hAnsi="Arial"/>
          <w:sz w:val="14"/>
          <w:szCs w:val="14"/>
          <w:b w:val="1"/>
          <w:bCs w:val="1"/>
          <w:color w:val="auto"/>
        </w:rPr>
        <w:t>from Base Scenario at</w:t>
      </w:r>
    </w:p>
    <w:p>
      <w:pPr>
        <w:jc w:val="center"/>
        <w:ind w:left="5020"/>
        <w:spacing w:after="0" w:line="231"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top w:val="single" w:sz="8" w:color="auto"/>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51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Change in Rates</w:t>
            </w:r>
          </w:p>
        </w:tc>
        <w:tc>
          <w:tcPr>
            <w:tcW w:w="100" w:type="dxa"/>
            <w:vAlign w:val="bottom"/>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Shock</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Ramp</w:t>
            </w:r>
          </w:p>
        </w:tc>
        <w:tc>
          <w:tcPr>
            <w:tcW w:w="280" w:type="dxa"/>
            <w:vAlign w:val="bottom"/>
          </w:tcPr>
          <w:p>
            <w:pPr>
              <w:spacing w:after="0"/>
              <w:rPr>
                <w:sz w:val="19"/>
                <w:szCs w:val="19"/>
                <w:color w:val="auto"/>
              </w:rPr>
            </w:pPr>
          </w:p>
        </w:tc>
        <w:tc>
          <w:tcPr>
            <w:tcW w:w="7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Shock</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Ramp</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 basis point increase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20"/>
                <w:szCs w:val="20"/>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25 basis point decrease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may be the case) and receives a fixed rate (or variable rate, as may be the case).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3" w:name="page54"/>
    <w:bookmarkEnd w:id="53"/>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United’s active derivative contracts used for hedging purposes.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Derivative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Type of Instrument</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Hedge</w:t>
            </w:r>
          </w:p>
        </w:tc>
        <w:tc>
          <w:tcPr>
            <w:tcW w:w="8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Hedged Item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680" w:type="dxa"/>
            <w:vAlign w:val="bottom"/>
            <w:gridSpan w:val="2"/>
          </w:tcPr>
          <w:p>
            <w:pPr>
              <w:ind w:left="100"/>
              <w:spacing w:after="0"/>
              <w:rPr>
                <w:sz w:val="20"/>
                <w:szCs w:val="20"/>
                <w:color w:val="auto"/>
              </w:rPr>
            </w:pPr>
            <w:r>
              <w:rPr>
                <w:rFonts w:ascii="Arial" w:cs="Arial" w:eastAsia="Arial" w:hAnsi="Arial"/>
                <w:sz w:val="14"/>
                <w:szCs w:val="14"/>
                <w:b w:val="1"/>
                <w:bCs w:val="1"/>
                <w:color w:val="auto"/>
              </w:rPr>
              <w:t>Trade</w:t>
            </w: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Effective</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Maturity</w:t>
            </w:r>
          </w:p>
        </w:tc>
        <w:tc>
          <w:tcPr>
            <w:tcW w:w="148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Pay Rate</w:t>
            </w:r>
          </w:p>
        </w:tc>
        <w:tc>
          <w:tcPr>
            <w:tcW w:w="1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Receive Rate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0"/>
                <w:szCs w:val="10"/>
                <w:color w:val="auto"/>
              </w:rPr>
              <w:t>(Q)</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9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Designation</w:t>
            </w:r>
          </w:p>
        </w:tc>
        <w:tc>
          <w:tcPr>
            <w:tcW w:w="8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6"/>
              </w:rPr>
              <w:t>Notional</w:t>
            </w:r>
          </w:p>
        </w:tc>
        <w:tc>
          <w:tcPr>
            <w:tcW w:w="80" w:type="dxa"/>
            <w:vAlign w:val="bottom"/>
          </w:tcPr>
          <w:p>
            <w:pPr>
              <w:spacing w:after="0"/>
              <w:rPr>
                <w:sz w:val="15"/>
                <w:szCs w:val="15"/>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7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Asset</w:t>
            </w:r>
          </w:p>
        </w:tc>
        <w:tc>
          <w:tcPr>
            <w:tcW w:w="200" w:type="dxa"/>
            <w:vAlign w:val="bottom"/>
          </w:tcPr>
          <w:p>
            <w:pPr>
              <w:spacing w:after="0"/>
              <w:rPr>
                <w:sz w:val="15"/>
                <w:szCs w:val="15"/>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10/12/11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11/10/11</w:t>
            </w:r>
          </w:p>
        </w:tc>
        <w:tc>
          <w:tcPr>
            <w:tcW w:w="2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11/10/31   3 mo. LIBOR - 60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(A)</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17,000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02/14/12</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02/27/12</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08/27/27   3 mo. LIBOR - 45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03/05/12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03/23/12</w:t>
            </w:r>
          </w:p>
        </w:tc>
        <w:tc>
          <w:tcPr>
            <w:tcW w:w="2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09/23/27   3 mo. LIBOR - 45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(C)</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05/16/12</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06/08/12</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06/08/32   3 mo. LIBOR - 43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06/12/12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06/28/12</w:t>
            </w:r>
          </w:p>
        </w:tc>
        <w:tc>
          <w:tcPr>
            <w:tcW w:w="2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06/28/32  3 mo. LIBOR - 38.5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07/03/12</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07/27/12</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8"/>
              </w:rPr>
              <w:t>07/27/32  3 mo. LIBOR - 38.5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08/01/12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08/23/12</w:t>
            </w:r>
          </w:p>
        </w:tc>
        <w:tc>
          <w:tcPr>
            <w:tcW w:w="2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08/23/32 3 mo. LIBOR - 38.25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08/29/12</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09/24/12</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09/24/12   3 mo. LIBOR - 38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(H)</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10/05/12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10/19/12</w:t>
            </w:r>
          </w:p>
        </w:tc>
        <w:tc>
          <w:tcPr>
            <w:tcW w:w="2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11/19/32   3 mo. LIBOR - 38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(I)</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10/15/12</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11/08/12</w:t>
            </w:r>
          </w:p>
        </w:tc>
        <w:tc>
          <w:tcPr>
            <w:tcW w:w="226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11/08/32   3 mo. LIBOR - 40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7"/>
              </w:rPr>
              <w:t>(J)</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11/14/12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11/30/12</w:t>
            </w:r>
          </w:p>
        </w:tc>
        <w:tc>
          <w:tcPr>
            <w:tcW w:w="2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11/30/32   3 mo. LIBOR - 38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(K)</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11/28/12</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12/27/12</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12/27/32   3 mo. LIBOR - 38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12/27/12</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01/25/13</w:t>
            </w:r>
          </w:p>
        </w:tc>
        <w:tc>
          <w:tcPr>
            <w:tcW w:w="2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12/25/28  3 mo. LIBOR - 20.5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(M)</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01/17/13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02/15/13</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02/15/23   3 mo. LIBOR - 20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rPr>
              <w:t>(N)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01/25/13</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02/28/13</w:t>
            </w:r>
          </w:p>
        </w:tc>
        <w:tc>
          <w:tcPr>
            <w:tcW w:w="226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w w:val="98"/>
              </w:rPr>
              <w:t>02/28/28  3 mo. LIBOR - 20.5 bps</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(O)</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color w:val="auto"/>
                <w:w w:val="93"/>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01/25/13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02/21/13</w:t>
            </w:r>
          </w:p>
        </w:tc>
        <w:tc>
          <w:tcPr>
            <w:tcW w:w="226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8"/>
              </w:rPr>
              <w:t>02/21/18  3 mo. LIBOR - 20.5 bps</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(P)</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26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Pay Fixed Swap</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Fair Value</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Corporate Bond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03/13/13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03/18/13</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02/13/23</w:t>
            </w:r>
          </w:p>
        </w:tc>
        <w:tc>
          <w:tcPr>
            <w:tcW w:w="1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3.45000%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 mo. LIBOR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Corporate Bond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03/15/13</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03/20/13</w:t>
            </w: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02/09/23</w:t>
            </w:r>
          </w:p>
        </w:tc>
        <w:tc>
          <w:tcPr>
            <w:tcW w:w="1480" w:type="dxa"/>
            <w:vAlign w:val="bottom"/>
          </w:tcPr>
          <w:p>
            <w:pPr>
              <w:ind w:left="440"/>
              <w:spacing w:after="0"/>
              <w:rPr>
                <w:sz w:val="20"/>
                <w:szCs w:val="20"/>
                <w:color w:val="auto"/>
              </w:rPr>
            </w:pPr>
            <w:r>
              <w:rPr>
                <w:rFonts w:ascii="Arial" w:cs="Arial" w:eastAsia="Arial" w:hAnsi="Arial"/>
                <w:sz w:val="14"/>
                <w:szCs w:val="14"/>
                <w:color w:val="auto"/>
              </w:rPr>
              <w:t>3.10000%</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76"/>
              </w:rPr>
              <w:t>21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Pay Fixed Swap</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Short-Term, Fixed Rate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04/02/12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04/07/14</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04/07/17</w:t>
            </w:r>
          </w:p>
        </w:tc>
        <w:tc>
          <w:tcPr>
            <w:tcW w:w="1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1.69500%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 mo. LIBOR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3"/>
              </w:rPr>
              <w:t>Short-Term, Fixed Rate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50,000</w:t>
            </w:r>
          </w:p>
        </w:tc>
        <w:tc>
          <w:tcPr>
            <w:tcW w:w="8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04/02/12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04/21/14</w:t>
            </w: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04/21/17</w:t>
            </w:r>
          </w:p>
        </w:tc>
        <w:tc>
          <w:tcPr>
            <w:tcW w:w="1480" w:type="dxa"/>
            <w:vAlign w:val="bottom"/>
          </w:tcPr>
          <w:p>
            <w:pPr>
              <w:ind w:left="440"/>
              <w:spacing w:after="0"/>
              <w:rPr>
                <w:sz w:val="20"/>
                <w:szCs w:val="20"/>
                <w:color w:val="auto"/>
              </w:rPr>
            </w:pPr>
            <w:r>
              <w:rPr>
                <w:rFonts w:ascii="Arial" w:cs="Arial" w:eastAsia="Arial" w:hAnsi="Arial"/>
                <w:sz w:val="14"/>
                <w:szCs w:val="14"/>
                <w:color w:val="auto"/>
              </w:rPr>
              <w:t>1.72125%</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Pay Fixed Swap</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Short-Term, Fixed Rate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04/10/12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03/03/14</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03/01/17</w:t>
            </w:r>
          </w:p>
        </w:tc>
        <w:tc>
          <w:tcPr>
            <w:tcW w:w="1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1.43750%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3 mo. LIBOR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1,963</w:t>
            </w:r>
          </w:p>
        </w:tc>
        <w:tc>
          <w:tcPr>
            <w:tcW w:w="0" w:type="dxa"/>
            <w:vAlign w:val="bottom"/>
          </w:tcPr>
          <w:p>
            <w:pPr>
              <w:spacing w:after="0"/>
              <w:rPr>
                <w:sz w:val="1"/>
                <w:szCs w:val="1"/>
                <w:color w:val="auto"/>
              </w:rPr>
            </w:pPr>
          </w:p>
        </w:tc>
      </w:tr>
      <w:tr>
        <w:trPr>
          <w:trHeight w:val="216"/>
        </w:trPr>
        <w:tc>
          <w:tcPr>
            <w:tcW w:w="1920" w:type="dxa"/>
            <w:vAlign w:val="bottom"/>
            <w:gridSpan w:val="2"/>
          </w:tcPr>
          <w:p>
            <w:pPr>
              <w:spacing w:after="0"/>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w w:val="94"/>
              </w:rPr>
              <w:t>Money Market Deposts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05/02/12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05/01/14</w:t>
            </w:r>
          </w:p>
        </w:tc>
        <w:tc>
          <w:tcPr>
            <w:tcW w:w="780" w:type="dxa"/>
            <w:vAlign w:val="bottom"/>
            <w:gridSpan w:val="2"/>
          </w:tcPr>
          <w:p>
            <w:pPr>
              <w:ind w:left="180"/>
              <w:spacing w:after="0"/>
              <w:rPr>
                <w:sz w:val="20"/>
                <w:szCs w:val="20"/>
                <w:color w:val="auto"/>
              </w:rPr>
            </w:pPr>
            <w:r>
              <w:rPr>
                <w:rFonts w:ascii="Arial" w:cs="Arial" w:eastAsia="Arial" w:hAnsi="Arial"/>
                <w:sz w:val="14"/>
                <w:szCs w:val="14"/>
                <w:color w:val="auto"/>
              </w:rPr>
              <w:t>05/01/19</w:t>
            </w:r>
          </w:p>
        </w:tc>
        <w:tc>
          <w:tcPr>
            <w:tcW w:w="1480" w:type="dxa"/>
            <w:vAlign w:val="bottom"/>
          </w:tcPr>
          <w:p>
            <w:pPr>
              <w:ind w:left="440"/>
              <w:spacing w:after="0"/>
              <w:rPr>
                <w:sz w:val="20"/>
                <w:szCs w:val="20"/>
                <w:color w:val="auto"/>
              </w:rPr>
            </w:pPr>
            <w:r>
              <w:rPr>
                <w:rFonts w:ascii="Arial" w:cs="Arial" w:eastAsia="Arial" w:hAnsi="Arial"/>
                <w:sz w:val="14"/>
                <w:szCs w:val="14"/>
                <w:color w:val="auto"/>
              </w:rPr>
              <w:t>1.88750%</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8"/>
              </w:rPr>
              <w:t>1 mo. LIBOR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2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4"/>
                <w:szCs w:val="14"/>
                <w:color w:val="auto"/>
              </w:rPr>
              <w:t>Pay Fixed Swap</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Money Market Deposts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05/31/12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07/01/14</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07/01/18</w:t>
            </w:r>
          </w:p>
        </w:tc>
        <w:tc>
          <w:tcPr>
            <w:tcW w:w="14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1.39250%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 mo. LIBOR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jc w:val="right"/>
              <w:ind w:right="288"/>
              <w:spacing w:after="0"/>
              <w:rPr>
                <w:sz w:val="20"/>
                <w:szCs w:val="20"/>
                <w:color w:val="auto"/>
              </w:rPr>
            </w:pPr>
            <w:r>
              <w:rPr>
                <w:rFonts w:ascii="Arial" w:cs="Arial" w:eastAsia="Arial" w:hAnsi="Arial"/>
                <w:sz w:val="14"/>
                <w:szCs w:val="14"/>
                <w:color w:val="auto"/>
              </w:rPr>
              <w:t>Total Hedging Positions</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620,000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tcPr>
          <w:p>
            <w:pPr>
              <w:ind w:left="260"/>
              <w:spacing w:after="0"/>
              <w:rPr>
                <w:sz w:val="20"/>
                <w:szCs w:val="20"/>
                <w:color w:val="auto"/>
              </w:rPr>
            </w:pPr>
            <w:r>
              <w:rPr>
                <w:rFonts w:ascii="Arial" w:cs="Arial" w:eastAsia="Arial" w:hAnsi="Arial"/>
                <w:sz w:val="14"/>
                <w:szCs w:val="14"/>
                <w:color w:val="auto"/>
                <w:w w:val="76"/>
              </w:rPr>
              <w:t>21</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w w:val="97"/>
              </w:rPr>
              <w:t>13,964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23"/>
          <w:szCs w:val="23"/>
          <w:color w:val="auto"/>
          <w:vertAlign w:val="superscript"/>
        </w:rPr>
      </w:pPr>
      <w:r>
        <w:rPr>
          <w:rFonts w:ascii="Arial" w:cs="Arial" w:eastAsia="Arial" w:hAnsi="Arial"/>
          <w:sz w:val="17"/>
          <w:szCs w:val="17"/>
          <w:color w:val="auto"/>
        </w:rPr>
        <w:t>Receive rate is fixed at 5.00% to November 10, 2012, then 4 * ((10-year Constant Maturity Swap rate - 2-year Constant Maturity Swap rate) - 50</w:t>
      </w:r>
    </w:p>
    <w:p>
      <w:pPr>
        <w:spacing w:after="0" w:line="1" w:lineRule="exact"/>
        <w:rPr>
          <w:rFonts w:ascii="Arial" w:cs="Arial" w:eastAsia="Arial" w:hAnsi="Arial"/>
          <w:sz w:val="23"/>
          <w:szCs w:val="23"/>
          <w:color w:val="auto"/>
          <w:vertAlign w:val="superscript"/>
        </w:rPr>
      </w:pPr>
    </w:p>
    <w:p>
      <w:pPr>
        <w:ind w:right="520"/>
        <w:spacing w:after="0" w:line="259" w:lineRule="auto"/>
        <w:rPr>
          <w:rFonts w:ascii="Arial" w:cs="Arial" w:eastAsia="Arial" w:hAnsi="Arial"/>
          <w:sz w:val="23"/>
          <w:szCs w:val="23"/>
          <w:color w:val="auto"/>
          <w:vertAlign w:val="superscript"/>
        </w:rPr>
      </w:pPr>
      <w:r>
        <w:rPr>
          <w:rFonts w:ascii="Arial" w:cs="Arial" w:eastAsia="Arial" w:hAnsi="Arial"/>
          <w:sz w:val="18"/>
          <w:szCs w:val="18"/>
          <w:color w:val="auto"/>
        </w:rPr>
        <w:t>basis points), capped at 5.00% and floored at 0.00%. Swap is callable by counterparty on November 10, 2012 and quarterly thereafter on the 10th with 15 calendar days notice.</w:t>
      </w:r>
    </w:p>
    <w:p>
      <w:pPr>
        <w:spacing w:after="0" w:line="212" w:lineRule="exact"/>
        <w:rPr>
          <w:rFonts w:ascii="Arial" w:cs="Arial" w:eastAsia="Arial" w:hAnsi="Arial"/>
          <w:sz w:val="23"/>
          <w:szCs w:val="23"/>
          <w:color w:val="auto"/>
          <w:vertAlign w:val="superscript"/>
        </w:rPr>
      </w:pPr>
    </w:p>
    <w:p>
      <w:pPr>
        <w:jc w:val="both"/>
        <w:ind w:right="180" w:firstLine="8"/>
        <w:spacing w:after="0" w:line="226" w:lineRule="auto"/>
        <w:tabs>
          <w:tab w:leader="none" w:pos="2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Receive rate is fixed according to the following schedule: From 2/27/12 to 2/27/18: 2.00%; From 2/27/18 to 2/27/22: 2.50%; From 2/27/22 to 2/27/23: 3.00%; From 2/27/23 to 2/27/24: 4.00%; From 2/27/24 to 2/27/25: 7.00%; From 2/27/25 to 8/27/27: 10.00%. Swap is callable by counterparty semi-annually commencing on August 27, 2012 with 25 business days notice prior to the redemption date.</w:t>
      </w:r>
    </w:p>
    <w:p>
      <w:pPr>
        <w:spacing w:after="0" w:line="230" w:lineRule="exact"/>
        <w:rPr>
          <w:rFonts w:ascii="Arial" w:cs="Arial" w:eastAsia="Arial" w:hAnsi="Arial"/>
          <w:sz w:val="25"/>
          <w:szCs w:val="25"/>
          <w:color w:val="auto"/>
          <w:vertAlign w:val="superscript"/>
        </w:rPr>
      </w:pPr>
    </w:p>
    <w:p>
      <w:pPr>
        <w:jc w:val="both"/>
        <w:ind w:right="180" w:firstLine="8"/>
        <w:spacing w:after="0" w:line="232" w:lineRule="auto"/>
        <w:tabs>
          <w:tab w:leader="none" w:pos="2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Receive rate is fixed according to the following schedule: From 3/23/12 to 3/23/17: 2.25%; From 3/23/17 to 3/23/20: 2.38%; From 3/23/20 to 3/23/23: 2.50%; From 3/23/23 to 3/23/24: 3.00%; From 3/23/24 to 3/23/25: 4.00%; From 3/23/25 to 3/23/26: 6.00%; From 3/23/26 to 9/23/27: 10.00%. Swap is callable by counterparty at any time commencing on September 24, 2012 with 15 calendar days notice prior to the redemption date.</w:t>
      </w:r>
    </w:p>
    <w:p>
      <w:pPr>
        <w:spacing w:after="0" w:line="206" w:lineRule="exact"/>
        <w:rPr>
          <w:rFonts w:ascii="Arial" w:cs="Arial" w:eastAsia="Arial" w:hAnsi="Arial"/>
          <w:sz w:val="25"/>
          <w:szCs w:val="25"/>
          <w:color w:val="auto"/>
          <w:vertAlign w:val="superscript"/>
        </w:rPr>
      </w:pPr>
    </w:p>
    <w:p>
      <w:pPr>
        <w:ind w:left="220" w:hanging="212"/>
        <w:spacing w:after="0"/>
        <w:tabs>
          <w:tab w:leader="none" w:pos="22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6/8/12 to 6/8/17: 2.25%; From 6/8/17 to 6/8/22: 2.70%; From 6/8/22 to</w:t>
      </w:r>
    </w:p>
    <w:p>
      <w:pPr>
        <w:spacing w:after="0" w:line="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6/8/27: 3.20%; From 6/8/27 to 6/8/28: 4.00%; From 6/8/28 to 6/8/29: 5.00%; From 6/8/29 to 6/8/30: 6.00%; From 6/8/30 to 6/8/31: 8.00%; From 6/8/31 to 6/8/32: 10.00%. Swap is callable by counterparty at any time commencing on December 8, 2012 with 15 calendar days notice prior to the redemption date.</w:t>
      </w:r>
    </w:p>
    <w:p>
      <w:pPr>
        <w:spacing w:after="0" w:line="218" w:lineRule="exact"/>
        <w:rPr>
          <w:sz w:val="20"/>
          <w:szCs w:val="20"/>
          <w:color w:val="auto"/>
        </w:rPr>
      </w:pPr>
    </w:p>
    <w:p>
      <w:pPr>
        <w:jc w:val="both"/>
        <w:ind w:right="140" w:firstLine="8"/>
        <w:spacing w:after="0" w:line="232" w:lineRule="auto"/>
        <w:tabs>
          <w:tab w:leader="none" w:pos="235"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Receive rate is fixed according to the following schedule: From 6/28/12 to 6/28/17: 2.30%; From 6/28/17 to 6/28/22: 2.50%; From 6/28/22 to 6/28/27: 3.00%; From 6/28/27 to 6/28/28: 4.00%; From 6/28/28 to 6/28/29: 5.00%; From 6/28/29 to 6/28/30: 6.00%; From 6/28/30 to 6/28/31: 8.00%; From 6/28/31 to 6/28/32: 10.00%. Swap is callable by counterparty at any time commencing on December 28, 2012 with 15 calendar days notice prior to the redemption date.</w:t>
      </w:r>
    </w:p>
    <w:p>
      <w:pPr>
        <w:spacing w:after="0" w:line="206"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7/27/12 to 7/27/17: 2.25%; From 7/27/17 to 7/27/22: 2.50%; From 7/27/22 to</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7/27/27: 3.00%; From 7/27/27 to 7/27/28: 4.00%; From 7/27/28 to 7/27/29: 5.00%; From 7/27/29 to 7/27/30: 6.00%; From 7/27/30 to 7/27/31: 8.00%; From 7/27/31 to 7/27/32: 10.00%. Swap is callable by counterparty at any time commencing on January 27, 2013 with 20 calendar days notice prior to the redemption date.</w:t>
      </w:r>
    </w:p>
    <w:p>
      <w:pPr>
        <w:spacing w:after="0" w:line="218" w:lineRule="exact"/>
        <w:rPr>
          <w:sz w:val="20"/>
          <w:szCs w:val="20"/>
          <w:color w:val="auto"/>
        </w:rPr>
      </w:pPr>
    </w:p>
    <w:p>
      <w:pPr>
        <w:ind w:right="860" w:firstLine="8"/>
        <w:spacing w:after="0" w:line="245" w:lineRule="auto"/>
        <w:tabs>
          <w:tab w:leader="none" w:pos="22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8/23/12 to 8/23/17: 2.30%; From 8/23/17 to 8/23/22: 2.40%; From 8/23/22 to 8/23/27: 2.50%; From 8/23/27 to 8/23/29: 2.75%; From 8/23/29 to 8/23/30: 5.00%; From 8/23/30 to 8/23/31: 8.00%; From 8/23/31 to</w:t>
      </w:r>
    </w:p>
    <w:p>
      <w:pPr>
        <w:spacing w:after="0"/>
        <w:rPr>
          <w:rFonts w:ascii="Arial" w:cs="Arial" w:eastAsia="Arial" w:hAnsi="Arial"/>
          <w:sz w:val="22"/>
          <w:szCs w:val="22"/>
          <w:color w:val="auto"/>
          <w:vertAlign w:val="superscript"/>
        </w:rPr>
      </w:pPr>
      <w:r>
        <w:rPr>
          <w:rFonts w:ascii="Arial" w:cs="Arial" w:eastAsia="Arial" w:hAnsi="Arial"/>
          <w:sz w:val="16"/>
          <w:szCs w:val="16"/>
          <w:color w:val="auto"/>
        </w:rPr>
        <w:t>8/23/32: 11.00%. Swap is callable by counterparty at any time commencing on August 23, 2013 with 20 calendar days notice prior to the redemption date.</w:t>
      </w:r>
    </w:p>
    <w:p>
      <w:pPr>
        <w:spacing w:after="0" w:line="260" w:lineRule="exact"/>
        <w:rPr>
          <w:rFonts w:ascii="Arial" w:cs="Arial" w:eastAsia="Arial" w:hAnsi="Arial"/>
          <w:sz w:val="22"/>
          <w:szCs w:val="22"/>
          <w:color w:val="auto"/>
          <w:vertAlign w:val="superscript"/>
        </w:rPr>
      </w:pPr>
    </w:p>
    <w:p>
      <w:pPr>
        <w:ind w:right="860" w:firstLine="8"/>
        <w:spacing w:after="0" w:line="245" w:lineRule="auto"/>
        <w:tabs>
          <w:tab w:leader="none" w:pos="22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9/24/12 to 9/24/17: 2.40%; From 9/24/17 to 9/24/22: 2.50%; From 9/24/22 to 9/24/27: 2.75%; From 9/24/27 to 9/24/29: 3.00%; From 9/24/29 to 9/24/30: 5.00%; From 9/24/30 to 9/24/31: 8.00%; From 9/24/31 to</w:t>
      </w:r>
    </w:p>
    <w:p>
      <w:pPr>
        <w:spacing w:after="0"/>
        <w:rPr>
          <w:rFonts w:ascii="Arial" w:cs="Arial" w:eastAsia="Arial" w:hAnsi="Arial"/>
          <w:sz w:val="22"/>
          <w:szCs w:val="22"/>
          <w:color w:val="auto"/>
          <w:vertAlign w:val="superscript"/>
        </w:rPr>
      </w:pPr>
      <w:r>
        <w:rPr>
          <w:rFonts w:ascii="Arial" w:cs="Arial" w:eastAsia="Arial" w:hAnsi="Arial"/>
          <w:sz w:val="16"/>
          <w:szCs w:val="16"/>
          <w:color w:val="auto"/>
        </w:rPr>
        <w:t>9/24/32: 11.00%. Swap is callable by counterparty at any time commencing on August 23, 2013 with 15 calendar days notice prior to the redemption date.</w:t>
      </w:r>
    </w:p>
    <w:p>
      <w:pPr>
        <w:spacing w:after="0" w:line="260" w:lineRule="exact"/>
        <w:rPr>
          <w:rFonts w:ascii="Arial" w:cs="Arial" w:eastAsia="Arial" w:hAnsi="Arial"/>
          <w:sz w:val="22"/>
          <w:szCs w:val="22"/>
          <w:color w:val="auto"/>
          <w:vertAlign w:val="superscript"/>
        </w:rPr>
      </w:pPr>
    </w:p>
    <w:p>
      <w:pPr>
        <w:ind w:right="460" w:firstLine="8"/>
        <w:spacing w:after="0" w:line="232" w:lineRule="auto"/>
        <w:tabs>
          <w:tab w:leader="none" w:pos="171"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Receive rate is fixed according to the following schedule: From 10/19/12 to 10/19/17: 2.40%; From 10/19/17 to 10/19/22: 2.50%; From 10/19/22 to 10/19/27: 2.75%; From 10/19/27 to 10/19/29: 3.00%; From 10/19/29 to 10/19/30: 5.00%; From 10/19/30 to 10/19/31: 8.00%; From 10/19/31 to 10/19/32: 11.00%. Swap is callable by counterparty at quarterly intervals commencing on October 19, 2013 with 15 calendar days notice prior to the redemption date.</w:t>
      </w:r>
    </w:p>
    <w:p>
      <w:pPr>
        <w:spacing w:after="0" w:line="206"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13"/>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11/8/12 to 11/8/17: 2.30%; From 11/8/17 to 11/8/22: 2.40%; From 11/8/22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11/8/27: 2.50%; From 11/8/27 to 11/8/29: 3.00%; From 11/8/29 to 11/8/30: 5.00%; From 11/8/30 to 11/8/31: 8.00%; From 11/8/31 to</w:t>
      </w:r>
    </w:p>
    <w:p>
      <w:pPr>
        <w:spacing w:after="0" w:line="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11/8/32: 11.00%. Swap is callable by counterparty at quarterly intervals commencing on November 8, 2013 with 15 calendar days notice prior to the redemption date.</w:t>
      </w:r>
    </w:p>
    <w:p>
      <w:pPr>
        <w:sectPr>
          <w:pgSz w:w="11900" w:h="16888" w:orient="portrait"/>
          <w:cols w:equalWidth="0" w:num="1">
            <w:col w:w="11420"/>
          </w:cols>
          <w:pgMar w:left="240" w:top="517" w:right="239" w:bottom="0" w:gutter="0" w:footer="0" w:header="0"/>
        </w:sectPr>
      </w:pPr>
    </w:p>
    <w:bookmarkStart w:id="54" w:name="page55"/>
    <w:bookmarkEnd w:id="54"/>
    <w:p>
      <w:pPr>
        <w:ind w:right="240" w:firstLine="8"/>
        <w:spacing w:after="0" w:line="250" w:lineRule="auto"/>
        <w:tabs>
          <w:tab w:leader="none" w:pos="22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Receive rate is fixed according to the following schedule: From 11/30/12 to 11/30/17: 2.20%; From 11/30/17 to 11/30/22: 2.30%; From 11/30/22 to 11/30/27: 2.50%; From 11/30/27 to 11/30/29: 3.00%; From 11/30/29 to 11/30/30: 5.00%; From 11/30/30 to 11/30/31: 8.00%; From 11/30/31 to 11/30/32: 11.00%. Swap is callable by counterparty at quarterly intervals commencing on November 30, 2013 with 20 calendar days notice prior to the redemption date.</w:t>
      </w:r>
    </w:p>
    <w:p>
      <w:pPr>
        <w:spacing w:after="0" w:line="221" w:lineRule="exact"/>
        <w:rPr>
          <w:rFonts w:ascii="Arial" w:cs="Arial" w:eastAsia="Arial" w:hAnsi="Arial"/>
          <w:sz w:val="23"/>
          <w:szCs w:val="23"/>
          <w:color w:val="auto"/>
          <w:vertAlign w:val="superscript"/>
        </w:rPr>
      </w:pPr>
    </w:p>
    <w:p>
      <w:pPr>
        <w:ind w:right="220" w:firstLine="8"/>
        <w:spacing w:after="0" w:line="245" w:lineRule="auto"/>
        <w:tabs>
          <w:tab w:leader="none" w:pos="206"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Receive rate is fixed according to the following schedule: From 12/27/12 to 12/27/17: 2.25%; From 12/27/17 to 12/27/22: 2.35%; From 12/27/22 to 12/27/27: 2.50%; From 12/27/27 to 12/27/29: 3.00%; From 12/27/29 to 12/27/30: 5.00%; From 12/27/30 to 12/27/31: 8.00%; From 12/27/31 to 12/27/32: 11.00%. Swap is callable by counterparty at quarterly intervals commencing on December 27, 2013 with 15 calendar days notice prior to the redemption date.</w:t>
      </w:r>
    </w:p>
    <w:p>
      <w:pPr>
        <w:spacing w:after="0" w:line="227" w:lineRule="exact"/>
        <w:rPr>
          <w:rFonts w:ascii="Arial" w:cs="Arial" w:eastAsia="Arial" w:hAnsi="Arial"/>
          <w:sz w:val="24"/>
          <w:szCs w:val="24"/>
          <w:color w:val="auto"/>
          <w:vertAlign w:val="superscript"/>
        </w:rPr>
      </w:pPr>
    </w:p>
    <w:p>
      <w:pPr>
        <w:ind w:firstLine="8"/>
        <w:spacing w:after="0" w:line="243" w:lineRule="auto"/>
        <w:tabs>
          <w:tab w:leader="none" w:pos="241"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Receive rate is fixed according to the following schedule: From 1/25/13 to 1/25/18: 2.15%; From 1/25/18 to 1/25/23: 2.25%; From 1/25/23 to 1/25/25: 2.75%; From 1/25/25 to 1/25/26: 4.00%; From 1/25/26 to 1/25/27: 6.00%; From 1/25/27 to 1/25/28: 8.00%. Swap is callable by counterparty at quarterly intervals commencing on January 25, 2014 with 20 calendar days notice prior to the redemption date.</w:t>
      </w:r>
    </w:p>
    <w:p>
      <w:pPr>
        <w:spacing w:after="0" w:line="227" w:lineRule="exact"/>
        <w:rPr>
          <w:rFonts w:ascii="Arial" w:cs="Arial" w:eastAsia="Arial" w:hAnsi="Arial"/>
          <w:sz w:val="23"/>
          <w:szCs w:val="23"/>
          <w:color w:val="auto"/>
          <w:vertAlign w:val="superscript"/>
        </w:rPr>
      </w:pPr>
    </w:p>
    <w:p>
      <w:pPr>
        <w:ind w:right="140" w:firstLine="8"/>
        <w:spacing w:after="0" w:line="262" w:lineRule="auto"/>
        <w:tabs>
          <w:tab w:leader="none" w:pos="22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2/15/13 to 2/15/18: 1.50%; From 2/15/18 to 2/15/20: 2.00%; From 2/15/20 to 2/15/21: 2.50%; From 2/15/21 to 2/15/22: 3.25%; From 2/15/22 to 2/15/23: 5.50%. Swap is callable by counterparty at quarterly intervals commencing on February 15, 2014 with 15 calendar days notice prior to the redemption date.</w:t>
      </w:r>
    </w:p>
    <w:p>
      <w:pPr>
        <w:spacing w:after="0" w:line="213" w:lineRule="exact"/>
        <w:rPr>
          <w:rFonts w:ascii="Arial" w:cs="Arial" w:eastAsia="Arial" w:hAnsi="Arial"/>
          <w:sz w:val="22"/>
          <w:szCs w:val="22"/>
          <w:color w:val="auto"/>
          <w:vertAlign w:val="superscript"/>
        </w:rPr>
      </w:pPr>
    </w:p>
    <w:p>
      <w:pPr>
        <w:ind w:firstLine="8"/>
        <w:spacing w:after="0" w:line="262" w:lineRule="auto"/>
        <w:tabs>
          <w:tab w:leader="none" w:pos="220"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according to the following schedule: From 2/28/13 to 2/28/18: 2.20%; From 2/28/18 to 2/28/23: 2.30%; From 2/28/23 to 2/28/25: 2.50%; From 2/28/25 to 2/28/26: 4.00%; From 2/28/26 to 2/28/27: 6.00%; From 2/28/27 to 2/28/28: 8.00%. Swap is callable by counterparty at quarterly intervals commencing on February 28, 2014 with 20 business days notice prior to the redemption date.</w:t>
      </w:r>
    </w:p>
    <w:p>
      <w:pPr>
        <w:spacing w:after="0" w:line="202"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Receive rate is fixed according to the following schedule: From 2/21/13 to 2/21/15: .50%; From 2/21/15 to 2/21/16: .80%; From 2/21/16 to</w:t>
      </w:r>
    </w:p>
    <w:p>
      <w:pPr>
        <w:spacing w:after="0" w:line="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2/21/17: 1.75%; From 2/21/17 to 2/21/18: 2.75%. Swap is callable by counterparty at quarterly intervals commencing on February 21, 2014 with 20 business days notice prior to the redemption date.</w:t>
      </w:r>
    </w:p>
    <w:p>
      <w:pPr>
        <w:spacing w:after="0" w:line="190"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Fair value does not include accrued interest.</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368" w:right="4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At March 31, 2013, United had $365,000 in gains from terminated derivative positions included in other comprehensive income that will be amortized into earnings over their remaining original contract terms. All of the $365,000 is expected to be reclassified into interest revenue over the next twelve months. In addition, United’s forward starting active cash flow hedges of floating rate liabilities will begin to become effective over the next twelve months. United expects that $83,000 will be reclassified as an increase to deposit interest expense over the next twelve months related to these cash flow hedges.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are limited by applicable law and the Bank MOU. United currently has internal capital resources to meet these obligations.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$18.3 million at March 31, 2013, and typically turn over every 45 days as the closed loans are sold to investors in the secondary market.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2013, United had cash and cash equivalent balances of $247 million and had sufficient qualifying collateral to increase FHLB advances by $1.35 billion and Federal Reserve discount window capacity of $617 million. United also has the ability to raise substantial funds through brokered deposits. In addition to these wholesale sources, United has the ability to attract retail deposits at any time by competing more aggressively on pricing.</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disclosed in United’s consolidated statement of cash flows, net cash provided by operating activities was $53.6 million for the three months ended March 31, 2013. The net income of $11.8 million for the three month period included non-cash expenses for the provision for loan losses of $11.0 million; depreciation, amortization and accretion of $7.51 million and losses and write downs on foreclosed property of $1.15 million. In addition, other assets decreased $7.92 million primarily due to a reduction in the amount of FHLB stock held and further reduction in the balance of United’s prepaid FDIC assessment. Also mortgage loans held for sale decreased $10.5 million. Net cash used in investing activities of $88.4 million consisted primarily of a $36.2 million increase in loans and purchases of securities totaling $224 million partially offset by the proceed s from sales, maturities and calls of securities of $165 million. Net cash provided by financing activities of $30.7 million consisted primarily of a $73.7 million increase in deposits offset by a $40.0 million decrease in FHLB advances. In the opinion of management, United’s liquidity position at March 31, 2013, was sufficient to meet its expected cash flow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Shareholders’ equity at March 31, 2013 was $592 million, an increase of $10.8 million from December 31, 2012.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increased $10.0 million from December 31, 2012.</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031" w:gutter="0" w:footer="0" w:header="0"/>
        </w:sectPr>
      </w:pPr>
    </w:p>
    <w:bookmarkStart w:id="56" w:name="page57"/>
    <w:bookmarkEnd w:id="56"/>
    <w:p>
      <w:pPr>
        <w:spacing w:after="0"/>
        <w:rPr>
          <w:sz w:val="20"/>
          <w:szCs w:val="20"/>
          <w:color w:val="auto"/>
        </w:rPr>
      </w:pPr>
      <w:r>
        <w:rPr>
          <w:rFonts w:ascii="Arial" w:cs="Arial" w:eastAsia="Arial" w:hAnsi="Arial"/>
          <w:sz w:val="16"/>
          <w:szCs w:val="16"/>
          <w:color w:val="auto"/>
        </w:rPr>
        <w:t>United accrued $3.05 million in dividends, including accretion of discounts, on Series A, Series B and Series D preferred stock in the first quarter of 2013.</w:t>
      </w:r>
    </w:p>
    <w:p>
      <w:pPr>
        <w:spacing w:after="0" w:line="2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granted a warrant to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has responded to Fletcher with United’s calculations related to the warrant.</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2011, United entered into an informal memorandum of understanding with the Federal Reserve Bank and the Georgia Department of Banking and Finance (the “Holding Company MOU”). The Holding Company MOU provides that United may not incur additional indebtedness, pay cash dividends, make payments on our trust preferred securities or subordinated indebtedness or repurchase outstanding stock without prior approval of the Federal Reserve. Additionally, the Holding Company MOU requires, among other things, that United ensures that the Bank functions in a safe and sound manner. United believes it is in compliance with all requirements of the Holding Company MOU.</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currently subject to an informal memorandum of understanding with the Federal Deposit Insurance Corporation and the Georgia Department of Banking and Finance (the “Bank MOU”). The Bank MOU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2013 and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Stock Price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Avg Daily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b w:val="1"/>
                <w:bCs w:val="1"/>
                <w:color w:val="auto"/>
              </w:rPr>
              <w:t>Avg Daily</w:t>
            </w:r>
          </w:p>
        </w:tc>
        <w:tc>
          <w:tcPr>
            <w:tcW w:w="10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Close</w:t>
            </w:r>
          </w:p>
        </w:tc>
        <w:tc>
          <w:tcPr>
            <w:tcW w:w="2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Volume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Close</w:t>
            </w:r>
          </w:p>
        </w:tc>
        <w:tc>
          <w:tcPr>
            <w:tcW w:w="200" w:type="dxa"/>
            <w:vAlign w:val="bottom"/>
          </w:tcPr>
          <w:p>
            <w:pPr>
              <w:spacing w:after="0"/>
              <w:rPr>
                <w:sz w:val="16"/>
                <w:szCs w:val="16"/>
                <w:color w:val="auto"/>
              </w:rPr>
            </w:pPr>
          </w:p>
        </w:tc>
        <w:tc>
          <w:tcPr>
            <w:tcW w:w="9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195,803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142,987</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8.57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145,132</w:t>
            </w: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329,475</w:t>
            </w: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202,871</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of Governors of 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auto"/>
        </w:rPr>
        <w:t>The following table shows United’s capital ratios, as calculated under regulatory guidelines, at March 31, 2013, December 31, 2012 and March 31, 2012.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80" w:type="dxa"/>
            <w:vAlign w:val="bottom"/>
            <w:gridSpan w:val="4"/>
          </w:tcPr>
          <w:p>
            <w:pPr>
              <w:ind w:left="700"/>
              <w:spacing w:after="0"/>
              <w:rPr>
                <w:sz w:val="20"/>
                <w:szCs w:val="20"/>
                <w:color w:val="auto"/>
              </w:rPr>
            </w:pPr>
            <w:r>
              <w:rPr>
                <w:rFonts w:ascii="Arial" w:cs="Arial" w:eastAsia="Arial" w:hAnsi="Arial"/>
                <w:sz w:val="14"/>
                <w:szCs w:val="14"/>
                <w:b w:val="1"/>
                <w:bCs w:val="1"/>
                <w:color w:val="auto"/>
              </w:rPr>
              <w:t>Regulatory</w:t>
            </w:r>
          </w:p>
        </w:tc>
        <w:tc>
          <w:tcPr>
            <w:tcW w:w="60" w:type="dxa"/>
            <w:vAlign w:val="bottom"/>
          </w:tcPr>
          <w:p>
            <w:pPr>
              <w:spacing w:after="0"/>
              <w:rPr>
                <w:sz w:val="14"/>
                <w:szCs w:val="14"/>
                <w:color w:val="auto"/>
              </w:rPr>
            </w:pPr>
          </w:p>
        </w:tc>
        <w:tc>
          <w:tcPr>
            <w:tcW w:w="35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4"/>
              </w:rPr>
              <w:t>United Community Banks, Inc.</w:t>
            </w:r>
          </w:p>
        </w:tc>
        <w:tc>
          <w:tcPr>
            <w:tcW w:w="2440" w:type="dxa"/>
            <w:vAlign w:val="bottom"/>
            <w:gridSpan w:val="5"/>
            <w:vMerge w:val="restart"/>
          </w:tcPr>
          <w:p>
            <w:pPr>
              <w:jc w:val="center"/>
              <w:ind w:left="677"/>
              <w:spacing w:after="0"/>
              <w:rPr>
                <w:sz w:val="20"/>
                <w:szCs w:val="20"/>
                <w:color w:val="auto"/>
              </w:rPr>
            </w:pPr>
            <w:r>
              <w:rPr>
                <w:rFonts w:ascii="Arial" w:cs="Arial" w:eastAsia="Arial" w:hAnsi="Arial"/>
                <w:sz w:val="14"/>
                <w:szCs w:val="14"/>
                <w:b w:val="1"/>
                <w:bCs w:val="1"/>
                <w:color w:val="auto"/>
                <w:w w:val="95"/>
              </w:rPr>
              <w:t>United Community Bank</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280" w:type="dxa"/>
            <w:vAlign w:val="bottom"/>
            <w:gridSpan w:val="4"/>
          </w:tcPr>
          <w:p>
            <w:pPr>
              <w:ind w:left="700"/>
              <w:spacing w:after="0"/>
              <w:rPr>
                <w:sz w:val="20"/>
                <w:szCs w:val="20"/>
                <w:color w:val="auto"/>
              </w:rPr>
            </w:pPr>
            <w:r>
              <w:rPr>
                <w:rFonts w:ascii="Arial" w:cs="Arial" w:eastAsia="Arial" w:hAnsi="Arial"/>
                <w:sz w:val="14"/>
                <w:szCs w:val="14"/>
                <w:b w:val="1"/>
                <w:bCs w:val="1"/>
                <w:color w:val="auto"/>
              </w:rPr>
              <w:t>Guidelines</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(Consolidated)</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Well</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6"/>
                <w:szCs w:val="16"/>
                <w:color w:val="auto"/>
              </w:rPr>
            </w:pPr>
          </w:p>
        </w:tc>
        <w:tc>
          <w:tcPr>
            <w:tcW w:w="11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1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Minimum</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Capitalized</w:t>
            </w:r>
          </w:p>
        </w:tc>
        <w:tc>
          <w:tcPr>
            <w:tcW w:w="9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200" w:type="dxa"/>
            <w:vAlign w:val="bottom"/>
          </w:tcPr>
          <w:p>
            <w:pPr>
              <w:spacing w:after="0"/>
              <w:rPr>
                <w:sz w:val="16"/>
                <w:szCs w:val="16"/>
                <w:color w:val="auto"/>
              </w:rPr>
            </w:pPr>
          </w:p>
        </w:tc>
        <w:tc>
          <w:tcPr>
            <w:tcW w:w="9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6"/>
                <w:szCs w:val="16"/>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Risk-based ratios:</w:t>
            </w: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4.0%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14.31%</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14.16%</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13.68%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14.72%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w:t>
            </w: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8.0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15.87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15.41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15.74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Leverage ratio</w:t>
            </w:r>
          </w:p>
        </w:tc>
        <w:tc>
          <w:tcPr>
            <w:tcW w:w="1180" w:type="dxa"/>
            <w:vAlign w:val="bottom"/>
            <w:gridSpan w:val="2"/>
          </w:tcPr>
          <w:p>
            <w:pPr>
              <w:ind w:left="680"/>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9.71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9.64</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8.94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   663,415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   652,692</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   629,411</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   681,843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   666,585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capital</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735,965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724,915</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708,595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740,329</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724,738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687,190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Tier I capital excludes other comprehensive income, and consists of shareholders'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March 31, 2013 from that presented in the Annual Report on Form 10-K for the year ended December 31, 2012. The interest rate sensitivity position at March 31, 2013 is included in management’s discussion and analysis on page 49 of this report.</w:t>
      </w:r>
    </w:p>
    <w:p>
      <w:pPr>
        <w:spacing w:after="0" w:line="200" w:lineRule="exact"/>
        <w:rPr>
          <w:sz w:val="20"/>
          <w:szCs w:val="20"/>
          <w:color w:val="auto"/>
        </w:rPr>
      </w:pPr>
    </w:p>
    <w:p>
      <w:pPr>
        <w:spacing w:after="0" w:line="24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March 31, 2013.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SEC’s rules and forms.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spacing w:after="0"/>
        <w:tabs>
          <w:tab w:leader="none" w:pos="13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210"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2012.</w:t>
      </w:r>
    </w:p>
    <w:p>
      <w:pPr>
        <w:spacing w:after="0" w:line="193"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52"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00" w:type="dxa"/>
            <w:vAlign w:val="bottom"/>
          </w:tcPr>
          <w:p>
            <w:pPr>
              <w:ind w:left="340"/>
              <w:spacing w:after="0"/>
              <w:rPr>
                <w:sz w:val="20"/>
                <w:szCs w:val="20"/>
                <w:color w:val="auto"/>
              </w:rPr>
            </w:pPr>
            <w:r>
              <w:rPr>
                <w:rFonts w:ascii="Arial" w:cs="Arial" w:eastAsia="Arial" w:hAnsi="Arial"/>
                <w:sz w:val="18"/>
                <w:szCs w:val="18"/>
                <w:b w:val="1"/>
                <w:bCs w:val="1"/>
                <w:color w:val="auto"/>
              </w:rPr>
              <w:t>Exhibits</w:t>
            </w:r>
          </w:p>
        </w:tc>
      </w:tr>
      <w:tr>
        <w:trPr>
          <w:trHeight w:val="407"/>
        </w:trPr>
        <w:tc>
          <w:tcPr>
            <w:tcW w:w="1020" w:type="dxa"/>
            <w:vAlign w:val="bottom"/>
          </w:tcPr>
          <w:p>
            <w:pPr>
              <w:spacing w:after="0"/>
              <w:rPr>
                <w:sz w:val="20"/>
                <w:szCs w:val="20"/>
                <w:color w:val="auto"/>
              </w:rPr>
            </w:pPr>
            <w:r>
              <w:rPr>
                <w:rFonts w:ascii="Arial" w:cs="Arial" w:eastAsia="Arial" w:hAnsi="Arial"/>
                <w:sz w:val="14"/>
                <w:szCs w:val="14"/>
                <w:color w:val="auto"/>
              </w:rPr>
              <w:t>Exhibit No.</w:t>
            </w:r>
          </w:p>
        </w:tc>
        <w:tc>
          <w:tcPr>
            <w:tcW w:w="10400" w:type="dxa"/>
            <w:vAlign w:val="bottom"/>
          </w:tcPr>
          <w:p>
            <w:pPr>
              <w:ind w:left="540"/>
              <w:spacing w:after="0"/>
              <w:rPr>
                <w:sz w:val="20"/>
                <w:szCs w:val="20"/>
                <w:color w:val="auto"/>
              </w:rPr>
            </w:pPr>
            <w:r>
              <w:rPr>
                <w:rFonts w:ascii="Arial" w:cs="Arial" w:eastAsia="Arial" w:hAnsi="Arial"/>
                <w:sz w:val="14"/>
                <w:szCs w:val="14"/>
                <w:color w:val="auto"/>
              </w:rPr>
              <w:t>Description</w:t>
            </w:r>
          </w:p>
        </w:tc>
      </w:tr>
      <w:tr>
        <w:trPr>
          <w:trHeight w:val="403"/>
        </w:trPr>
        <w:tc>
          <w:tcPr>
            <w:tcW w:w="1020" w:type="dxa"/>
            <w:vAlign w:val="bottom"/>
          </w:tcPr>
          <w:p>
            <w:pPr>
              <w:ind w:left="180"/>
              <w:spacing w:after="0"/>
              <w:rPr>
                <w:sz w:val="20"/>
                <w:szCs w:val="20"/>
                <w:color w:val="auto"/>
              </w:rPr>
            </w:pPr>
            <w:r>
              <w:rPr>
                <w:rFonts w:ascii="Arial" w:cs="Arial" w:eastAsia="Arial" w:hAnsi="Arial"/>
                <w:sz w:val="18"/>
                <w:szCs w:val="18"/>
                <w:color w:val="auto"/>
              </w:rPr>
              <w:t>31.1</w:t>
            </w:r>
          </w:p>
        </w:tc>
        <w:tc>
          <w:tcPr>
            <w:tcW w:w="10400" w:type="dxa"/>
            <w:vAlign w:val="bottom"/>
          </w:tcPr>
          <w:p>
            <w:pPr>
              <w:ind w:left="540"/>
              <w:spacing w:after="0"/>
              <w:rPr>
                <w:sz w:val="20"/>
                <w:szCs w:val="20"/>
                <w:color w:val="auto"/>
              </w:rPr>
            </w:pPr>
            <w:r>
              <w:rPr>
                <w:rFonts w:ascii="Arial" w:cs="Arial" w:eastAsia="Arial" w:hAnsi="Arial"/>
                <w:sz w:val="18"/>
                <w:szCs w:val="18"/>
                <w:color w:val="auto"/>
                <w:w w:val="95"/>
              </w:rPr>
              <w:t>Certification by Jimmy C. Tallent, President and Chief Executive Officer of United Community Banks, Inc., as adopted pursuant to</w:t>
            </w:r>
          </w:p>
        </w:tc>
      </w:tr>
      <w:tr>
        <w:trPr>
          <w:trHeight w:val="230"/>
        </w:trPr>
        <w:tc>
          <w:tcPr>
            <w:tcW w:w="102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020" w:type="dxa"/>
            <w:vAlign w:val="bottom"/>
          </w:tcPr>
          <w:p>
            <w:pPr>
              <w:ind w:left="180"/>
              <w:spacing w:after="0"/>
              <w:rPr>
                <w:sz w:val="20"/>
                <w:szCs w:val="20"/>
                <w:color w:val="auto"/>
              </w:rPr>
            </w:pPr>
            <w:r>
              <w:rPr>
                <w:rFonts w:ascii="Arial" w:cs="Arial" w:eastAsia="Arial" w:hAnsi="Arial"/>
                <w:sz w:val="18"/>
                <w:szCs w:val="18"/>
                <w:color w:val="auto"/>
              </w:rPr>
              <w:t>31.2</w:t>
            </w:r>
          </w:p>
        </w:tc>
        <w:tc>
          <w:tcPr>
            <w:tcW w:w="10400" w:type="dxa"/>
            <w:vAlign w:val="bottom"/>
          </w:tcPr>
          <w:p>
            <w:pPr>
              <w:ind w:left="540"/>
              <w:spacing w:after="0"/>
              <w:rPr>
                <w:sz w:val="20"/>
                <w:szCs w:val="20"/>
                <w:color w:val="auto"/>
              </w:rPr>
            </w:pPr>
            <w:r>
              <w:rPr>
                <w:rFonts w:ascii="Arial" w:cs="Arial" w:eastAsia="Arial" w:hAnsi="Arial"/>
                <w:sz w:val="18"/>
                <w:szCs w:val="18"/>
                <w:color w:val="auto"/>
                <w:w w:val="94"/>
              </w:rPr>
              <w:t>Certification by Rex S. Schuette, Executive Vice President and Chief Financial Officer of United Community Banks, Inc., as adopted</w:t>
            </w:r>
          </w:p>
        </w:tc>
      </w:tr>
      <w:tr>
        <w:trPr>
          <w:trHeight w:val="230"/>
        </w:trPr>
        <w:tc>
          <w:tcPr>
            <w:tcW w:w="1020" w:type="dxa"/>
            <w:vAlign w:val="bottom"/>
          </w:tcPr>
          <w:p>
            <w:pPr>
              <w:spacing w:after="0"/>
              <w:rPr>
                <w:sz w:val="20"/>
                <w:szCs w:val="20"/>
                <w:color w:val="auto"/>
              </w:rPr>
            </w:pPr>
          </w:p>
        </w:tc>
        <w:tc>
          <w:tcPr>
            <w:tcW w:w="10400" w:type="dxa"/>
            <w:vAlign w:val="bottom"/>
          </w:tcPr>
          <w:p>
            <w:pPr>
              <w:ind w:left="5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1020" w:type="dxa"/>
            <w:vAlign w:val="bottom"/>
          </w:tcPr>
          <w:p>
            <w:pPr>
              <w:ind w:left="180"/>
              <w:spacing w:after="0"/>
              <w:rPr>
                <w:sz w:val="20"/>
                <w:szCs w:val="20"/>
                <w:color w:val="auto"/>
              </w:rPr>
            </w:pPr>
            <w:r>
              <w:rPr>
                <w:rFonts w:ascii="Arial" w:cs="Arial" w:eastAsia="Arial" w:hAnsi="Arial"/>
                <w:sz w:val="18"/>
                <w:szCs w:val="18"/>
                <w:color w:val="auto"/>
              </w:rPr>
              <w:t>32</w:t>
            </w:r>
          </w:p>
        </w:tc>
        <w:tc>
          <w:tcPr>
            <w:tcW w:w="10400" w:type="dxa"/>
            <w:vAlign w:val="bottom"/>
          </w:tcPr>
          <w:p>
            <w:pPr>
              <w:ind w:left="5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400" w:type="dxa"/>
            <w:vAlign w:val="bottom"/>
          </w:tcPr>
          <w:p>
            <w:pPr>
              <w:ind w:left="540"/>
              <w:spacing w:after="0"/>
              <w:rPr>
                <w:sz w:val="20"/>
                <w:szCs w:val="20"/>
                <w:color w:val="auto"/>
              </w:rPr>
            </w:pPr>
            <w:r>
              <w:rPr>
                <w:rFonts w:ascii="Arial" w:cs="Arial" w:eastAsia="Arial" w:hAnsi="Arial"/>
                <w:sz w:val="18"/>
                <w:szCs w:val="18"/>
                <w:color w:val="auto"/>
              </w:rPr>
              <w:t>XBRL Instance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400" w:type="dxa"/>
            <w:vAlign w:val="bottom"/>
          </w:tcPr>
          <w:p>
            <w:pPr>
              <w:ind w:left="54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400" w:type="dxa"/>
            <w:vAlign w:val="bottom"/>
          </w:tcPr>
          <w:p>
            <w:pPr>
              <w:ind w:left="5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400" w:type="dxa"/>
            <w:vAlign w:val="bottom"/>
          </w:tcPr>
          <w:p>
            <w:pPr>
              <w:ind w:left="54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400" w:type="dxa"/>
            <w:vAlign w:val="bottom"/>
          </w:tcPr>
          <w:p>
            <w:pPr>
              <w:ind w:left="54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400" w:type="dxa"/>
            <w:vAlign w:val="bottom"/>
          </w:tcPr>
          <w:p>
            <w:pPr>
              <w:ind w:left="5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08"/>
        </w:trPr>
        <w:tc>
          <w:tcPr>
            <w:tcW w:w="102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8"/>
                <w:szCs w:val="18"/>
                <w:color w:val="auto"/>
              </w:rPr>
              <w:t>56</w:t>
            </w:r>
          </w:p>
        </w:tc>
      </w:tr>
      <w:tr>
        <w:trPr>
          <w:trHeight w:val="108"/>
        </w:trPr>
        <w:tc>
          <w:tcPr>
            <w:tcW w:w="1020" w:type="dxa"/>
            <w:vAlign w:val="bottom"/>
            <w:tcBorders>
              <w:bottom w:val="single" w:sz="8" w:color="808080"/>
            </w:tcBorders>
          </w:tcPr>
          <w:p>
            <w:pPr>
              <w:spacing w:after="0"/>
              <w:rPr>
                <w:sz w:val="9"/>
                <w:szCs w:val="9"/>
                <w:color w:val="auto"/>
              </w:rPr>
            </w:pPr>
          </w:p>
        </w:tc>
        <w:tc>
          <w:tcPr>
            <w:tcW w:w="104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65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5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ind w:left="65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Date: May 9, 2013</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513"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23837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25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24009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00935" cy="1714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May 9, 2013</w:t>
      </w:r>
    </w:p>
    <w:p>
      <w:pPr>
        <w:sectPr>
          <w:pgSz w:w="11900" w:h="16838" w:orient="portrait"/>
          <w:cols w:equalWidth="0" w:num="1">
            <w:col w:w="11420"/>
          </w:cols>
          <w:pgMar w:left="240" w:top="256"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March 31, 2013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299"/>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299"/>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22555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14605</wp:posOffset>
            </wp:positionV>
            <wp:extent cx="22555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 May 9, 2013</w:t>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upperLetter"/>
      <w:start w:val="1"/>
    </w:lvl>
  </w:abstractNum>
  <w:abstractNum w:abstractNumId="11">
    <w:nsid w:val="1BEFD79F"/>
    <w:multiLevelType w:val="hybridMultilevel"/>
    <w:lvl w:ilvl="0">
      <w:lvlJc w:val="left"/>
      <w:lvlText w:val="(%1)"/>
      <w:numFmt w:val="upperLetter"/>
      <w:start w:val="5"/>
    </w:lvl>
  </w:abstractNum>
  <w:abstractNum w:abstractNumId="12">
    <w:nsid w:val="41A7C4C9"/>
    <w:multiLevelType w:val="hybridMultilevel"/>
    <w:lvl w:ilvl="0">
      <w:lvlJc w:val="left"/>
      <w:lvlText w:val="(%1)"/>
      <w:numFmt w:val="upperLetter"/>
      <w:start w:val="7"/>
    </w:lvl>
  </w:abstractNum>
  <w:abstractNum w:abstractNumId="13">
    <w:nsid w:val="6B68079A"/>
    <w:multiLevelType w:val="hybridMultilevel"/>
    <w:lvl w:ilvl="0">
      <w:lvlJc w:val="left"/>
      <w:lvlText w:val="(%1)"/>
      <w:numFmt w:val="upperLetter"/>
      <w:start w:val="11"/>
    </w:lvl>
  </w:abstractNum>
  <w:abstractNum w:abstractNumId="14">
    <w:nsid w:val="4E6AFB66"/>
    <w:multiLevelType w:val="hybridMultilevel"/>
    <w:lvl w:ilvl="0">
      <w:lvlJc w:val="left"/>
      <w:lvlText w:val="(%1)"/>
      <w:numFmt w:val="upperLetter"/>
      <w:start w:val="17"/>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2019-12-06T04:45:20Z</dcterms:created>
  <dcterms:modified xsi:type="dcterms:W3CDTF">2019-12-06T04:45:20Z</dcterms:modified>
</cp:coreProperties>
</file>