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2023</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Blairsville, Georgia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30512</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UCBI</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UCBIO</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5"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115,154,699 shares of the registrant’s common stock, par value $1 per share, outstanding as of April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8"/>
              </w:rPr>
              <w:t>Glossary of Defined Terms</w:t>
            </w:r>
          </w:p>
        </w:tc>
        <w:tc>
          <w:tcPr>
            <w:tcW w:w="7420" w:type="dxa"/>
            <w:vAlign w:val="bottom"/>
            <w:gridSpan w:val="14"/>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4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shd w:val="clear" w:color="auto" w:fill="CCEEFF"/>
          </w:tcPr>
          <w:p>
            <w:pPr>
              <w:spacing w:after="0"/>
              <w:rPr>
                <w:sz w:val="18"/>
                <w:szCs w:val="18"/>
                <w:color w:val="auto"/>
              </w:rPr>
            </w:pPr>
          </w:p>
        </w:tc>
      </w:tr>
      <w:tr>
        <w:trPr>
          <w:trHeight w:val="189"/>
        </w:trPr>
        <w:tc>
          <w:tcPr>
            <w:tcW w:w="58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12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8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8500" w:type="dxa"/>
            <w:vAlign w:val="bottom"/>
            <w:tcBorders>
              <w:top w:val="single" w:sz="8" w:color="CCEEFF"/>
            </w:tcBorders>
            <w:gridSpan w:val="17"/>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Borders>
              <w:top w:val="single" w:sz="8" w:color="CCEEFF"/>
            </w:tcBorders>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2022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2022 filed with the SEC on February 24,</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 Bancorp, Inc.</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FOMC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Reserve’s Federal Open Markets Committee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HELOC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equity lines of credit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LIHTC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income housing tax credit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Reliant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Reliant Bancorp, Inc. and its wholly-owned subsidiary, Reliant Bank</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March 31, 2023</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TDR</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Troubled debt restructuring</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bl>
    <w:p>
      <w:pPr>
        <w:spacing w:after="0" w:line="200" w:lineRule="exact"/>
        <w:rPr>
          <w:sz w:val="20"/>
          <w:szCs w:val="20"/>
          <w:color w:val="auto"/>
        </w:rPr>
      </w:pP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(including the expected completion date of the First Miami transaction), and statements about our future performance, operations, products and services, and should be viewed with caution.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effects of the COVID-19 pandemic and the potential effects of other pandemics or public health conditions on the economic and business environments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replacements of LIBOR and replacement or reform of other interest rate benchmarks, as well as cash flow reassessments may reduce net interest margin and/or the volumes and values of loans made or held as well as the value of other financial assets;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war or terrorist activities, the Russian invasion of Ukraine, disruptions in our customers’ supply chains, disruptions in transportation, essential utility outages or trade disputes and related tariffs;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2022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74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195,771</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316,082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and other short-term investments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0" w:type="dxa"/>
            <w:vAlign w:val="bottom"/>
          </w:tcPr>
          <w:p>
            <w:pPr>
              <w:spacing w:after="0"/>
              <w:rPr>
                <w:sz w:val="1"/>
                <w:szCs w:val="1"/>
                <w:color w:val="auto"/>
              </w:rPr>
            </w:pPr>
          </w:p>
        </w:tc>
      </w:tr>
      <w:tr>
        <w:trPr>
          <w:trHeight w:val="207"/>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777,681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646,853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3,331,139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3,614,333</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$2,206,874 and $2,191,073, respectively)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2,613,648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17,124,703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15,334,627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(159,357)</w:t>
            </w:r>
          </w:p>
        </w:tc>
        <w:tc>
          <w:tcPr>
            <w:tcW w:w="0" w:type="dxa"/>
            <w:vAlign w:val="bottom"/>
          </w:tcPr>
          <w:p>
            <w:pPr>
              <w:spacing w:after="0"/>
              <w:rPr>
                <w:sz w:val="1"/>
                <w:szCs w:val="1"/>
                <w:color w:val="auto"/>
              </w:rPr>
            </w:pPr>
          </w:p>
        </w:tc>
      </w:tr>
      <w:tr>
        <w:trPr>
          <w:trHeight w:val="207"/>
        </w:trPr>
        <w:tc>
          <w:tcPr>
            <w:tcW w:w="8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16,948,169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15,175,270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299,297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779,248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571,244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568,179</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25,871,850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24,008,884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7,643,081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14,464,409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12,233,426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22,004,674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19,876,507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324,663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398,107</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22,793,727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21,308,210</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$1 par value: 10,000,000 shares authorized;</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4,000 shares Series I issued and outstanding; $25,000 per share liquidation preference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115,151,566 and 106,222,758 shares issued and outstanding, respectively</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issuable: 579,835 and 607,128 shares, respectively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2,606,403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2,306,366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(329,488)</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3,078,123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2,700,674</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25,871,850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24,008,884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jc w:val="center"/>
        <w:ind w:left="86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59"/>
        </w:trPr>
        <w:tc>
          <w:tcPr>
            <w:tcW w:w="8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146,741</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 including tax exempt of $2,110 and $2,655, respectively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279,487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171,059</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w:t>
            </w:r>
          </w:p>
        </w:tc>
        <w:tc>
          <w:tcPr>
            <w:tcW w:w="0" w:type="dxa"/>
            <w:vAlign w:val="bottom"/>
          </w:tcPr>
          <w:p>
            <w:pPr>
              <w:spacing w:after="0"/>
              <w:rPr>
                <w:sz w:val="1"/>
                <w:szCs w:val="1"/>
                <w:color w:val="auto"/>
              </w:rPr>
            </w:pPr>
          </w:p>
        </w:tc>
      </w:tr>
      <w:tr>
        <w:trPr>
          <w:trHeight w:val="189"/>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163,792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23,086</w:t>
            </w: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189,687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140,706</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from sales of other loans,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 losses,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38,973</w:t>
            </w:r>
          </w:p>
        </w:tc>
        <w:tc>
          <w:tcPr>
            <w:tcW w:w="0" w:type="dxa"/>
            <w:vAlign w:val="bottom"/>
          </w:tcPr>
          <w:p>
            <w:pPr>
              <w:spacing w:after="0"/>
              <w:rPr>
                <w:sz w:val="1"/>
                <w:szCs w:val="1"/>
                <w:color w:val="auto"/>
              </w:rPr>
            </w:pPr>
          </w:p>
        </w:tc>
      </w:tr>
      <w:tr>
        <w:trPr>
          <w:trHeight w:val="196"/>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219,896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179,679</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71,006</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9,248</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119,275</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60,404</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0" w:type="dxa"/>
            <w:vAlign w:val="bottom"/>
          </w:tcPr>
          <w:p>
            <w:pPr>
              <w:spacing w:after="0"/>
              <w:rPr>
                <w:sz w:val="1"/>
                <w:szCs w:val="1"/>
                <w:color w:val="auto"/>
              </w:rPr>
            </w:pPr>
          </w:p>
        </w:tc>
      </w:tr>
      <w:tr>
        <w:trPr>
          <w:trHeight w:val="22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106,550</w:t>
            </w:r>
          </w:p>
        </w:tc>
        <w:tc>
          <w:tcPr>
            <w:tcW w:w="0" w:type="dxa"/>
            <w:vAlign w:val="bottom"/>
          </w:tcPr>
          <w:p>
            <w:pPr>
              <w:spacing w:after="0"/>
              <w:rPr>
                <w:sz w:val="1"/>
                <w:szCs w:val="1"/>
                <w:color w:val="auto"/>
              </w:rPr>
            </w:pPr>
          </w:p>
        </w:tc>
      </w:tr>
      <w:tr>
        <w:trPr>
          <w:trHeight w:val="188"/>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106,677</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(Loss) </w:t>
      </w: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58"/>
        </w:trPr>
        <w:tc>
          <w:tcPr>
            <w:tcW w:w="8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89"/>
              </w:rPr>
              <w:t>Tax</w:t>
            </w:r>
          </w:p>
        </w:tc>
        <w:tc>
          <w:tcPr>
            <w:tcW w:w="120" w:type="dxa"/>
            <w:vAlign w:val="bottom"/>
          </w:tcPr>
          <w:p>
            <w:pPr>
              <w:spacing w:after="0"/>
              <w:rPr>
                <w:sz w:val="13"/>
                <w:szCs w:val="13"/>
                <w:color w:val="auto"/>
              </w:rPr>
            </w:pPr>
          </w:p>
        </w:tc>
        <w:tc>
          <w:tcPr>
            <w:tcW w:w="88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20" w:type="dxa"/>
            <w:vAlign w:val="bottom"/>
          </w:tcPr>
          <w:p>
            <w:pPr>
              <w:spacing w:after="0"/>
              <w:rPr>
                <w:sz w:val="18"/>
                <w:szCs w:val="18"/>
                <w:color w:val="auto"/>
              </w:rPr>
            </w:pP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8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62,300</w:t>
            </w: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on available-for-sale securities: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Unrealized holding gains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32,995</w:t>
            </w: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adjustment for losses included in net income</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05"/>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unrealized gains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34,265</w:t>
            </w: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unrealized losses on held-to-maturity securities transferred from available-for-sale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211"/>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holding losses on derivatives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Gains on derivative instruments realized in net income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0" w:type="dxa"/>
            <w:vAlign w:val="bottom"/>
          </w:tcPr>
          <w:p>
            <w:pPr>
              <w:spacing w:after="0"/>
              <w:rPr>
                <w:sz w:val="1"/>
                <w:szCs w:val="1"/>
                <w:color w:val="auto"/>
              </w:rPr>
            </w:pPr>
          </w:p>
        </w:tc>
      </w:tr>
      <w:tr>
        <w:trPr>
          <w:trHeight w:val="214"/>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97,351</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Unrealized holding losses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(155,912)</w:t>
            </w: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of securities from available-for-sale to held-to-maturity</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43,811</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Reclassification adjustment for losses included in net income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(109,357)</w:t>
            </w:r>
          </w:p>
        </w:tc>
        <w:tc>
          <w:tcPr>
            <w:tcW w:w="0" w:type="dxa"/>
            <w:vAlign w:val="bottom"/>
          </w:tcPr>
          <w:p>
            <w:pPr>
              <w:spacing w:after="0"/>
              <w:rPr>
                <w:sz w:val="1"/>
                <w:szCs w:val="1"/>
                <w:color w:val="auto"/>
              </w:rPr>
            </w:pPr>
          </w:p>
        </w:tc>
      </w:tr>
      <w:tr>
        <w:trPr>
          <w:trHeight w:val="211"/>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Reclassification of securities from available-for-sale to held-to-maturity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(43,811)</w:t>
            </w: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Losses on derivative instruments realized in net income</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5"/>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0" w:type="dxa"/>
            <w:vAlign w:val="bottom"/>
          </w:tcPr>
          <w:p>
            <w:pPr>
              <w:spacing w:after="0"/>
              <w:rPr>
                <w:sz w:val="1"/>
                <w:szCs w:val="1"/>
                <w:color w:val="auto"/>
              </w:rPr>
            </w:pPr>
          </w:p>
        </w:tc>
      </w:tr>
      <w:tr>
        <w:trPr>
          <w:trHeight w:val="221"/>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5"/>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(194,372)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(148,865)</w:t>
            </w:r>
          </w:p>
        </w:tc>
        <w:tc>
          <w:tcPr>
            <w:tcW w:w="0" w:type="dxa"/>
            <w:vAlign w:val="bottom"/>
          </w:tcPr>
          <w:p>
            <w:pPr>
              <w:spacing w:after="0"/>
              <w:rPr>
                <w:sz w:val="1"/>
                <w:szCs w:val="1"/>
                <w:color w:val="auto"/>
              </w:rPr>
            </w:pPr>
          </w:p>
        </w:tc>
      </w:tr>
      <w:tr>
        <w:trPr>
          <w:trHeight w:val="239"/>
        </w:trPr>
        <w:tc>
          <w:tcPr>
            <w:tcW w:w="8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(133,968)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4"/>
                <w:szCs w:val="14"/>
                <w:color w:val="auto"/>
              </w:rPr>
            </w:pPr>
          </w:p>
        </w:tc>
        <w:tc>
          <w:tcPr>
            <w:tcW w:w="98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106,222,758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2,306,366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2,700,674</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62,300</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acquisitions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8,770,531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306,461</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dividends ($0.23 per share)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(26,819)</w:t>
            </w: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121,888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1,900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Impact of other United sponsored equity</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36,389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115,151,566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2,606,403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542,606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3,078,123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89,349,826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acquisitions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16,571,545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dividends ($0.21 per share)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42,923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Impact of other United sponsored equity</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60,916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106,025,210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2,302,189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2,695,015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8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62,300</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48,019</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accretion,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11,446</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23,086</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2,488</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2,309</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Securities losses,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3,734</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from sales of other loans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(3,198)</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18,242</w:t>
            </w:r>
          </w:p>
        </w:tc>
      </w:tr>
      <w:tr>
        <w:trPr>
          <w:trHeight w:val="200"/>
        </w:trPr>
        <w:tc>
          <w:tcPr>
            <w:tcW w:w="83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9,026</w:t>
            </w: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Loans held for sale</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85,324</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90,093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200,476</w:t>
            </w:r>
          </w:p>
        </w:tc>
      </w:tr>
      <w:tr>
        <w:trPr>
          <w:trHeight w:val="185"/>
        </w:trPr>
        <w:tc>
          <w:tcPr>
            <w:tcW w:w="8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securities held-to-maturity:</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17,807</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(216,482)</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securities available-for-sale: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380,661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208,409</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205,332</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(933,849)</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increase in loans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(345,316)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(218,706)</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investments, outflows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(12,554)</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investments, inflows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16,091</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sales of premises and equipment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2,978</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premises and equipment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(7,314)</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received in acquisition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35,243</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sale of other real estate and repossessed assets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680</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investing inflows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181,295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(902,365)</w:t>
            </w:r>
          </w:p>
        </w:tc>
      </w:tr>
      <w:tr>
        <w:trPr>
          <w:trHeight w:val="185"/>
        </w:trPr>
        <w:tc>
          <w:tcPr>
            <w:tcW w:w="8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increase in deposits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793,162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311,040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decrease in short-term borrowings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(292,732)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FHLB advances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(2,195,000)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dividends on common stock</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(18,149)</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dividends on preferred stock</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financing inflows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346</w:t>
            </w:r>
          </w:p>
        </w:tc>
      </w:tr>
      <w:tr>
        <w:trPr>
          <w:trHeight w:val="20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financing outflows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(1,475)</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(140,560)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290,043</w:t>
            </w:r>
          </w:p>
        </w:tc>
      </w:tr>
      <w:tr>
        <w:trPr>
          <w:trHeight w:val="185"/>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(411,846)</w:t>
            </w:r>
          </w:p>
        </w:tc>
      </w:tr>
      <w:tr>
        <w:trPr>
          <w:trHeight w:val="203"/>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646,853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2,318,510</w:t>
            </w:r>
          </w:p>
        </w:tc>
      </w:tr>
      <w:tr>
        <w:trPr>
          <w:trHeight w:val="183"/>
        </w:trPr>
        <w:tc>
          <w:tcPr>
            <w:tcW w:w="8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777,681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1,906,664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Updates to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2022 10-K.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2022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Updates to Significant Accounting Policies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2023, United adopted ASU 2022-02, which updated the guidance on modifications to financing receivables by effectively replacing the concept of troubled debt restructurings with a new concept, loan modifications to borrowers experiencing financial difficulty. See Note 2 for further detail. Below summarizes the policy surrounding FDMs.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FDMs: </w:t>
      </w:r>
      <w:r>
        <w:rPr>
          <w:rFonts w:ascii="Times New Roman" w:cs="Times New Roman" w:eastAsia="Times New Roman" w:hAnsi="Times New Roman"/>
          <w:sz w:val="18"/>
          <w:szCs w:val="18"/>
          <w:color w:val="auto"/>
        </w:rPr>
        <w:t>A loan for which the terms have been modified as a result of the borrower experiencing financial difficulty is generally considered to be a FDM.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terms that result in a FDM include one or a combination of the following: a reduction of the stated interest rate of the loan, an extension of the term or amortization period, a more than insignificant payment delay or principal forgiveness. The ACL on FDMs is calculated using the same method as other loans held for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Standards Updates and Recently Adopted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update requires that an acquiring entity apply the guidance from</w:t>
      </w:r>
      <w:r>
        <w:rPr>
          <w:rFonts w:ascii="Times New Roman" w:cs="Times New Roman" w:eastAsia="Times New Roman" w:hAnsi="Times New Roman"/>
          <w:sz w:val="18"/>
          <w:szCs w:val="18"/>
          <w:i w:val="1"/>
          <w:iCs w:val="1"/>
          <w:color w:val="auto"/>
        </w:rPr>
        <w:t xml:space="preserve"> Revenue from Contracts with Customers (Topic 606)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in a business combination, rather than fair value. Adoption of this update as of January 1, 2023 did not have a material impact on the consolidated financial statements.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Adoption of this update as of January 1, 2023 did not have a material impact on the consolidated financial statements.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update eliminates the previous accounting guidance for TDRs by creditors, while enhancing disclosure requirements for certain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refinancings and restructurings when a borrower is experiencing financial difficulty. The update also requires that an entity disclose current-period gross charge-offs by year of origination. United adopted this update using a modified retrospective transition method as of January 1, 2023. The quantitative impact of adoption related to the CECL calculation for FDMs was not material; thus, no corresponding cumulative effect adjustment to retained earnings was recorded.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March 2022, the FASB issued ASU No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Structures Using the Proportional Amortization Method</w:t>
      </w:r>
      <w:r>
        <w:rPr>
          <w:rFonts w:ascii="Times New Roman" w:cs="Times New Roman" w:eastAsia="Times New Roman" w:hAnsi="Times New Roman"/>
          <w:sz w:val="18"/>
          <w:szCs w:val="18"/>
          <w:color w:val="auto"/>
        </w:rPr>
        <w:t>. The update broadens the application of the proportional amortization method to tax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other than LIHTC, providing certain conditions are met. The election to apply the proportional amortization method must be made on a tax-credit-program by tax-credit-program basis rather than at the reporting entity level or to individual investments. The update also requires certain disclosures related to those investments for which the proportional amortization method has been applied. For public entities, this guidance is effective for fiscal years beginning after December 15, 2023. United does not expect the new guidance to have a material impact on the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Cash Flow Information</w:t>
      </w:r>
    </w:p>
    <w:p>
      <w:pPr>
        <w:spacing w:after="0" w:line="25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supplemental schedule of significant non-cash investing and financing activities for the three months ended March 31, 2023 and 2022 is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fund equity investments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Transfers of AFS securities to HTM securities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1,105,194</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3,254,173</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2,657,173</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597,000</w:t>
            </w:r>
          </w:p>
        </w:tc>
      </w:tr>
      <w:tr>
        <w:trPr>
          <w:trHeight w:val="210"/>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and options converted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Progress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2023, United acquired all of the outstanding common stock of Progress in a stock transaction. Progress operated 13 offices primarily located in Alabama and the Florida Panhandle, which facilitated United’s growth into those markets. United’s operating results for the three months ended March 31, 2023 include the operating results of the acquired business for the period subsequent to the acquisition date of January 3, 2023.</w:t>
      </w:r>
    </w:p>
    <w:p>
      <w:pPr>
        <w:spacing w:after="0" w:line="1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purchased assets and assumed liabilities were recorded at their acquisition date fair values and are summarized in the table below </w:t>
      </w:r>
      <w:r>
        <w:rPr>
          <w:rFonts w:ascii="Times New Roman" w:cs="Times New Roman" w:eastAsia="Times New Roman" w:hAnsi="Times New Roman"/>
          <w:sz w:val="18"/>
          <w:szCs w:val="18"/>
          <w:i w:val="1"/>
          <w:iCs w:val="1"/>
          <w:color w:val="auto"/>
        </w:rPr>
        <w:t>(dollars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6"/>
                <w:szCs w:val="16"/>
                <w:b w:val="1"/>
                <w:bCs w:val="1"/>
                <w:color w:val="auto"/>
              </w:rPr>
              <w:t>Progress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Fair Value Recorded by United </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January 3, 2023</w:t>
            </w:r>
          </w:p>
        </w:tc>
        <w:tc>
          <w:tcPr>
            <w:tcW w:w="1960" w:type="dxa"/>
            <w:vAlign w:val="bottom"/>
            <w:tcBorders>
              <w:bottom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57,548</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111,006</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1,442,959</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1,758,386</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1,334,476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141,017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1,597,022</w:t>
            </w:r>
          </w:p>
        </w:tc>
        <w:tc>
          <w:tcPr>
            <w:tcW w:w="1960" w:type="dxa"/>
            <w:vAlign w:val="bottom"/>
            <w:tcBorders>
              <w:bottom w:val="single" w:sz="8" w:color="CCEEFF"/>
            </w:tcBorders>
          </w:tcPr>
          <w:p>
            <w:pPr>
              <w:spacing w:after="0"/>
              <w:rPr>
                <w:sz w:val="17"/>
                <w:szCs w:val="17"/>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161,364</w:t>
            </w:r>
          </w:p>
        </w:tc>
        <w:tc>
          <w:tcPr>
            <w:tcW w:w="1960" w:type="dxa"/>
            <w:vAlign w:val="bottom"/>
            <w:shd w:val="clear" w:color="auto" w:fill="CCEEFF"/>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8"/>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960" w:type="dxa"/>
            <w:vAlign w:val="bottom"/>
            <w:shd w:val="clear" w:color="auto" w:fill="CCEEFF"/>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(8,770,531 shares)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296,444</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converted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306,908</w:t>
            </w:r>
          </w:p>
        </w:tc>
        <w:tc>
          <w:tcPr>
            <w:tcW w:w="1960" w:type="dxa"/>
            <w:vAlign w:val="bottom"/>
            <w:tcBorders>
              <w:bottom w:val="single" w:sz="8" w:color="CCEEFF"/>
            </w:tcBorders>
          </w:tcPr>
          <w:p>
            <w:pPr>
              <w:spacing w:after="0"/>
              <w:rPr>
                <w:sz w:val="17"/>
                <w:szCs w:val="17"/>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145,544</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firstLine="8"/>
        <w:spacing w:after="0" w:line="254" w:lineRule="auto"/>
        <w:tabs>
          <w:tab w:leader="none" w:pos="16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intangible value of Progress’ business and reputation within the markets it served and is not expected to be deductible for income tax purposes. The Progress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additional information related to the acquired Progress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3, 2023</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Par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64,913</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ACL at acquisition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Purchase price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62,059</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1,380,900</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1,626,243</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2300" w:type="dxa"/>
            <w:vAlign w:val="bottom"/>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discloses the impact of the Progress acquisition since the date of acquisition. The table also presents certain pro forma information as if Progress had been acquired on January 1, 2022 and Reliant had been acquired January 1, 2021.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earlier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Merger-related costs from the Progress acquisition of $7.49 million have been excluded from the three months ended March 31, 2023 pro forma information presented below and included in the three months ended March 31, 2022 pro forma information presented below. Merger-related costs from the Reliant acquisition of $8.54 million have been excluded from the three months ended March 31, 2022 pro forma information presented below. The actual results and pro forma information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Progress results included in statement of income since acquisition date</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Progress had been acquired January 1, 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75,209</w:t>
            </w:r>
          </w:p>
        </w:tc>
        <w:tc>
          <w:tcPr>
            <w:tcW w:w="0" w:type="dxa"/>
            <w:vAlign w:val="bottom"/>
          </w:tcPr>
          <w:p>
            <w:pPr>
              <w:spacing w:after="0"/>
              <w:rPr>
                <w:sz w:val="1"/>
                <w:szCs w:val="1"/>
                <w:color w:val="auto"/>
              </w:rPr>
            </w:pPr>
          </w:p>
        </w:tc>
      </w:tr>
      <w:tr>
        <w:trPr>
          <w:trHeight w:val="273"/>
        </w:trPr>
        <w:tc>
          <w:tcPr>
            <w:tcW w:w="8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Reliant results included in statement of income since acquisition date</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162"/>
        </w:trPr>
        <w:tc>
          <w:tcPr>
            <w:tcW w:w="8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Supplemental consolidated pro forma as if Progress had been acquired January 1, 2022 and Reliant had been acquired January 1,</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204,869</w:t>
            </w: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57,382</w:t>
            </w: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3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HTM debt securities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17,817</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84,022</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241,830</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1,267,397</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582,971</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2,584,081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377,517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2,206,874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17,417</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81,510</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231,661</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1,264,497</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583,576</w:t>
            </w:r>
          </w:p>
        </w:tc>
      </w:tr>
      <w:tr>
        <w:trPr>
          <w:trHeight w:val="213"/>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12,412</w:t>
            </w: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2,191,073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AFS debt securities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188,580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176,259</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245,643</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162,953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1,344,866</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341,756</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620,160</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30,528</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200,067</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208,907</w:t>
            </w:r>
          </w:p>
        </w:tc>
      </w:tr>
      <w:tr>
        <w:trPr>
          <w:trHeight w:val="237"/>
        </w:trPr>
        <w:tc>
          <w:tcPr>
            <w:tcW w:w="4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3,331,139</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163,972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149,352</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250,116</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303,748</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1,448,819</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346,662</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641,346</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30,566</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212,452</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231,272</w:t>
            </w:r>
          </w:p>
        </w:tc>
      </w:tr>
      <w:tr>
        <w:trPr>
          <w:trHeight w:val="237"/>
        </w:trPr>
        <w:tc>
          <w:tcPr>
            <w:tcW w:w="4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3,971,326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3,614,333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$4.39 billion and $2.53 billion were pledged, primarily to secure public deposits and provide contingent liquidity through the Bank Term Funding Program at the Federal Reserve Bank, at March 31, 2023 and December 31,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HTM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198,072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105,665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2,076,968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2,187,514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377,517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1,262,458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111,586</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1,560,451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2,178,731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AFS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151,768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2,357,770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3,250,121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100,093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149,352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1,441,936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3,502,739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358,125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there were 682 AFS debt securities and 312 HTM debt securities that were in an unrealized loss position. United does not intend to sell nor does it believe it will be required to sell securities in an unrealized loss position prior to the recovery of their amortized cost basis. Unrealized losses at March 31, 2023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and December 31, 2022,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March 31, 2023 or December 31, 2022. In addition, based on the assessments performed at March 31, 2023 and December 31, 2022, there was no ACL required related to the AFS portfolio.</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accrued interest receivable for the periods indicated on HTM and AFS debt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which was excluded from the estimate of credit losses.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6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1"/>
        </w:trPr>
        <w:tc>
          <w:tcPr>
            <w:tcW w:w="4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2680" w:type="dxa"/>
            <w:vAlign w:val="bottom"/>
          </w:tcPr>
          <w:p>
            <w:pPr>
              <w:spacing w:after="0"/>
              <w:rPr>
                <w:sz w:val="18"/>
                <w:szCs w:val="18"/>
                <w:color w:val="auto"/>
              </w:rPr>
            </w:pPr>
          </w:p>
        </w:tc>
      </w:tr>
    </w:tbl>
    <w:p>
      <w:pPr>
        <w:spacing w:after="0" w:line="3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amortized cost and fair value of AFS and HTM debt securities at March 31, 2023, by contractual maturity, are presented in the following table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80,068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17,817</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26,902</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308,397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44,719</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62,808</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24,931</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12,837</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209,485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100,576</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21,214</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188,802</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254,677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264,239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210,016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1,267,397</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723,332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650,688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582,971</w:t>
            </w:r>
          </w:p>
        </w:tc>
      </w:tr>
      <w:tr>
        <w:trPr>
          <w:trHeight w:val="212"/>
        </w:trPr>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2,154,069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1,850,368</w:t>
            </w:r>
          </w:p>
        </w:tc>
      </w:tr>
      <w:tr>
        <w:trPr>
          <w:trHeight w:val="216"/>
        </w:trPr>
        <w:tc>
          <w:tcPr>
            <w:tcW w:w="4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3,643,208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3,331,139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2,584,081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2,206,874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AFS securities sales activity for the three months ended March 31, 2023 and 2022 </w:t>
      </w:r>
      <w:r>
        <w:rPr>
          <w:rFonts w:ascii="Times New Roman" w:cs="Times New Roman" w:eastAsia="Times New Roman" w:hAnsi="Times New Roman"/>
          <w:sz w:val="18"/>
          <w:szCs w:val="18"/>
          <w:i w:val="1"/>
          <w:iCs w:val="1"/>
          <w:color w:val="auto"/>
        </w:rPr>
        <w:t>(in thousands).</w:t>
      </w:r>
    </w:p>
    <w:p>
      <w:pPr>
        <w:spacing w:after="0" w:line="230"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6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60" w:type="dxa"/>
            <w:vAlign w:val="bottom"/>
            <w:tcBorders>
              <w:bottom w:val="single" w:sz="8" w:color="CCEEFF"/>
            </w:tcBorders>
          </w:tcPr>
          <w:p>
            <w:pPr>
              <w:spacing w:after="0"/>
              <w:rPr>
                <w:sz w:val="18"/>
                <w:szCs w:val="18"/>
                <w:color w:val="auto"/>
              </w:rPr>
            </w:pPr>
          </w:p>
        </w:tc>
      </w:tr>
      <w:tr>
        <w:trPr>
          <w:trHeight w:val="236"/>
        </w:trPr>
        <w:tc>
          <w:tcPr>
            <w:tcW w:w="6160" w:type="dxa"/>
            <w:vAlign w:val="bottom"/>
            <w:tcBorders>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Proceeds from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208,409</w:t>
            </w:r>
          </w:p>
        </w:tc>
        <w:tc>
          <w:tcPr>
            <w:tcW w:w="2460" w:type="dxa"/>
            <w:vAlign w:val="bottom"/>
            <w:tcBorders>
              <w:bottom w:val="single" w:sz="8" w:color="CCEEFF"/>
            </w:tcBorders>
            <w:shd w:val="clear" w:color="auto" w:fill="CCEEFF"/>
          </w:tcPr>
          <w:p>
            <w:pPr>
              <w:spacing w:after="0"/>
              <w:rPr>
                <w:sz w:val="20"/>
                <w:szCs w:val="20"/>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61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460" w:type="dxa"/>
            <w:vAlign w:val="bottom"/>
            <w:shd w:val="clear" w:color="auto" w:fill="CCEEFF"/>
          </w:tcPr>
          <w:p>
            <w:pPr>
              <w:spacing w:after="0"/>
              <w:rPr>
                <w:sz w:val="18"/>
                <w:szCs w:val="18"/>
                <w:color w:val="auto"/>
              </w:rPr>
            </w:pPr>
          </w:p>
        </w:tc>
      </w:tr>
      <w:tr>
        <w:trPr>
          <w:trHeight w:val="213"/>
        </w:trPr>
        <w:tc>
          <w:tcPr>
            <w:tcW w:w="6160" w:type="dxa"/>
            <w:vAlign w:val="bottom"/>
            <w:tcBorders>
              <w:bottom w:val="single" w:sz="8" w:color="CCEEFF"/>
            </w:tcBorders>
          </w:tcPr>
          <w:p>
            <w:pPr>
              <w:ind w:left="2460"/>
              <w:spacing w:after="0"/>
              <w:rPr>
                <w:sz w:val="20"/>
                <w:szCs w:val="20"/>
                <w:color w:val="auto"/>
              </w:rPr>
            </w:pPr>
            <w:r>
              <w:rPr>
                <w:rFonts w:ascii="Times New Roman" w:cs="Times New Roman" w:eastAsia="Times New Roman" w:hAnsi="Times New Roman"/>
                <w:sz w:val="16"/>
                <w:szCs w:val="16"/>
                <w:color w:val="auto"/>
              </w:rPr>
              <w:t>Gross realized 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460" w:type="dxa"/>
            <w:vAlign w:val="bottom"/>
            <w:tcBorders>
              <w:bottom w:val="single" w:sz="8" w:color="CCEEFF"/>
            </w:tcBorders>
          </w:tcPr>
          <w:p>
            <w:pPr>
              <w:spacing w:after="0"/>
              <w:rPr>
                <w:sz w:val="18"/>
                <w:szCs w:val="18"/>
                <w:color w:val="auto"/>
              </w:rPr>
            </w:pPr>
          </w:p>
        </w:tc>
      </w:tr>
      <w:tr>
        <w:trPr>
          <w:trHeight w:val="237"/>
        </w:trPr>
        <w:tc>
          <w:tcPr>
            <w:tcW w:w="6160" w:type="dxa"/>
            <w:vAlign w:val="bottom"/>
            <w:tcBorders>
              <w:bottom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2460" w:type="dxa"/>
            <w:vAlign w:val="bottom"/>
            <w:tcBorders>
              <w:bottom w:val="single" w:sz="8" w:color="CCEEFF"/>
            </w:tcBorders>
            <w:shd w:val="clear" w:color="auto" w:fill="CCEEFF"/>
          </w:tcPr>
          <w:p>
            <w:pPr>
              <w:spacing w:after="0"/>
              <w:rPr>
                <w:sz w:val="20"/>
                <w:szCs w:val="20"/>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41"/>
        </w:trPr>
        <w:tc>
          <w:tcPr>
            <w:tcW w:w="6160" w:type="dxa"/>
            <w:vAlign w:val="bottom"/>
            <w:tcBorders>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Income tax expense (benefit) attributable to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460" w:type="dxa"/>
            <w:vAlign w:val="bottom"/>
            <w:tcBorders>
              <w:bottom w:val="single" w:sz="8" w:color="CCEEFF"/>
            </w:tcBorders>
            <w:shd w:val="clear" w:color="auto" w:fill="CCEEFF"/>
          </w:tcPr>
          <w:p>
            <w:pPr>
              <w:spacing w:after="0"/>
              <w:rPr>
                <w:sz w:val="20"/>
                <w:szCs w:val="20"/>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Major classifications of the loan and lease portfolio (collectively referred to as the “loan portfolio” or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3,141,198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2,734,666</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3,261,626</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2,441,721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2,252,322</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1,597,848</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1,374,251</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12,447,056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11,220,713</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2,355,061</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850,269</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442,553</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316,741</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149,290</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17,124,703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15,334,627</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Less allowance for credit losses - loans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(159,357)</w:t>
            </w:r>
          </w:p>
        </w:tc>
        <w:tc>
          <w:tcPr>
            <w:tcW w:w="1680" w:type="dxa"/>
            <w:vAlign w:val="bottom"/>
            <w:shd w:val="clear" w:color="auto" w:fill="CCEEFF"/>
          </w:tcPr>
          <w:p>
            <w:pPr>
              <w:spacing w:after="0"/>
              <w:rPr>
                <w:sz w:val="19"/>
                <w:szCs w:val="19"/>
                <w:color w:val="auto"/>
              </w:rPr>
            </w:pPr>
          </w:p>
        </w:tc>
      </w:tr>
      <w:tr>
        <w:trPr>
          <w:trHeight w:val="210"/>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16,948,169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15,175,270</w:t>
            </w:r>
          </w:p>
        </w:tc>
        <w:tc>
          <w:tcPr>
            <w:tcW w:w="168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$56.1 million and $52.0 million at March 31, 2023 and December 31, 2022,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and December 31, 2022, the loan portfolio was subject to blanket pledges on certain qualifying loan types with the FHLB and FRB to secure contingent funding sources.</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the amortized cost of loans held for investment that were sold in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The gains on these loan sales were included in noninterest income on the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23,436</w:t>
            </w:r>
          </w:p>
        </w:tc>
      </w:tr>
      <w:tr>
        <w:trPr>
          <w:trHeight w:val="237"/>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At March 31, 2023 and December 31, 2022, equipment financing receivables included leases of $54.1 million and $46.0 million, respectively. The components of the net investment in leases, which included both sales-type and direct financing,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49,723</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45,988</w:t>
            </w:r>
          </w:p>
        </w:tc>
        <w:tc>
          <w:tcPr>
            <w:tcW w:w="1620" w:type="dxa"/>
            <w:vAlign w:val="bottom"/>
          </w:tcPr>
          <w:p>
            <w:pPr>
              <w:spacing w:after="0"/>
              <w:rPr>
                <w:sz w:val="18"/>
                <w:szCs w:val="18"/>
                <w:color w:val="auto"/>
              </w:rPr>
            </w:pPr>
          </w:p>
        </w:tc>
      </w:tr>
      <w:tr>
        <w:trPr>
          <w:trHeight w:val="21"/>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Minimum future lease payments expected to be received from equipment financing lease contracts as of March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Remainder of 2023</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16,672</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58,978</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aging of the amortized cost basis in loans by aging category and accrual status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due status is based on contractual terms of the loan. The accrual of interest is generally discontinued when a loan becomes 90 days past due.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3,136,902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3,141,198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3,576,513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3,611,376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2,441,721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1,805,995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1,446,766</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12,358,347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50,398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12,447,056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2,755,380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924,436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930,097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492,356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326,311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173,503</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16,998,410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24,821</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17,124,703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2,731,574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2,734,666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3,261,626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2,252,322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1,597,848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1,374,251</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11,182,980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11,220,713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2,355,061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850,269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442,553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316,741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149,290</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15,263,066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15,334,627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nonaccrual loans held for investment by loan class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14,470</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24,449</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44,134</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72,795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Equipment Financing Receivables and Consumer Purpose Loans. </w:t>
      </w:r>
      <w:r>
        <w:rPr>
          <w:rFonts w:ascii="Times New Roman" w:cs="Times New Roman" w:eastAsia="Times New Roman" w:hAnsi="Times New Roman"/>
          <w:sz w:val="18"/>
          <w:szCs w:val="18"/>
          <w:color w:val="auto"/>
        </w:rPr>
        <w:t>United applies a pass / fail grading system to all equipment financing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purpose loans. Under this system, loans that are on nonaccrual 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risk category of term loans and, for 2023, gross charge-offs by vintage year, which is the year of origination or most recent renewal, as of the date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commercial real estate: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181,897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689,185</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711,249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624,718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233,961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408,712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185,380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3,050,431</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44,411</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46,356</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commercial real estate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185,982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705,048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728,047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638,875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3,141,198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commercial real estate: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156,012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861,022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785,978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759,153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266,389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450,664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62,077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3,347,992</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146,168</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26,051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17,782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117,216</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commercial real estate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936,944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808,386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802,177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499,272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3,611,376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145,494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579,840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383,076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178,455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137,606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610,517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2,264,149</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35,026</w:t>
            </w: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142,545</w:t>
            </w: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Doubtful/Loss</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9"/>
        </w:trPr>
        <w:tc>
          <w:tcPr>
            <w:tcW w:w="3060" w:type="dxa"/>
            <w:vAlign w:val="bottom"/>
            <w:gridSpan w:val="2"/>
          </w:tcPr>
          <w:p>
            <w:pPr>
              <w:jc w:val="right"/>
              <w:ind w:right="126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149,740</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593,180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446,932</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194,245</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142,885</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27,701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2,441,721</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743,077</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392,462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1,780,246</w:t>
            </w: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13,666</w:t>
            </w: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12,083</w:t>
            </w:r>
          </w:p>
        </w:tc>
        <w:tc>
          <w:tcPr>
            <w:tcW w:w="0" w:type="dxa"/>
            <w:vAlign w:val="bottom"/>
          </w:tcPr>
          <w:p>
            <w:pPr>
              <w:spacing w:after="0"/>
              <w:rPr>
                <w:sz w:val="1"/>
                <w:szCs w:val="1"/>
                <w:color w:val="auto"/>
              </w:rPr>
            </w:pPr>
          </w:p>
        </w:tc>
      </w:tr>
      <w:tr>
        <w:trPr>
          <w:trHeight w:val="189"/>
        </w:trPr>
        <w:tc>
          <w:tcPr>
            <w:tcW w:w="306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215,801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743,735</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392,529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255,424</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94,315</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1,805,995</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643,405</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1,440,745</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6,021</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645,404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338,076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1,446,766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4,027</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229,475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1,011,313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775,540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344,462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93,823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283,417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2,741,829</w:t>
            </w: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13,551</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229,663</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1,012,664</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776,778</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345,665</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95,319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291,195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2,755,380</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 lines of credit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927,288</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 lines of credit</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901,498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930,097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85,484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322,159</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65,242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491,304</w:t>
            </w:r>
          </w:p>
        </w:tc>
        <w:tc>
          <w:tcPr>
            <w:tcW w:w="0" w:type="dxa"/>
            <w:vAlign w:val="bottom"/>
          </w:tcPr>
          <w:p>
            <w:pPr>
              <w:spacing w:after="0"/>
              <w:rPr>
                <w:sz w:val="1"/>
                <w:szCs w:val="1"/>
                <w:color w:val="auto"/>
              </w:rPr>
            </w:pPr>
          </w:p>
        </w:tc>
      </w:tr>
      <w:tr>
        <w:trPr>
          <w:trHeight w:val="191"/>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85,938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322,159</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65,677</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8,692</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492,356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76,558</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316,683</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9,628</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326,311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62,905</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173,345</w:t>
            </w:r>
          </w:p>
        </w:tc>
        <w:tc>
          <w:tcPr>
            <w:tcW w:w="0" w:type="dxa"/>
            <w:vAlign w:val="bottom"/>
          </w:tcPr>
          <w:p>
            <w:pPr>
              <w:spacing w:after="0"/>
              <w:rPr>
                <w:sz w:val="1"/>
                <w:szCs w:val="1"/>
                <w:color w:val="auto"/>
              </w:rPr>
            </w:pPr>
          </w:p>
        </w:tc>
      </w:tr>
      <w:tr>
        <w:trPr>
          <w:trHeight w:val="191"/>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31,666</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62,921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29,124</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14,055</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173,503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669,451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671,395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611,900</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204,990</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127,738</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253,890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114,975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2,660,118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812,804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3,035,517</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2,122,617</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1,563,177</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1,368,194</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3,464,040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2,580,175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1,950,688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760,506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905,981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10,749,623</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2,341,615</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848,101</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442,077</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309,025</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149,128</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4,853,439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3,489,583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2,349,242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892,371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543,350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895,196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1,756,105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14,839,569</w:t>
            </w:r>
          </w:p>
        </w:tc>
        <w:tc>
          <w:tcPr>
            <w:tcW w:w="0" w:type="dxa"/>
            <w:vAlign w:val="bottom"/>
          </w:tcPr>
          <w:p>
            <w:pPr>
              <w:spacing w:after="0"/>
              <w:rPr>
                <w:sz w:val="1"/>
                <w:szCs w:val="1"/>
                <w:color w:val="auto"/>
              </w:rPr>
            </w:pPr>
          </w:p>
        </w:tc>
      </w:tr>
      <w:tr>
        <w:trPr>
          <w:trHeight w:val="176"/>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44,194</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21,647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142,685</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39,342</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20,679</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246,900</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246,900</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83,424</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13,992</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224,190</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248,158</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4,978,428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3,546,181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2,415,804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15,334,627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 w:right="4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modified under the terms of a FDM during the three months ended March 31, 2023 are presented in the following table </w:t>
      </w:r>
      <w:r>
        <w:rPr>
          <w:rFonts w:ascii="Times New Roman" w:cs="Times New Roman" w:eastAsia="Times New Roman" w:hAnsi="Times New Roman"/>
          <w:sz w:val="18"/>
          <w:szCs w:val="18"/>
          <w:i w:val="1"/>
          <w:i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New FDMs</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9"/>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Post-Modification Amortized Cost by Type of Modification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Total Class of</w:t>
            </w: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8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Rate Reduction &amp;</w:t>
            </w:r>
          </w:p>
        </w:tc>
        <w:tc>
          <w:tcPr>
            <w:tcW w:w="420" w:type="dxa"/>
            <w:vAlign w:val="bottom"/>
          </w:tcPr>
          <w:p>
            <w:pPr>
              <w:spacing w:after="0"/>
              <w:rPr>
                <w:sz w:val="11"/>
                <w:szCs w:val="11"/>
                <w:color w:val="auto"/>
              </w:rPr>
            </w:pPr>
          </w:p>
        </w:tc>
        <w:tc>
          <w:tcPr>
            <w:tcW w:w="8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89"/>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15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5"/>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loans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1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financing FDMs typically consist of one or more three-month extensions beyond the original maturity date.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commercial and industrial payment delay modifications consisted of one or more three-month periods during which principal payments were deferred but interest payments continued to be paid.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FDMs categorized as rate reduction and extensions in the residential mortgage and manufactured housing categories resulted in a decrease in the weighted average interest rate on these FDMs of 621 bps and extended the weighted average maturity by 6.5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FDMs modified during 2023 that have subsequently defaulted under modified loan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both March 31, 2023 and December 31, 2022,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default experience to produce an expected default rate, with the results subject to a floor. In the case of residential construction and multifamily loans (included in income producing commercial real estate), the expected default rate was adjusted by a model overlay based on expectations of future performance. For the first quarter of 2023, management applied qualitative factors to the model output for the equipment finance portfolio to account for current economic trends not fully captured in the model.</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20" w:type="dxa"/>
            <w:vAlign w:val="bottom"/>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Initial ACL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1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1080" w:type="dxa"/>
            <w:vAlign w:val="bottom"/>
          </w:tcPr>
          <w:p>
            <w:pPr>
              <w:jc w:val="right"/>
              <w:ind w:right="79"/>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PCD loans </w:t>
            </w:r>
            <w:r>
              <w:rPr>
                <w:rFonts w:ascii="Times New Roman" w:cs="Times New Roman" w:eastAsia="Times New Roman" w:hAnsi="Times New Roman"/>
                <w:sz w:val="21"/>
                <w:szCs w:val="21"/>
                <w:b w:val="1"/>
                <w:bCs w:val="1"/>
                <w:color w:val="auto"/>
                <w:w w:val="96"/>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20,831</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33,607</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28,312</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176,534</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21,389</w:t>
            </w:r>
          </w:p>
        </w:tc>
        <w:tc>
          <w:tcPr>
            <w:tcW w:w="0" w:type="dxa"/>
            <w:vAlign w:val="bottom"/>
          </w:tcPr>
          <w:p>
            <w:pPr>
              <w:spacing w:after="0"/>
              <w:rPr>
                <w:sz w:val="1"/>
                <w:szCs w:val="1"/>
                <w:color w:val="auto"/>
              </w:rPr>
            </w:pPr>
          </w:p>
        </w:tc>
      </w:tr>
      <w:tr>
        <w:trPr>
          <w:trHeight w:val="237"/>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197,923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Progress transaction.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20" w:type="dxa"/>
            <w:vAlign w:val="bottom"/>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Initial ACL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1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20" w:type="dxa"/>
            <w:vAlign w:val="bottom"/>
          </w:tcPr>
          <w:p>
            <w:pPr>
              <w:spacing w:after="0"/>
              <w:rPr>
                <w:sz w:val="13"/>
                <w:szCs w:val="13"/>
                <w:color w:val="auto"/>
              </w:rPr>
            </w:pPr>
          </w:p>
        </w:tc>
        <w:tc>
          <w:tcPr>
            <w:tcW w:w="100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1080" w:type="dxa"/>
            <w:vAlign w:val="bottom"/>
          </w:tcPr>
          <w:p>
            <w:pPr>
              <w:jc w:val="right"/>
              <w:ind w:right="79"/>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PCD loans </w:t>
            </w:r>
            <w:r>
              <w:rPr>
                <w:rFonts w:ascii="Times New Roman" w:cs="Times New Roman" w:eastAsia="Times New Roman" w:hAnsi="Times New Roman"/>
                <w:sz w:val="21"/>
                <w:szCs w:val="21"/>
                <w:b w:val="1"/>
                <w:bCs w:val="1"/>
                <w:color w:val="auto"/>
                <w:w w:val="96"/>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15,945</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33,539</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18,386</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132,805</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13,564</w:t>
            </w:r>
          </w:p>
        </w:tc>
        <w:tc>
          <w:tcPr>
            <w:tcW w:w="0" w:type="dxa"/>
            <w:vAlign w:val="bottom"/>
          </w:tcPr>
          <w:p>
            <w:pPr>
              <w:spacing w:after="0"/>
              <w:rPr>
                <w:sz w:val="1"/>
                <w:szCs w:val="1"/>
                <w:color w:val="auto"/>
              </w:rPr>
            </w:pPr>
          </w:p>
        </w:tc>
      </w:tr>
      <w:tr>
        <w:trPr>
          <w:trHeight w:val="237"/>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Reliant transaction.</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05"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which are included in other assets and other liabilities on the consolidated balance sheet,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6"/>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6"/>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 of brokered time deposits</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86,358</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12,839</w:t>
            </w:r>
          </w:p>
        </w:tc>
      </w:tr>
      <w:tr>
        <w:trPr>
          <w:trHeight w:val="210"/>
        </w:trPr>
        <w:tc>
          <w:tcPr>
            <w:tcW w:w="40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2,728,590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2,457,047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2,848,590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2,577,047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(13,089)</w:t>
            </w: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86,108</w:t>
            </w:r>
          </w:p>
        </w:tc>
      </w:tr>
      <w:tr>
        <w:trPr>
          <w:trHeight w:val="21"/>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United enters into cash flow hedges to mitigate exposure to the variability of future cash flows or other forecasted transactions. As of March 31, 2023 and December 31, 2022,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$4.82 million of gains from AOCI into earnings related to these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hedging relationships, all of which are interest rate contracts,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7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 presented in the consolidated statements of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hedging relationships on 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recognized on fair value hedges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7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expense recognized on cash flow hedges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bl>
    <w:p>
      <w:pPr>
        <w:spacing w:after="0" w:line="48" w:lineRule="exact"/>
        <w:rPr>
          <w:sz w:val="20"/>
          <w:szCs w:val="20"/>
          <w:color w:val="auto"/>
        </w:rPr>
      </w:pPr>
    </w:p>
    <w:p>
      <w:pPr>
        <w:ind w:left="200" w:hanging="163"/>
        <w:spacing w:after="0"/>
        <w:tabs>
          <w:tab w:leader="none" w:pos="20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$116,000 for both the three months ended March 31, 2023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w:t>
            </w:r>
          </w:p>
        </w:tc>
        <w:tc>
          <w:tcPr>
            <w:tcW w:w="0" w:type="dxa"/>
            <w:vAlign w:val="bottom"/>
          </w:tcPr>
          <w:p>
            <w:pPr>
              <w:spacing w:after="0"/>
              <w:rPr>
                <w:sz w:val="1"/>
                <w:szCs w:val="1"/>
                <w:color w:val="auto"/>
              </w:rPr>
            </w:pPr>
          </w:p>
        </w:tc>
      </w:tr>
      <w:tr>
        <w:trPr>
          <w:trHeight w:val="212"/>
        </w:trPr>
        <w:tc>
          <w:tcPr>
            <w:tcW w:w="47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720" w:type="dxa"/>
            <w:vAlign w:val="bottom"/>
          </w:tcPr>
          <w:p>
            <w:pPr>
              <w:spacing w:after="0"/>
              <w:rPr>
                <w:sz w:val="22"/>
                <w:szCs w:val="22"/>
                <w:color w:val="auto"/>
              </w:rPr>
            </w:pPr>
          </w:p>
        </w:tc>
        <w:tc>
          <w:tcPr>
            <w:tcW w:w="2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w:t>
            </w:r>
          </w:p>
        </w:tc>
        <w:tc>
          <w:tcPr>
            <w:tcW w:w="140" w:type="dxa"/>
            <w:vAlign w:val="bottom"/>
          </w:tcPr>
          <w:p>
            <w:pPr>
              <w:spacing w:after="0"/>
              <w:rPr>
                <w:sz w:val="22"/>
                <w:szCs w:val="22"/>
                <w:color w:val="auto"/>
              </w:rPr>
            </w:pPr>
          </w:p>
        </w:tc>
        <w:tc>
          <w:tcPr>
            <w:tcW w:w="35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6"/>
        </w:trPr>
        <w:tc>
          <w:tcPr>
            <w:tcW w:w="4720" w:type="dxa"/>
            <w:vAlign w:val="bottom"/>
          </w:tcPr>
          <w:p>
            <w:pPr>
              <w:spacing w:after="0"/>
              <w:rPr>
                <w:sz w:val="4"/>
                <w:szCs w:val="4"/>
                <w:color w:val="auto"/>
              </w:rPr>
            </w:pPr>
          </w:p>
        </w:tc>
        <w:tc>
          <w:tcPr>
            <w:tcW w:w="2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Income on Derivatives</w:t>
            </w:r>
          </w:p>
        </w:tc>
        <w:tc>
          <w:tcPr>
            <w:tcW w:w="1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revenue</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4"/>
        </w:trPr>
        <w:tc>
          <w:tcPr>
            <w:tcW w:w="472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Derivatives that are centrally cleared do not have credit-risk-related features that would require additional collateral if United’s credit rating were downgraded.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as of the dates indicated is summarized below </w:t>
      </w:r>
      <w:r>
        <w:rPr>
          <w:rFonts w:ascii="Times New Roman" w:cs="Times New Roman" w:eastAsia="Times New Roman" w:hAnsi="Times New Roman"/>
          <w:sz w:val="18"/>
          <w:szCs w:val="18"/>
          <w:i w:val="1"/>
          <w:i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2"/>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46,900</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(26,112)</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20,788</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line="213" w:lineRule="exact"/>
              <w:rPr>
                <w:sz w:val="20"/>
                <w:szCs w:val="20"/>
                <w:color w:val="auto"/>
              </w:rPr>
            </w:pPr>
            <w:r>
              <w:rPr>
                <w:rFonts w:ascii="Times New Roman" w:cs="Times New Roman" w:eastAsia="Times New Roman" w:hAnsi="Times New Roman"/>
                <w:sz w:val="16"/>
                <w:szCs w:val="16"/>
                <w:color w:val="auto"/>
              </w:rPr>
              <w:t xml:space="preserve">Total intangibles subject to amortization, net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28,074</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896,718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779,248</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as a result of the Progress acquisition, United recorded a core deposit intangible of $40.0 million. See Note 4 for further detail.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0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300" w:type="dxa"/>
            <w:vAlign w:val="bottom"/>
            <w:tcBorders>
              <w:bottom w:val="single" w:sz="8" w:color="CCEEFF"/>
            </w:tcBorders>
          </w:tcPr>
          <w:p>
            <w:pPr>
              <w:spacing w:after="0"/>
              <w:rPr>
                <w:sz w:val="18"/>
                <w:szCs w:val="18"/>
                <w:color w:val="auto"/>
              </w:rPr>
            </w:pPr>
          </w:p>
        </w:tc>
      </w:tr>
      <w:tr>
        <w:trPr>
          <w:trHeight w:val="211"/>
        </w:trPr>
        <w:tc>
          <w:tcPr>
            <w:tcW w:w="6360" w:type="dxa"/>
            <w:vAlign w:val="bottom"/>
            <w:shd w:val="clear" w:color="auto" w:fill="CCEEFF"/>
          </w:tcPr>
          <w:p>
            <w:pPr>
              <w:ind w:left="2300"/>
              <w:spacing w:after="0" w:line="211" w:lineRule="exact"/>
              <w:rPr>
                <w:sz w:val="20"/>
                <w:szCs w:val="20"/>
                <w:color w:val="auto"/>
              </w:rPr>
            </w:pPr>
            <w:r>
              <w:rPr>
                <w:rFonts w:ascii="Times New Roman" w:cs="Times New Roman" w:eastAsia="Times New Roman" w:hAnsi="Times New Roman"/>
                <w:sz w:val="16"/>
                <w:szCs w:val="16"/>
                <w:color w:val="auto"/>
              </w:rPr>
              <w:t xml:space="preserve">Balance, beginning of period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2300" w:type="dxa"/>
            <w:vAlign w:val="bottom"/>
            <w:shd w:val="clear" w:color="auto" w:fill="CCEEFF"/>
          </w:tcPr>
          <w:p>
            <w:pPr>
              <w:spacing w:after="0"/>
              <w:rPr>
                <w:sz w:val="18"/>
                <w:szCs w:val="18"/>
                <w:color w:val="auto"/>
              </w:rPr>
            </w:pPr>
          </w:p>
        </w:tc>
      </w:tr>
      <w:tr>
        <w:trPr>
          <w:trHeight w:val="213"/>
        </w:trPr>
        <w:tc>
          <w:tcPr>
            <w:tcW w:w="636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145,544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299,167</w:t>
            </w:r>
          </w:p>
        </w:tc>
        <w:tc>
          <w:tcPr>
            <w:tcW w:w="2300" w:type="dxa"/>
            <w:vAlign w:val="bottom"/>
            <w:tcBorders>
              <w:bottom w:val="single" w:sz="8" w:color="CCEEFF"/>
            </w:tcBorders>
          </w:tcPr>
          <w:p>
            <w:pPr>
              <w:spacing w:after="0"/>
              <w:rPr>
                <w:sz w:val="18"/>
                <w:szCs w:val="18"/>
                <w:color w:val="auto"/>
              </w:rPr>
            </w:pPr>
          </w:p>
        </w:tc>
      </w:tr>
      <w:tr>
        <w:trPr>
          <w:trHeight w:val="237"/>
        </w:trPr>
        <w:tc>
          <w:tcPr>
            <w:tcW w:w="6360" w:type="dxa"/>
            <w:vAlign w:val="bottom"/>
            <w:tcBorders>
              <w:bottom w:val="single" w:sz="8" w:color="CCEEFF"/>
            </w:tcBorders>
            <w:shd w:val="clear" w:color="auto" w:fill="CCEEFF"/>
          </w:tcPr>
          <w:p>
            <w:pPr>
              <w:ind w:left="2300"/>
              <w:spacing w:after="0" w:line="213"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896,718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Goodwill balances are shown net of accumulated impairment losses of $306 million incurred prior to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aggregate amortization expense for future periods for finite lived intangibles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Remainder of 2023</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11,791</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8,491</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Borders>
              <w:bottom w:val="single" w:sz="8" w:color="CCEEFF"/>
            </w:tcBorders>
          </w:tcPr>
          <w:p>
            <w:pPr>
              <w:ind w:left="350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17,321</w:t>
            </w:r>
          </w:p>
        </w:tc>
        <w:tc>
          <w:tcPr>
            <w:tcW w:w="3500" w:type="dxa"/>
            <w:vAlign w:val="bottom"/>
            <w:tcBorders>
              <w:bottom w:val="single" w:sz="8" w:color="CCEEFF"/>
            </w:tcBorders>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64,526</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Short-term Borrowings and FHLB Advances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At March 31, 2023 and December 31, 2022, short-term borrowings consisted of repurchase agreements, which are borrowings secured by investment securities. The following table presents the remaining contractual maturity of repurchase agreements by collateral pledged as of the date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9"/>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Remaining Contractual Maturity of the Agreements</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Overnight and</w:t>
            </w: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Up to 30 Days</w:t>
            </w:r>
          </w:p>
        </w:tc>
        <w:tc>
          <w:tcPr>
            <w:tcW w:w="24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30-90 Days</w:t>
            </w: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Greater than 90 days</w:t>
            </w:r>
          </w:p>
        </w:tc>
        <w:tc>
          <w:tcPr>
            <w:tcW w:w="280" w:type="dxa"/>
            <w:vAlign w:val="bottom"/>
          </w:tcPr>
          <w:p>
            <w:pPr>
              <w:spacing w:after="0"/>
              <w:rPr>
                <w:sz w:val="13"/>
                <w:szCs w:val="13"/>
                <w:color w:val="auto"/>
              </w:rPr>
            </w:pPr>
          </w:p>
        </w:tc>
        <w:tc>
          <w:tcPr>
            <w:tcW w:w="9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Continuous</w:t>
            </w: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158,933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obligated to promptly transfer additional securities if the market value of the pledged securities falls below the repurchase agreement price. United manages this risk by maintaining a portfolio of unpledged securities that it believes is sufficient to cover a decline in the market value of the securities sold under agreements to repurchase. At March 31, 2023, repurchase agreements were collateralized by securities with a carrying amount of $9.97 million. At December 31, 2022, repurchase agreements were collateralized by securities with a carrying amount of $163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and December 31, 2022, United had FHLB advances totaling $30.0 million and $550 million, respectively. The balance outstanding at March 31, 2023 matures in 2023 and has an interest rate of 4.52%. United’s FHLB advances are collateralized by a blanket lien on owner occupied and income producing commercial real estate and residential mortgage loans.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In connection with the Reliant acquisition, United acquired certain mortgage loans held for sale for which the fair value option was not elected; these loans are carried at the lower of aggregate cost or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Residential and SBA/USDA Loans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176,259</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245,643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245,643</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162,953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162,953</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1,686,622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1,686,622</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650,688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650,688</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197,840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200,067</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208,907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208,907</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11,244</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36,081</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52,111</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199,906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3,214,195</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55,945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3,470,046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11,280</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79,888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91,083</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102,363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149,352</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250,116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250,116</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303,748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303,748</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1,795,481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1,795,481</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671,912</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210,240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212,452</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231,272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231,272</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13,637</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11,436</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36,559</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50,636</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173,066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3,515,045</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55,472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3,743,583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99,543</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111,003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Bonds</w:t>
            </w:r>
          </w:p>
        </w:tc>
        <w:tc>
          <w:tcPr>
            <w:tcW w:w="0" w:type="dxa"/>
            <w:vAlign w:val="bottom"/>
          </w:tcPr>
          <w:p>
            <w:pPr>
              <w:spacing w:after="0"/>
              <w:rPr>
                <w:sz w:val="1"/>
                <w:szCs w:val="1"/>
                <w:color w:val="auto"/>
              </w:rPr>
            </w:pPr>
          </w:p>
        </w:tc>
      </w:tr>
      <w:tr>
        <w:trPr>
          <w:trHeight w:val="23"/>
        </w:trPr>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4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Business combinations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Transfers from Level 3</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30"/>
        </w:trPr>
        <w:tc>
          <w:tcPr>
            <w:tcW w:w="148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36,081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significant Level 3 inputs for fair value on a recurring basis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gridSpan w:val="4"/>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6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44"/>
        </w:trPr>
        <w:tc>
          <w:tcPr>
            <w:tcW w:w="24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0.0 - 36.2</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0.0 - 35.4</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Residential mortgage servicing</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9.5 - 11.5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9.5 - 11.5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7.0 - 27.8</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7.0 - 31.2</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5"/>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5.7 - 6.1</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6.1 - 6.4</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Derivative assets and liabilities -</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Dealer priced</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50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2"/>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gridSpan w:val="2"/>
            <w:vMerge w:val="continue"/>
            <w:shd w:val="clear" w:color="auto" w:fill="CCEEFF"/>
          </w:tcPr>
          <w:p>
            <w:pPr>
              <w:spacing w:after="0"/>
              <w:rPr>
                <w:sz w:val="11"/>
                <w:szCs w:val="11"/>
                <w:color w:val="auto"/>
              </w:rPr>
            </w:pPr>
          </w:p>
        </w:tc>
        <w:tc>
          <w:tcPr>
            <w:tcW w:w="2120" w:type="dxa"/>
            <w:vAlign w:val="bottom"/>
            <w:gridSpan w:val="2"/>
            <w:vMerge w:val="continue"/>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generally records mortgage loans held for sale at fair value under the fair value option. Interest income on these loans is calculated based on the note rate of the loan and is recorded in interest revenue. In connection with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72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w w:val="95"/>
              </w:rPr>
              <w:t>18,408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11,473</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w w:val="95"/>
              </w:rPr>
              <w:t>18,960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11,794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80" w:type="dxa"/>
            <w:vAlign w:val="bottom"/>
            <w:gridSpan w:val="14"/>
          </w:tcPr>
          <w:p>
            <w:pPr>
              <w:ind w:left="56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4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7"/>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120" w:type="dxa"/>
            <w:vAlign w:val="bottom"/>
            <w:gridSpan w:val="9"/>
          </w:tcPr>
          <w:p>
            <w:pPr>
              <w:jc w:val="center"/>
              <w:ind w:right="33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0" w:type="dxa"/>
            <w:vAlign w:val="bottom"/>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March 31, 2023 and December 31, 2022,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720" w:type="dxa"/>
            <w:vAlign w:val="bottom"/>
            <w:shd w:val="clear" w:color="auto" w:fill="CCEEFF"/>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72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held for sale that were acquired from Reliant were subject to a nonrecurring fair value adjustment resulting from the application of the lower of the amortized cost or fair value accounting. As of March 31, 2023, these loans were classified as nonrecurring Level 3 because the valuation of these loans was based on indicative bids provided by a broker, not corroborated by market transactions.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2,206,874</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16,948,169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16,291,834</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22,004,674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22,010,264</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29,998</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315,202</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2,191,073</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14,609,239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14,609,239</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19,863,380</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advances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549,913</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313,380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share-based compensation. The general terms of the plan include a vesting period (usually four years) with an exercisable period not to exceed ten years. Certain options and restricted stock unit awards provide for accelerated vesting if there is a change in control (as defined in the plan document). As of March 31, 2023, 2.57 million additional awards could be granted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 and option activity for the three months ended March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392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($000)</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Outstanding at December</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778,686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40,338</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31, 2022</w:t>
            </w: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 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Outstanding at March 31,</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25,111</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Vested / Exercisable at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2023</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granted in 2023 reflect fully vested options assumed in the Progress acquisition, with the weighted average exercise price of Progress’ fully vested converted options determined pursuant to the purchase agreement. The value of the Progress options was determined using a Black-Scholes model and was included in the purchase price for the acquisition. No compensation expense relating to options was included in earnings for the three months ended March 31, 2023 and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and 2022, expense of $2.36 million and $2.39 million, respectively, was recognized related to restricted stock unit and performance stock unit awards granted to United employees, which was included in salaries and employee benefits expense. In addition, for the three months ended March 31, 2023 and 2022, $122,000 and $100,000, respectively, was recognized in other expense for restricted stock unit awards granted to members of United’s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$634,000 and $636,000 was included in the determination of income tax expense for the three months ended March 31, 2023 and 2022, respectively. As of March 31, 2023, there was $21.6 million of unrecognized expense related to non-vested restricted stock unit and performance stock unit awards granted under the plan. That cost is expected to be recognized over a weighted-average period of 2.6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Reclassifications Out of AOCI</w:t>
      </w:r>
    </w:p>
    <w:p>
      <w:pPr>
        <w:spacing w:after="0" w:line="25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AOCI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jc w:val="right"/>
              <w:ind w:right="99"/>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216"/>
        </w:trPr>
        <w:tc>
          <w:tcPr>
            <w:tcW w:w="4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 Net Income is</w:t>
            </w:r>
          </w:p>
        </w:tc>
      </w:tr>
      <w:tr>
        <w:trPr>
          <w:trHeight w:val="208"/>
        </w:trPr>
        <w:tc>
          <w:tcPr>
            <w:tcW w:w="4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Presented</w:t>
            </w:r>
          </w:p>
        </w:tc>
      </w:tr>
      <w:tr>
        <w:trPr>
          <w:trHeight w:val="21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losses on AFS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r>
      <w:tr>
        <w:trPr>
          <w:trHeight w:val="213"/>
        </w:trPr>
        <w:tc>
          <w:tcPr>
            <w:tcW w:w="4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2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(3,734)</w:t>
            </w:r>
          </w:p>
        </w:tc>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losses, net</w:t>
            </w:r>
          </w:p>
        </w:tc>
      </w:tr>
      <w:tr>
        <w:trPr>
          <w:trHeight w:val="216"/>
        </w:trPr>
        <w:tc>
          <w:tcPr>
            <w:tcW w:w="4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r>
      <w:tr>
        <w:trPr>
          <w:trHeight w:val="212"/>
        </w:trPr>
        <w:tc>
          <w:tcPr>
            <w:tcW w:w="41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(2,744)</w:t>
            </w:r>
          </w:p>
        </w:tc>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r>
      <w:tr>
        <w:trPr>
          <w:trHeight w:val="213"/>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9"/>
        </w:trPr>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4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4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5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200" w:type="dxa"/>
            <w:vAlign w:val="bottom"/>
          </w:tcPr>
          <w:p>
            <w:pPr>
              <w:spacing w:after="0"/>
              <w:rPr>
                <w:sz w:val="14"/>
                <w:szCs w:val="14"/>
                <w:color w:val="auto"/>
              </w:rPr>
            </w:pPr>
          </w:p>
        </w:tc>
      </w:tr>
      <w:tr>
        <w:trPr>
          <w:trHeight w:val="216"/>
        </w:trPr>
        <w:tc>
          <w:tcPr>
            <w:tcW w:w="5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r>
      <w:tr>
        <w:trPr>
          <w:trHeight w:val="213"/>
        </w:trPr>
        <w:tc>
          <w:tcPr>
            <w:tcW w:w="4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4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12"/>
        </w:trPr>
        <w:tc>
          <w:tcPr>
            <w:tcW w:w="41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0" w:type="dxa"/>
            <w:vAlign w:val="bottom"/>
            <w:shd w:val="clear" w:color="auto" w:fill="CCEEFF"/>
          </w:tcPr>
          <w:p>
            <w:pPr>
              <w:spacing w:after="0"/>
              <w:rPr>
                <w:sz w:val="15"/>
                <w:szCs w:val="15"/>
                <w:color w:val="auto"/>
              </w:rPr>
            </w:pPr>
          </w:p>
        </w:tc>
      </w:tr>
      <w:tr>
        <w:trPr>
          <w:trHeight w:val="213"/>
        </w:trPr>
        <w:tc>
          <w:tcPr>
            <w:tcW w:w="5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4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Actuarial losses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12"/>
        </w:trPr>
        <w:tc>
          <w:tcPr>
            <w:tcW w:w="4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3"/>
        </w:trPr>
        <w:tc>
          <w:tcPr>
            <w:tcW w:w="4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4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24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(2,976)</w:t>
            </w:r>
          </w:p>
        </w:tc>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106,550</w:t>
            </w:r>
          </w:p>
        </w:tc>
      </w:tr>
      <w:tr>
        <w:trPr>
          <w:trHeight w:val="21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and 2022, United had no potentially dilutive instruments outstanding that were not included in the above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2023,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March 31, 2023,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Regulatory capital ratios at March 31, 2023 and December 31, 2022, along with the minimum amounts required for capital adequacy purposes and to be well-capitalized under regulatory requirements in effect at such times, are presented below for United and the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00" w:type="dxa"/>
            <w:vAlign w:val="bottom"/>
          </w:tcPr>
          <w:p>
            <w:pPr>
              <w:spacing w:after="0"/>
              <w:rPr>
                <w:sz w:val="16"/>
                <w:szCs w:val="16"/>
                <w:color w:val="auto"/>
              </w:rPr>
            </w:pPr>
          </w:p>
        </w:tc>
        <w:tc>
          <w:tcPr>
            <w:tcW w:w="260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2,323,412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2,164,211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2,380,709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2,255,337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2,419,834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2,260,633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2,380,709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2,255,337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2,768,855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2,610,216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2,553,799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2,408,895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19,231,410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17,648,573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19,148,302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17,583,347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25,086,615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23,322,018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24,946,089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23,285,253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2023 and December 31, 2022 the additional capital conservation buffer in effect was 2.50%</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4,881,934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4,683,790</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46,896</w:t>
            </w: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Credit and Certain Equity Investments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investment balance, any future funding commitments and the balance of any related loans to the entity. Loans to these entities are underwritten in substantially the same manner as other loans and are generally secured.</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invested by United and any future funding commitments.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as of the dates indicated, tax credit and certain equity method investments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tcPr>
          <w:p>
            <w:pPr>
              <w:spacing w:after="0"/>
              <w:rPr>
                <w:sz w:val="18"/>
                <w:szCs w:val="18"/>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2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1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Renewable energy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0" w:type="dxa"/>
            <w:vAlign w:val="bottom"/>
          </w:tcPr>
          <w:p>
            <w:pPr>
              <w:spacing w:after="0"/>
              <w:rPr>
                <w:sz w:val="1"/>
                <w:szCs w:val="1"/>
                <w:color w:val="auto"/>
              </w:rPr>
            </w:pPr>
          </w:p>
        </w:tc>
      </w:tr>
      <w:tr>
        <w:trPr>
          <w:trHeight w:val="213"/>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18,781</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Fintech funds and certain other equity method investments:</w:t>
            </w: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0"/>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not included in carrying amount</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March 31, 2023 and December 31, 2022 and our results of operations for the three months ended March 31, 2023 and 2022.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2022 10-K, and the other reports we have filed with the SEC after we filed the 2022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through a 207 branch network throughout Georgia, South Carolina, North Carolina, Tennessee, Florida and Alabama. We have grown organically as well as through strategic acquisitions. At March 31, 2023, we had consolidated total assets of $25.9 billion and 3,052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Mergers and Acquisitions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 2023, we completed the acquisition of Progress, which operated 13 offices primarily located in Alabama and the Florida Panhandle. We acquired $1.90 billion of assets and assumed $1.60 billion of liabilities in the acquisition, which included $1.44 billion in loans and $1.33 billion in deposits.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13, 2023, we announced an agreement to acquire First Miami, which we plan to complete in the third quarter of 2023. First Miami is headquartered in South Miami, Florida, and operates 3 offices in the Miami metropolitan area. As of March 31, 2023, First Miami had total assets of $986 million, total loans of $606 million, and total deposits of $822 million. In addition to traditional banking products, First Miami offers private banking, trust and wealth management with approximately $320 million in assets under administration.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$62.3 million and $0.52, respectively, for the first quarter of 2023. This compared to net income and diluted earnings per common share of $48.0 million and $0.43, respectively, for the same period in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reported net income - operating (non-GAAP) of $69.0 million for the first quarter of 2023, compared to $55.1 million for the same period in 2022. For the first quarters of 2023 and 2022, net income - operating (non-GAAP) excludes merger-related and other charges, which net of tax, totaled $6.68 million and $7.05 million,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revenue increased to $211 million for the first quarter of 2023, compared to $164 million for the first quarter of 2022. The increase was due to several factors including loan growth, both organic and from the acquisition of Progress, and higher interest rates earned on our average loan and securities portfolios. The increase in interest revenue was partially offset by higher rates paid on deposits, a less favorable deposit mix and utilization of wholesale borrowings, which are more costly than customer deposits. The net interest margin increased to 3.61% for the three months ended March 31, 2023 from 2.97% for the same period in 2022 primarily due to the effect of the rising interest rate environment on our asset sensitive balance sheet.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provision for credit losses of $21.8 million and $23.1 million for the first quarters of 2023 and 2022, respectively. Provision expense for the first quarters of 2023 and 2022 included initial provisions for credit losses on non-PCD loans and unfunded commitments acquired from Progress and Reliant of $10.4 million and $18.3 million, respectively. We recognized higher net charge-offs for the first quarter of 2023 of $7.08 million compared to $2.98 million for the same period in 2022, which partially offset the decrease in acquisition-related provision for credit losses for the first quarter of 2023.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of $30.2 million for the first quarter of 2023 was down $8.76 million, or 22%, from the first quarter of 2022, primarily driven by the $11.6 million decrease in mortgage loan gains and related fees due to lower mortgage production in the current rising interest rate environment. The decrease in mortgage income was partially offset by an increase in lending and loan servicing fees, lower securities losses and gains on other investments compared to losses in the same period of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2023, noninterest expenses of $140 million increased $20.5 million, or 17%, compared to the same period of 2022. The increase was primarily attributable to a $7.69 million increase in salaries and employee benefits, mostly driven by the addition of Progress employees. Other contributors to the increase included increases in FDIC assessment expense and amortization of intangibles, which was driven by the addition of the Progress core deposit intangible.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2022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8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Fourth</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gridSpan w:val="2"/>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2023 - 2022</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279,487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240,831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213,887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187,378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171,059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68,017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30,943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14,113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8,475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7,267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211,470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209,888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199,774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178,903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163,792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21,783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19,831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23,086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30,209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33,354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31,922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38,973</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219,896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223,411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216,304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206,757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179,679</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139,805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117,329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112,755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120,790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119,275</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106,082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103,549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85,967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60,404</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24,632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22,388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12,385</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81,450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81,161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48,019</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68,976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82,597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82,522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72,410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55,072</w:t>
            </w:r>
          </w:p>
        </w:tc>
        <w:tc>
          <w:tcPr>
            <w:tcW w:w="11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0.43</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Diluted net income - operating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0.50</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0.21</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24.38</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17.08</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Return on common equity - GAAP </w:t>
            </w:r>
            <w:r>
              <w:rPr>
                <w:rFonts w:ascii="Times New Roman" w:cs="Times New Roman" w:eastAsia="Times New Roman" w:hAnsi="Times New Roman"/>
                <w:sz w:val="18"/>
                <w:szCs w:val="18"/>
                <w:color w:val="auto"/>
                <w:vertAlign w:val="superscript"/>
              </w:rPr>
              <w:t>(2)(4)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common equity - operating </w:t>
            </w:r>
            <w:r>
              <w:rPr>
                <w:rFonts w:ascii="Times New Roman" w:cs="Times New Roman" w:eastAsia="Times New Roman" w:hAnsi="Times New Roman"/>
                <w:sz w:val="18"/>
                <w:szCs w:val="18"/>
                <w:color w:val="auto"/>
                <w:vertAlign w:val="superscript"/>
              </w:rPr>
              <w:t>(1)(2)(4)</w:t>
            </w: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tangible common equity - operating </w:t>
            </w:r>
            <w:r>
              <w:rPr>
                <w:rFonts w:ascii="Times New Roman" w:cs="Times New Roman" w:eastAsia="Times New Roman" w:hAnsi="Times New Roman"/>
                <w:sz w:val="18"/>
                <w:szCs w:val="18"/>
                <w:color w:val="auto"/>
                <w:vertAlign w:val="superscript"/>
              </w:rPr>
              <w:t>(1)(2)(3)(4)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assets - operating </w:t>
            </w:r>
            <w:r>
              <w:rPr>
                <w:rFonts w:ascii="Times New Roman" w:cs="Times New Roman" w:eastAsia="Times New Roman" w:hAnsi="Times New Roman"/>
                <w:sz w:val="18"/>
                <w:szCs w:val="18"/>
                <w:color w:val="auto"/>
                <w:vertAlign w:val="superscript"/>
              </w:rPr>
              <w:t>(1)(4)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53.09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Tangible common equity to tangible assets </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40,816</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176,534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159,357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148,502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136,925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132,805</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Net charge-offs to average loans </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14,316</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6,410</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24,009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24,374</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22,005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19,877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21,056</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2,695</w:t>
            </w:r>
          </w:p>
        </w:tc>
        <w:tc>
          <w:tcPr>
            <w:tcW w:w="11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shares outstanding (thousands)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106,223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106,163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106,034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106,025</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8"/>
        <w:spacing w:after="0" w:line="250" w:lineRule="auto"/>
        <w:tabs>
          <w:tab w:leader="none" w:pos="13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Excludes merger-related and other charges.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Net income less preferred stock dividends, divided by average realized common equity, which excludes AOCI.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Excludes effect of acquisition related intangibles and associated amortization.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Annualized.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First Quarter</w:t>
            </w:r>
          </w:p>
        </w:tc>
        <w:tc>
          <w:tcPr>
            <w:tcW w:w="12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 reconciliation</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139,805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117,329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112,755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120,790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119,275</w:t>
            </w:r>
          </w:p>
        </w:tc>
      </w:tr>
      <w:tr>
        <w:trPr>
          <w:trHeight w:val="19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(8,631)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(9,016)</w:t>
            </w:r>
          </w:p>
        </w:tc>
      </w:tr>
      <w:tr>
        <w:trPr>
          <w:trHeight w:val="228"/>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expenses - operating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131,174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115,859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111,009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113,647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110,259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62,300</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81,450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81,161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66,842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48,019</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9,016</w:t>
            </w:r>
          </w:p>
        </w:tc>
      </w:tr>
      <w:tr>
        <w:trPr>
          <w:trHeight w:val="19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(1,575)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(1,963)</w:t>
            </w:r>
          </w:p>
        </w:tc>
      </w:tr>
      <w:tr>
        <w:trPr>
          <w:trHeight w:val="228"/>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 operating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68,976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82,597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82,522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72,410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55,072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0.43</w:t>
            </w: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0.07</w:t>
            </w:r>
          </w:p>
        </w:tc>
      </w:tr>
      <w:tr>
        <w:trPr>
          <w:trHeight w:val="203"/>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5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r>
      <w:tr>
        <w:trPr>
          <w:trHeight w:val="19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(7.30)</w:t>
            </w:r>
          </w:p>
        </w:tc>
      </w:tr>
      <w:tr>
        <w:trPr>
          <w:trHeight w:val="228"/>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17.59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6.80 %</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r>
      <w:tr>
        <w:trPr>
          <w:trHeight w:val="18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7.83</w:t>
            </w: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3.17</w:t>
            </w:r>
          </w:p>
        </w:tc>
      </w:tr>
      <w:tr>
        <w:trPr>
          <w:trHeight w:val="203"/>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14.20 %</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11.00 %</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5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assets (GAAP)</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r>
      <w:tr>
        <w:trPr>
          <w:trHeight w:val="19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r>
      <w:tr>
        <w:trPr>
          <w:trHeight w:val="227"/>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56.58 %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57.43 %</w:t>
            </w: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w:t>
            </w:r>
          </w:p>
        </w:tc>
      </w:tr>
      <w:tr>
        <w:trPr>
          <w:trHeight w:val="202"/>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53.67 %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47.35 %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53.23 %</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53.09 %</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5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11.06 %</w:t>
            </w:r>
          </w:p>
        </w:tc>
      </w:tr>
      <w:tr>
        <w:trPr>
          <w:trHeight w:val="19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(2.94)</w:t>
            </w:r>
          </w:p>
        </w:tc>
      </w:tr>
      <w:tr>
        <w:trPr>
          <w:trHeight w:val="20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(0.40)</w:t>
            </w:r>
          </w:p>
        </w:tc>
      </w:tr>
      <w:tr>
        <w:trPr>
          <w:trHeight w:val="203"/>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7.59 %</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7.72 %</w:t>
            </w:r>
          </w:p>
        </w:tc>
      </w:tr>
      <w:tr>
        <w:trPr>
          <w:trHeight w:val="21"/>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banking industry generally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shareholders’ equity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shareholders’ equity.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revenue for the first quarters of 2023 and 2022 was $211 million and $164 million, respectively. FTE net interest revenue for the first quarter of 2023 was $213 million, representing an increase of $47.6 million, or 29%, from the same period in 2022. The net interest spreads for the first quarters of 2023 and 2022 were 2.87% and 2.88%, respectively. The net interest margins for the first quarters of 2023 and 2022 were 3.61% and 2.97%, respectively. Table 2 shows the relationship between interest revenue and expense and the average amounts of assets and liabilities, which provides further insight into net interest spread and net interest margin for the periods indicated. The following discussion provides additional detail on the average balances and net interest revenue for the first quarters of 2023 and 2022.</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FTE net interest revenue was primarily driven by the $2.66 billion increase in average loans provided by the addition of the Progress loan portfolio as well as organic growth since the first quarter of 2022. As a result, loan interest revenue increased $89.9 million compared to the first quarter of 2022, which included a $1.75 million increase in purchased loan accretion. The increase in loan interest reflects interest revenue on approximately $1.44 billion in loans from the Progress acquisition and higher interest rates. The FOMC raised the targeted federal funds rate a total of 475 basis points beginning March 17, 2022 through the first quarter of 2023. Rising interest rates lifted the yield on the loan portfolio by 150 basis points to 5.68% in the first quarter of 2023 compared with the same period a year ago. Additionally, the $122 million increase in the daily average balance of securities and the 97 basis point increase in the average portfolio yield provided $16.1 million more in FTE interest revenue compared to the same period of last year.</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daily average balance of interest-bearing deposits increased by $644 million, which includes approximately $907 million of interest-bearing deposits received in the acquisition of Progress, partially offset by attrition of excess customer deposit balances that had built up during the COVID 19 pandemic. This decline in the daily average balance of deposits led us to use wholesale funding sources to fund loan growth. In the first quarter of 2023, we had FHLB advances and repurchase agreements outstanding with a total daily average balance of $561 million resulting in additional interest expense of $6.26 million compared with $611,000 of daily average balances outstanding in the first quarter of 2022. This change in funding mix toward more costly wholesale borrowings, combined with higher rates offered on customer deposits, led to a $60.8 million increase in interest expense from the first quarter of 2022. We also saw attrition in our noninterest-bearing deposit balances as rising interest rates offered customers more attractive alternatives. Although the daily average balance of our noninterest-bearing deposits was up $31.2 million from the first quarter of 2022, the acquisition of Progress added approximately $427 million in noninterest-bearing deposits. The attrition of deposit balances, which began soon after the the FOMC began increasing the targeted Federal Funds rate at the end of the first quarter of 2022, appears to have ceased in the first quarter of 2023 with March 31, 2023 customer deposit balances up at an annualized rate of 10% from December 31, 2022, excluding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16,897,372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236,530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5.68 %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14,234,026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146,637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5,848,976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23,851,603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280,592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22,504,367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172,233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1,484,936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1,369,301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25,769,300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24,203,635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17,599</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1.59</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4,667,098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13,696,908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13,052,783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14,582,620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13,372,389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7,697,844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22,637,831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3,131,469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2,786,284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25,769,300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24,203,635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2.87 %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3.61 %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40" w:right="120" w:hanging="332"/>
        <w:spacing w:after="0" w:line="271" w:lineRule="auto"/>
        <w:tabs>
          <w:tab w:leader="none" w:pos="327"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92" w:lineRule="auto"/>
        <w:tabs>
          <w:tab w:leader="none" w:pos="3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51" w:lineRule="auto"/>
        <w:tabs>
          <w:tab w:leader="none" w:pos="336" w:val="left"/>
        </w:tabs>
        <w:numPr>
          <w:ilvl w:val="0"/>
          <w:numId w:val="12"/>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losses on securities, including those related to the transfer from AFS to HTM, have been reclassified to other assets. Pretax unrealized losses of $419 million and $81.2 million in 2023 and 2022, respectively, are included in other assets for purposes of this presentation.</w:t>
      </w:r>
    </w:p>
    <w:p>
      <w:pPr>
        <w:ind w:left="320" w:hanging="312"/>
        <w:spacing w:after="0"/>
        <w:tabs>
          <w:tab w:leader="none" w:pos="32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07" w:lineRule="exact"/>
        <w:rPr>
          <w:sz w:val="20"/>
          <w:szCs w:val="20"/>
          <w:color w:val="auto"/>
        </w:rPr>
      </w:pPr>
    </w:p>
    <w:p>
      <w:pPr>
        <w:ind w:left="20" w:right="500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Table 3 -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020" w:type="dxa"/>
            <w:vAlign w:val="bottom"/>
            <w:tcBorders>
              <w:bottom w:val="single" w:sz="8" w:color="auto"/>
            </w:tcBorders>
          </w:tcPr>
          <w:p>
            <w:pPr>
              <w:spacing w:after="0"/>
              <w:rPr>
                <w:sz w:val="18"/>
                <w:szCs w:val="18"/>
                <w:color w:val="auto"/>
              </w:rPr>
            </w:pPr>
          </w:p>
        </w:tc>
      </w:tr>
      <w:tr>
        <w:trPr>
          <w:trHeight w:val="211"/>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Compared to 2022 Increase (Decrease) Due to Changes in</w:t>
            </w:r>
          </w:p>
        </w:tc>
      </w:tr>
      <w:tr>
        <w:trPr>
          <w:trHeight w:val="208"/>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500" w:type="dxa"/>
            <w:vAlign w:val="bottom"/>
          </w:tcPr>
          <w:p>
            <w:pPr>
              <w:spacing w:after="0"/>
              <w:rPr>
                <w:sz w:val="18"/>
                <w:szCs w:val="18"/>
                <w:color w:val="auto"/>
              </w:rPr>
            </w:pPr>
          </w:p>
        </w:tc>
        <w:tc>
          <w:tcPr>
            <w:tcW w:w="10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(FTE)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89,893</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16,866</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 (FTE)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w:t>
            </w: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78,696</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108,359</w:t>
            </w:r>
          </w:p>
        </w:tc>
      </w:tr>
      <w:tr>
        <w:trPr>
          <w:trHeight w:val="199"/>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24,054</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11,779</w:t>
            </w:r>
          </w:p>
        </w:tc>
      </w:tr>
      <w:tr>
        <w:trPr>
          <w:trHeight w:val="21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54,730</w:t>
            </w:r>
          </w:p>
        </w:tc>
      </w:tr>
      <w:tr>
        <w:trPr>
          <w:trHeight w:val="199"/>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&amp; other borrowings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7"/>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6,020</w:t>
            </w: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54,032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60,750</w:t>
            </w:r>
          </w:p>
        </w:tc>
      </w:tr>
      <w:tr>
        <w:trPr>
          <w:trHeight w:val="199"/>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1"/>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 in net interest revenue (FTE)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 provision for credit losses of $21.8 million for the three months ended March 31, 2023, compared to $23.1 million for the same period of 2022. The amount of provision recorded in each period was the amount required such that the total ACL reflected the appropriate balance as determined by management reflecting expected life of loan losses. The provision recorded for the first quarter of 2023 included the initial provision for credit losses on Progress non-PCD loans and unfunded commitments of $8.80 million and $1.65 million, respectively. The provision for credit losses for the first quarter of 2022 included the initial provision for credit losses on Reliant non-PCD loans and unfunded commitments of $15.2 million and $3.12 million, respectively. The decrease in acquisition-related provision in the first quarter of 2023 was partially offset by provision expense related to organic loan growth and higher net charge-offs relative to the first quarter of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2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Overdraft fees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ATM and debit card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Wealth management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Customer derivatives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Other investment gains (losses)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BOLI</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 gains and related fees consist primarily of fees earned on mortgage originations, gains on the sale of mortgages in the secondary market, mortgage derivative hedging gains and losses and fair value adjustments to our mortgage servicing asset. The change in mortgage income is strongly tied to the interest rate environment and industry conditions. We recognize the majority of fees on mortgages when customers enter into mortgage rate lock commitments, making our mortgage rate lock volume a significant driver of mortgage gains in any given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mortgage loan gains and related fees was primarily a result of the decrease in mortgage refinance and mortgage rate lock demand compared to the first quarter of 2022, as shown in the following table. In addition, during the first quarter of 2023, we recorded a $1.10 million negative fair value adjustment, including decay, to the mortgage servicing rights asset, compared to a $5.31 million positive fair value adjustment, including decay, during the first quarter of 2022.</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Table 5 - Mortgage Loan Metrics </w:t>
      </w:r>
      <w:r>
        <w:rPr>
          <w:rFonts w:ascii="Times New Roman" w:cs="Times New Roman" w:eastAsia="Times New Roman" w:hAnsi="Times New Roman"/>
          <w:sz w:val="23"/>
          <w:szCs w:val="23"/>
          <w:b w:val="1"/>
          <w:bCs w:val="1"/>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4"/>
          </w:tcPr>
          <w:p>
            <w:pPr>
              <w:jc w:val="right"/>
              <w:ind w:right="579"/>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212"/>
        </w:trPr>
        <w:tc>
          <w:tcPr>
            <w:tcW w:w="5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30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rate locks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334,697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757,348</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(56)%</w:t>
            </w:r>
          </w:p>
        </w:tc>
        <w:tc>
          <w:tcPr>
            <w:tcW w:w="1540" w:type="dxa"/>
            <w:vAlign w:val="bottom"/>
            <w:tcBorders>
              <w:top w:val="single" w:sz="8" w:color="CCEEFF"/>
            </w:tcBorders>
            <w:shd w:val="clear" w:color="auto" w:fill="CCEEFF"/>
          </w:tcPr>
          <w:p>
            <w:pPr>
              <w:spacing w:after="0"/>
              <w:rPr>
                <w:sz w:val="18"/>
                <w:szCs w:val="18"/>
                <w:color w:val="auto"/>
              </w:rPr>
            </w:pPr>
          </w:p>
        </w:tc>
      </w:tr>
      <w:tr>
        <w:trPr>
          <w:trHeight w:val="213"/>
        </w:trPr>
        <w:tc>
          <w:tcPr>
            <w:tcW w:w="53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 of mortgage rate locks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(52)</w:t>
            </w:r>
          </w:p>
        </w:tc>
        <w:tc>
          <w:tcPr>
            <w:tcW w:w="1540" w:type="dxa"/>
            <w:vAlign w:val="bottom"/>
          </w:tcPr>
          <w:p>
            <w:pPr>
              <w:spacing w:after="0"/>
              <w:rPr>
                <w:sz w:val="18"/>
                <w:szCs w:val="18"/>
                <w:color w:val="auto"/>
              </w:rPr>
            </w:pPr>
          </w:p>
        </w:tc>
      </w:tr>
      <w:tr>
        <w:trPr>
          <w:trHeight w:val="219"/>
        </w:trPr>
        <w:tc>
          <w:tcPr>
            <w:tcW w:w="5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53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Mortgage loans sold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207,152</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(62)</w:t>
            </w:r>
          </w:p>
        </w:tc>
        <w:tc>
          <w:tcPr>
            <w:tcW w:w="1540" w:type="dxa"/>
            <w:vAlign w:val="bottom"/>
          </w:tcPr>
          <w:p>
            <w:pPr>
              <w:spacing w:after="0"/>
              <w:rPr>
                <w:sz w:val="18"/>
                <w:szCs w:val="18"/>
                <w:color w:val="auto"/>
              </w:rPr>
            </w:pPr>
          </w:p>
        </w:tc>
      </w:tr>
      <w:tr>
        <w:trPr>
          <w:trHeight w:val="219"/>
        </w:trPr>
        <w:tc>
          <w:tcPr>
            <w:tcW w:w="53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 of mortgage loans sold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6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(63)</w:t>
            </w:r>
          </w:p>
        </w:tc>
        <w:tc>
          <w:tcPr>
            <w:tcW w:w="1540" w:type="dxa"/>
            <w:vAlign w:val="bottom"/>
            <w:shd w:val="clear" w:color="auto" w:fill="CCEEFF"/>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530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Purchases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192,693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313,512</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(39)</w:t>
            </w: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Refinances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148,445</w:t>
            </w:r>
          </w:p>
        </w:tc>
        <w:tc>
          <w:tcPr>
            <w:tcW w:w="16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(79)</w:t>
            </w:r>
          </w:p>
        </w:tc>
        <w:tc>
          <w:tcPr>
            <w:tcW w:w="1540" w:type="dxa"/>
            <w:vAlign w:val="bottom"/>
            <w:shd w:val="clear" w:color="auto" w:fill="CCEEFF"/>
          </w:tcPr>
          <w:p>
            <w:pPr>
              <w:spacing w:after="0"/>
              <w:rPr>
                <w:sz w:val="18"/>
                <w:szCs w:val="18"/>
                <w:color w:val="auto"/>
              </w:rPr>
            </w:pPr>
          </w:p>
        </w:tc>
      </w:tr>
      <w:tr>
        <w:trPr>
          <w:trHeight w:val="212"/>
        </w:trPr>
        <w:tc>
          <w:tcPr>
            <w:tcW w:w="5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224,545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461,957</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(51)</w:t>
            </w:r>
          </w:p>
        </w:tc>
        <w:tc>
          <w:tcPr>
            <w:tcW w:w="1540" w:type="dxa"/>
            <w:vAlign w:val="bottom"/>
          </w:tcPr>
          <w:p>
            <w:pPr>
              <w:spacing w:after="0"/>
              <w:rPr>
                <w:sz w:val="18"/>
                <w:szCs w:val="18"/>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0"/>
        </w:trPr>
        <w:tc>
          <w:tcPr>
            <w:tcW w:w="53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(49)</w:t>
            </w:r>
          </w:p>
        </w:tc>
        <w:tc>
          <w:tcPr>
            <w:tcW w:w="15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balance sheet management activities and market pricing. From time to time, we also sell certain equipment financing receivables. The following table presents loans sold and the corresponding gains recognized on the sales for the periods indicated.</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6 - Other Loan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08"/>
        </w:trPr>
        <w:tc>
          <w:tcPr>
            <w:tcW w:w="4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18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20" w:type="dxa"/>
            <w:vAlign w:val="bottom"/>
          </w:tcPr>
          <w:p>
            <w:pPr>
              <w:spacing w:after="0"/>
              <w:rPr>
                <w:sz w:val="18"/>
                <w:szCs w:val="18"/>
                <w:color w:val="auto"/>
              </w:rPr>
            </w:pPr>
          </w:p>
        </w:tc>
      </w:tr>
      <w:tr>
        <w:trPr>
          <w:trHeight w:val="211"/>
        </w:trPr>
        <w:tc>
          <w:tcPr>
            <w:tcW w:w="4460" w:type="dxa"/>
            <w:vAlign w:val="bottom"/>
            <w:tcBorders>
              <w:top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220" w:type="dxa"/>
            <w:vAlign w:val="bottom"/>
            <w:tcBorders>
              <w:top w:val="single" w:sz="8" w:color="CCEEFF"/>
            </w:tcBorders>
            <w:shd w:val="clear" w:color="auto" w:fill="CCEEFF"/>
          </w:tcPr>
          <w:p>
            <w:pPr>
              <w:spacing w:after="0"/>
              <w:rPr>
                <w:sz w:val="18"/>
                <w:szCs w:val="18"/>
                <w:color w:val="auto"/>
              </w:rPr>
            </w:pPr>
          </w:p>
        </w:tc>
      </w:tr>
      <w:tr>
        <w:trPr>
          <w:trHeight w:val="213"/>
        </w:trPr>
        <w:tc>
          <w:tcPr>
            <w:tcW w:w="446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20" w:type="dxa"/>
            <w:vAlign w:val="bottom"/>
            <w:tcBorders>
              <w:bottom w:val="single" w:sz="8" w:color="CCEEFF"/>
            </w:tcBorders>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 and loan servicing fees increased mostly due to a positive fair value adjustment on our SBA loan servicing asset and volume-driven fee income from our equipment finance business.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quarters of 2023 and 2022, we sold certain securities, which resulted in net securities losses. During 2023, proceeds from sales were used to fund loan growth and repay FHLB advances. During 2022, we strategically reinvested in higher-yielding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investments include deferred compensation plan assets, CRA investments, other equity securities and limited partnership investments. During the first quarter of 2023,we recorded net unrealized gains on these investments, primarily driven by unrealized gains on equity securities compared to net losses during the first quarter of 2022 and equity method income from limited partnership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7 - Noninterest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1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Occupancy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Total excluding merger-related and other charges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half of the year over year increase in operating expenses is due to the acquisition of Progress on January 3, 2023.</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salaries and employee benefits for the first quarter of 2023 compared to the same period of 2022 was primarily driven by the addition of Progress employees. Merit increases, which included annual increases that went into effect for all employees on April 1, 2022 as well as a targeted mid-year 2022 increase in the third quarter, also contributed to the rise in salaries and employee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benefits expense. Although mortgage commissions were down from a year ago, the decrease was mostly offset by lower deferred direct loan origination costs and higher production incentives in other lending areas. Full time equivalent headcount totaled 3,052 at March 31, 2023, up from 2,893 at March 31, 2022.</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Communications and equipment expense increased primarily driven by incremental software contract costs and the growth in our network with the addition of recent acquisitions. The increase in occupancy costs for the first quarter of 2023 compared to the same period of 2022 was mostly attributable to the additional operating lease costs associated with the acquisition of Progress. The decrease in lending and loan servicing expense was driven by lower mortgage loan production compared to that of the first quarter of 2022. The increase in FDIC assessments and other regulatory charges was primarily attributable to the 2 basis point assessment rate increase that went into effect for all banks on January 1, 2023, as well as an increased assessment base driven by higher average total assets partly resulting from the Progress acquisition. Amortization of intangibles increased with the additional customer deposit intangibles recorded as a result of the Progress acquisition. Merger-related charges for the first quarter of 2023 were primarily related to the acquisition of Progress.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March 31, 2023 and December 31, 2022 were $25.9 billion and $24.0 billion, respectively. Total liabilities at March 31, 2023 and December 31, 2022 were $22.8 billion and $21.3 billion, respectively. Shareholders’ equity totaled $3.08 billion and $2.70 billion at March 31, 2023 and December 31,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The following table presents a summary of the loan portfolio by loan type as of March 31, 2023, of which approximately 74% was secured by real estate.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reviews of special mention and substandard performing and non-performing loans, past due loans and portfolio concentrations on a regular basis to identify risk migration and potential charges to the ACL. These items are discussed in a series of</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2022 10-K for additional information on the allowance for credit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Allocation of ACL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20,831</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19,834</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33,607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32,082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28,312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23,504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22,073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26,195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131,018</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118,935</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24,082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10,337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2,043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8,098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176,534</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159,357</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21,389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1" w:lineRule="exact"/>
              <w:rPr>
                <w:sz w:val="20"/>
                <w:szCs w:val="20"/>
                <w:color w:val="auto"/>
              </w:rPr>
            </w:pPr>
            <w:r>
              <w:rPr>
                <w:rFonts w:ascii="Times New Roman" w:cs="Times New Roman" w:eastAsia="Times New Roman" w:hAnsi="Times New Roman"/>
                <w:sz w:val="16"/>
                <w:szCs w:val="16"/>
                <w:color w:val="auto"/>
              </w:rPr>
              <w:t>21,163</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197,923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180,520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nonaccrual loans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increase in the ACL since December 31, 2022 was primarily driven by the acquisition of Progress, which added $13.2 million to the ACL as of the acquisition date. Of this amount, $2.70 million was reclassified from the amortized cost basis of PCD loans, $8.80 million was recorded as provision for loan losses on acquired non-PCD loan balances and $1.65 million was recorded as provision for unfunded commitments on the acquired balance of unfunded commitments. See </w:t>
      </w: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xml:space="preserve"> discussion within this MD&amp;A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10 -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2,929</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r>
      <w:tr>
        <w:trPr>
          <w:trHeight w:val="213"/>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r>
      <w:tr>
        <w:trPr>
          <w:trHeight w:val="237"/>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 (recoveries)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3,058,802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2,618,981</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3,577,883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3,311,373</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2,443,581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2,333,079</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1,771,940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1,460,433</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1,468,538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1,134,584</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2,660,345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1,818,838</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926,806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774,081</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486,686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372,930</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334,754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265,481</w:t>
            </w:r>
          </w:p>
        </w:tc>
      </w:tr>
      <w:tr>
        <w:trPr>
          <w:trHeight w:val="21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168,037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144,246</w:t>
            </w:r>
          </w:p>
        </w:tc>
      </w:tr>
      <w:tr>
        <w:trPr>
          <w:trHeight w:val="212"/>
        </w:trPr>
        <w:tc>
          <w:tcPr>
            <w:tcW w:w="83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16,897,372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14,234,026</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8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0.51</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(0.10)</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0.10</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(0.03)</w:t>
            </w: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0.25</w:t>
            </w: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1.48</w:t>
            </w: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0.08</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The increase in nonaccrual loans since December 31, 2022 is primarily driven by a small number of large loans that moved to nonaccrual status during the first quarter of 2023.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40" w:type="dxa"/>
            <w:vAlign w:val="bottom"/>
            <w:tcBorders>
              <w:bottom w:val="single" w:sz="8" w:color="CCEEFF"/>
            </w:tcBorders>
          </w:tcPr>
          <w:p>
            <w:pPr>
              <w:spacing w:after="0"/>
              <w:rPr>
                <w:sz w:val="18"/>
                <w:szCs w:val="18"/>
                <w:color w:val="auto"/>
              </w:rPr>
            </w:pPr>
          </w:p>
        </w:tc>
      </w:tr>
      <w:tr>
        <w:trPr>
          <w:trHeight w:val="211"/>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72,795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44,232</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Borders>
              <w:bottom w:val="single" w:sz="8" w:color="CCEEFF"/>
            </w:tcBorders>
          </w:tcPr>
          <w:p>
            <w:pPr>
              <w:ind w:left="134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340" w:type="dxa"/>
            <w:vAlign w:val="bottom"/>
            <w:tcBorders>
              <w:bottom w:val="single" w:sz="8" w:color="CCEEFF"/>
            </w:tcBorders>
          </w:tcPr>
          <w:p>
            <w:pPr>
              <w:spacing w:after="0"/>
              <w:rPr>
                <w:sz w:val="18"/>
                <w:szCs w:val="18"/>
                <w:color w:val="auto"/>
              </w:rPr>
            </w:pPr>
          </w:p>
        </w:tc>
      </w:tr>
      <w:tr>
        <w:trPr>
          <w:trHeight w:val="237"/>
        </w:trPr>
        <w:tc>
          <w:tcPr>
            <w:tcW w:w="66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Total NPAs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44,281</w:t>
            </w: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0.29 %</w:t>
            </w:r>
          </w:p>
        </w:tc>
        <w:tc>
          <w:tcPr>
            <w:tcW w:w="1340" w:type="dxa"/>
            <w:vAlign w:val="bottom"/>
            <w:shd w:val="clear" w:color="auto" w:fill="CCEEFF"/>
          </w:tcPr>
          <w:p>
            <w:pPr>
              <w:spacing w:after="0"/>
              <w:rPr>
                <w:sz w:val="18"/>
                <w:szCs w:val="18"/>
                <w:color w:val="auto"/>
              </w:rPr>
            </w:pPr>
          </w:p>
        </w:tc>
      </w:tr>
      <w:tr>
        <w:trPr>
          <w:trHeight w:val="210"/>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340" w:type="dxa"/>
            <w:vAlign w:val="bottom"/>
          </w:tcPr>
          <w:p>
            <w:pPr>
              <w:spacing w:after="0"/>
              <w:rPr>
                <w:sz w:val="18"/>
                <w:szCs w:val="18"/>
                <w:color w:val="auto"/>
              </w:rPr>
            </w:pPr>
          </w:p>
        </w:tc>
      </w:tr>
    </w:tbl>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to place loans on nonaccrual status when, in the opinion of management, the full principal and interest on a loan is not likely to be collected or when the loan becomes 90 days past due. A loan may continue on accrual after 90 days, however,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and December 31, 2022, we had HTM debt securities with a carrying amount of $2.58 billion and $2.61 billion, respectively, and AFS debt securities totaling $3.33 billion and $3.61 billion, respectively. In the first quarter of 2023, we sold $381 million in AFS securities, including approximately $111 million in securities received through the Progress acquisition, primarily for the purpose of providing liquidity to fund loan growth. At March 31, 2023 and December 31, 2022, the securities portfolio represented approximately 23% and 26%, respectively, of total assets.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HTM debt securities had a fair value of $2.21 billion, indicating net unrealized losses of $377 million. Additional unrealized losses on HTM debt securities of $75.4 million (pre-tax) were included in AOCI as a result of the transfer of AFS debt securities to HTM in 2022. Unrealized losses were primarily attributable to changes in interest rates.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March 31, 2023 and December 31, 2022,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may be recorded, with such allowance limited to the amount by which fair value is below amortized cost. Any impairment unrelated to credit factors is recognized in OCI. At March 31, 2023 and December 31, 2022, there was no ACL related to the AFS debt securities portfolio. Unrealized losses at March 31, 2023 and December 31, 2022 primarily reflected the effect of changes in interest rates.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March 31, 2023 and December 31, 2022, the net carrying amount of goodwill was $897 million and $751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Progress in the first quarter of 2023, we recorded goodwill and a core deposit intangible of $146 million and $40.0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The increase in deposits since December 31, 2022 was mostly driven by the deposits assumed in the Progress transaction, although we also generated organic growth by increasing the rates offered on deposits. As of March 31, 2023, we had approximately $8.00 billion of uninsured deposits, of which $2.39 billion was collateralized by investment securities.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12 -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7,540,265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7,643,081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4,769,663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4,350,878</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5,967,017</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Time</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2,703,568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1,781,482</w:t>
            </w:r>
          </w:p>
        </w:tc>
        <w:tc>
          <w:tcPr>
            <w:tcW w:w="1500" w:type="dxa"/>
            <w:vAlign w:val="bottom"/>
            <w:tcBorders>
              <w:bottom w:val="single" w:sz="8" w:color="CCEEFF"/>
            </w:tcBorders>
          </w:tcPr>
          <w:p>
            <w:pPr>
              <w:spacing w:after="0"/>
              <w:rPr>
                <w:sz w:val="18"/>
                <w:szCs w:val="18"/>
                <w:color w:val="auto"/>
              </w:rPr>
            </w:pPr>
          </w:p>
        </w:tc>
      </w:tr>
      <w:tr>
        <w:trPr>
          <w:trHeight w:val="212"/>
        </w:trPr>
        <w:tc>
          <w:tcPr>
            <w:tcW w:w="55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customer deposits</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21,516,918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19,742,458</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Brokered deposits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134,049</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22,004,674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19,876,507</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both March 31, 2023 and December 31, 2022, we had long-term debt outstanding of $325 million, which includes senior debentures, subordinated debentures, and trust preferred securities. Also at March 31, 2023 and December 31, 2022, we had short-term borrowings outstanding of $7.22 million and $159 million, respectively, which was mostly comprised of repurchase agreements, and we had $30.0 million and $550 million, respectively, of FHLB advances outstanding. We began using these short-term funding sources in mid 2022 due to balance attrition in our deposit accounts and our need to fund loan growth. The decrease since December 31, 2022 is a result of the sale of investment securities noted above and growth in customer and brokered deposits which allowed us to fund first quarter loan growth and repay short-term borrowings.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since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23 to the consolidated financial statements included in our 2022 10-K and Note 15 to the consolidated financial statements in this Report for additional information on off-balance sheet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6.97 %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4.33 %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2.25</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2.85</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(3.12)</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(3.88)</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(5.07)</w:t>
            </w:r>
          </w:p>
        </w:tc>
        <w:tc>
          <w:tcPr>
            <w:tcW w:w="1560" w:type="dxa"/>
            <w:vAlign w:val="bottom"/>
          </w:tcPr>
          <w:p>
            <w:pPr>
              <w:spacing w:after="0"/>
              <w:rPr>
                <w:sz w:val="18"/>
                <w:szCs w:val="18"/>
                <w:color w:val="auto"/>
              </w:rPr>
            </w:pPr>
          </w:p>
        </w:tc>
      </w:tr>
    </w:tbl>
    <w:p>
      <w:pPr>
        <w:spacing w:after="0" w:line="2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interest sensitivity model includes significant key assumptions, including an assumption of no change in deposit portfolio size or composition. Additionally, in rising rate environments, we use a deposit beta assumption that is consistent with our experience in the last upward rate cycle from November 2015 to July 2019. The modeled deposit beta, which is measured as the change in our overall non-maturity deposit rate as a percentage of the change in the targeted federal funds rate, was 19%. A higher deposit beta assumption would indicate a less asset sensitive balance sheet and would lower the expected increase in net interest revenue in the increasing rate scenarios.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environment is marked by the most rapid rate increases in decades, which, in part, is making non-bank products, such as U.S. Treasuries and institutional money market funds, more attractive to our deposit customers. For this and other reasons, the banking industry’s deposit base has been shrinking since the first half of 2022. This industry-wide outflow of deposits has increased price competition for bank deposits. As such, industry deposit betas, including ours, have been increasing at a faster pace relative to the last rising rate cycle. Our cumulative deposit beta for the current rising rate cycle, while favorable to peer averages, increased to 22% in the first quarter.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we had sufficient qualifying collateral to provide borrowing capacity for FHLB advances of $1.53 billion, Federal Reserve discount window borrowing capacity of $2.54 billion and Federal Reserve bank term funding program capacity of $1.88 billion. We also had unpledged investment securities of $1.52 billion that could be used as collateral for additional borrowings. In addition, we have the ability to attract retail deposits by competing more aggressively on pricing.</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Company liquidity is managed to a minimum of 15-months of anticipated cash expenditures after considering all of its liquidity needs over this period.</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uses and sources of cash during the three months ended March 31, 2023 are as follows. See the consolidated statement of cash flows for further detail.</w:t>
      </w:r>
    </w:p>
    <w:p>
      <w:pPr>
        <w:spacing w:after="0" w:line="67" w:lineRule="exact"/>
        <w:rPr>
          <w:sz w:val="20"/>
          <w:szCs w:val="20"/>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$90.1 million reflects net income of $62.3 million adjusted for non-cash transactions, gains and losses on sales of securities and other loans, an increase in loans held for sale of $4.70 million and changes in other assets and liabilities. Significant non-cash transactions for the period included a $21.8 million provision for credit losses and net depreciation, amortization, and accretion of $12.1 million.</w:t>
      </w:r>
    </w:p>
    <w:p>
      <w:pPr>
        <w:spacing w:after="0" w:line="8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investing activities of $181 million primarily consisted of proceeds from securities sales, maturities and calls of $496 million partially offset by a net increase in loans of $345 million.</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financing activities of $141 million was driven by net repayments of FHLB advances of $615 million and a net decrease in short-term borrowings of $293 million, combined with dividends on common and preferred stock of $25.4 million, partially offset by an increase in deposits of $793 million.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our liquidity position at March 31, 2023 was sufficient to meet our expected cash flow requirements for the foreseeable future.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March 31, 2023 was $3.08 billion, an increase of $377 million from December 31, 2022 primarily due to equity issued in the Progress acquisition, year-to-date earnings and unrealized gains on AFS securities, partially offset by dividends declared on common and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March 31, 2023 and December 31, 2022. As of March 31, 2023, capital levels remained characterized as “well-capitalized” under regulatory requirements in effect at the time. Additional information related to capital ratios is provided in Note 14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Capital Ratios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March 31, 2023 from that presented in our 2022 10-K. Our interest rate sensitivity position at March 31, 2023 is set forth in Table 13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March 31, 2023.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March 31, 2023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4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Except with respect to the additional risk factors related to the proposed First Miami acquisition, which are set forth on pages 20 through 26 of the prospectus filed with the SEC on April 24, 2023 pursuant to Securities Act Rule 424(b)(3) (and incorporated herein by this reference), there have been no material changes to the risk factors previously disclosed in the 2022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81">
        <w:r>
          <w:rPr>
            <w:rFonts w:ascii="Times New Roman" w:cs="Times New Roman" w:eastAsia="Times New Roman" w:hAnsi="Times New Roman"/>
            <w:sz w:val="18"/>
            <w:szCs w:val="18"/>
            <w:u w:val="single" w:color="auto"/>
            <w:color w:val="0000FF"/>
          </w:rPr>
          <w:t>Agreement and Plan of Merger by and between United Community Banks, Inc. and First Miami Bancorp, Inc. dated as of February</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13, 2023 (incorporated herein by reference from Exhibit 2.1 to the Current Report on Form 8-K of United Community Banks, Inc.</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filed with the SEC on February 15, 2023)</w:t>
        </w:r>
        <w:r>
          <w:rPr>
            <w:rFonts w:ascii="Times New Roman" w:cs="Times New Roman" w:eastAsia="Times New Roman" w:hAnsi="Times New Roman"/>
            <w:sz w:val="18"/>
            <w:szCs w:val="18"/>
            <w:color w:val="000000"/>
          </w:rPr>
          <w:t>.</w:t>
        </w:r>
      </w:hyperlink>
    </w:p>
    <w:p>
      <w:pPr>
        <w:spacing w:after="0" w:line="171" w:lineRule="exact"/>
        <w:rPr>
          <w:rFonts w:ascii="Times New Roman" w:cs="Times New Roman" w:eastAsia="Times New Roman" w:hAnsi="Times New Roman"/>
          <w:sz w:val="18"/>
          <w:szCs w:val="18"/>
          <w:u w:val="single" w:color="auto"/>
          <w:color w:val="0000FF"/>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82">
        <w:r>
          <w:rPr>
            <w:rFonts w:ascii="Times New Roman" w:cs="Times New Roman" w:eastAsia="Times New Roman" w:hAnsi="Times New Roman"/>
            <w:sz w:val="18"/>
            <w:szCs w:val="18"/>
            <w:u w:val="single" w:color="auto"/>
            <w:color w:val="0000FF"/>
          </w:rPr>
          <w:t>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filed on November 5, 2021).</w:t>
        </w:r>
      </w:hyperlink>
    </w:p>
    <w:p>
      <w:pPr>
        <w:spacing w:after="0" w:line="171" w:lineRule="exact"/>
        <w:rPr>
          <w:rFonts w:ascii="Times New Roman" w:cs="Times New Roman" w:eastAsia="Times New Roman" w:hAnsi="Times New Roman"/>
          <w:sz w:val="18"/>
          <w:szCs w:val="18"/>
          <w:u w:val="single" w:color="auto"/>
          <w:color w:val="0000FF"/>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83">
        <w:r>
          <w:rPr>
            <w:rFonts w:ascii="Times New Roman" w:cs="Times New Roman" w:eastAsia="Times New Roman" w:hAnsi="Times New Roman"/>
            <w:sz w:val="18"/>
            <w:szCs w:val="18"/>
            <w:u w:val="single" w:color="auto"/>
            <w:color w:val="0000FF"/>
          </w:rPr>
          <w:t>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11, 2015).</w:t>
        </w:r>
      </w:hyperlink>
    </w:p>
    <w:p>
      <w:pPr>
        <w:spacing w:after="0" w:line="171" w:lineRule="exact"/>
        <w:rPr>
          <w:rFonts w:ascii="Times New Roman" w:cs="Times New Roman" w:eastAsia="Times New Roman" w:hAnsi="Times New Roman"/>
          <w:sz w:val="18"/>
          <w:szCs w:val="18"/>
          <w:u w:val="single" w:color="auto"/>
          <w:color w:val="0000FF"/>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rFonts w:ascii="Times New Roman" w:cs="Times New Roman" w:eastAsia="Times New Roman" w:hAnsi="Times New Roman"/>
          <w:sz w:val="18"/>
          <w:szCs w:val="18"/>
          <w:u w:val="single" w:color="auto"/>
          <w:color w:val="0000FF"/>
        </w:rPr>
      </w:pPr>
    </w:p>
    <w:p>
      <w:pPr>
        <w:jc w:val="both"/>
        <w:ind w:left="1600" w:right="20" w:hanging="557"/>
        <w:spacing w:after="0" w:line="215" w:lineRule="auto"/>
        <w:tabs>
          <w:tab w:leader="none" w:pos="1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March 31, 2023,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ind w:left="1940" w:hanging="335"/>
        <w:spacing w:after="0" w:line="219" w:lineRule="auto"/>
        <w:tabs>
          <w:tab w:leader="none" w:pos="1940" w:val="left"/>
        </w:tabs>
        <w:numPr>
          <w:ilvl w:val="1"/>
          <w:numId w:val="1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in Shareholders’ Equity</w:t>
      </w:r>
    </w:p>
    <w:p>
      <w:pPr>
        <w:ind w:left="1600" w:right="20"/>
        <w:spacing w:after="0" w:line="226" w:lineRule="auto"/>
        <w:rPr>
          <w:sz w:val="20"/>
          <w:szCs w:val="20"/>
          <w:color w:val="auto"/>
        </w:rPr>
      </w:pPr>
      <w:r>
        <w:rPr>
          <w:rFonts w:ascii="Times New Roman" w:cs="Times New Roman" w:eastAsia="Times New Roman" w:hAnsi="Times New Roman"/>
          <w:sz w:val="18"/>
          <w:szCs w:val="18"/>
          <w:color w:val="212529"/>
        </w:rPr>
        <w:t>(unaudited);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1" w:lineRule="exact"/>
        <w:rPr>
          <w:rFonts w:ascii="Times New Roman" w:cs="Times New Roman" w:eastAsia="Times New Roman" w:hAnsi="Times New Roman"/>
          <w:sz w:val="18"/>
          <w:szCs w:val="18"/>
          <w:u w:val="single" w:color="auto"/>
          <w:color w:val="0000FF"/>
        </w:rPr>
      </w:pPr>
    </w:p>
    <w:p>
      <w:pPr>
        <w:ind w:left="1600" w:right="20" w:hanging="557"/>
        <w:spacing w:after="0" w:line="237" w:lineRule="auto"/>
        <w:tabs>
          <w:tab w:leader="none" w:pos="1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March 31, 2023 (formatted in Inline XBRL and included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May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927"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2023</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2023</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March 31, 2023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5, 2023</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5, 2023</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lvl w:ilvl="1">
      <w:lvlJc w:val="left"/>
      <w:lvlText w:val="(%2)"/>
      <w:numFmt w:val="lowerLetter"/>
      <w:start w:val="2"/>
    </w:lvl>
  </w:abstractNum>
  <w:abstractNum w:abstractNumId="14">
    <w:nsid w:val="519B500D"/>
    <w:multiLevelType w:val="hybridMultilevel"/>
    <w:lvl w:ilvl="0">
      <w:lvlJc w:val="left"/>
      <w:lvlText w:val="(%1)"/>
      <w:numFmt w:val="lowerLetter"/>
      <w:start w:val="4"/>
    </w:lvl>
  </w:abstractNum>
  <w:abstractNum w:abstractNumId="15">
    <w:nsid w:val="431BD7B7"/>
    <w:multiLevelType w:val="hybridMultilevel"/>
    <w:lvl w:ilvl="0">
      <w:lvlJc w:val="left"/>
      <w:lvlText w:val="%1"/>
      <w:numFmt w:val="decimal"/>
      <w:start w:val="101"/>
    </w:lvl>
    <w:lvl w:ilvl="1">
      <w:lvlJc w:val="left"/>
      <w:lvlText w:val="(%2)"/>
      <w:numFmt w:val="lowerRoman"/>
      <w:start w:val="3"/>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1" Type="http://schemas.openxmlformats.org/officeDocument/2006/relationships/hyperlink" Target="http://www.sec.gov/Archives/edgar/data/857855/000110465923022325/tm236951d1_ex2-1.htm" TargetMode="External"/><Relationship Id="rId82" Type="http://schemas.openxmlformats.org/officeDocument/2006/relationships/hyperlink" Target="http://www.sec.gov/Archives/edgar/data/857855/000085785521000109/ucbi93021ex31restatedartic.htm" TargetMode="External"/><Relationship Id="rId83"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2023-05-05T12:08:11Z</dcterms:created>
  <dcterms:modified xsi:type="dcterms:W3CDTF">2023-05-05T12:08:11Z</dcterms:modified>
</cp:coreProperties>
</file>