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 PRI</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121,499,282 shares of the registrant’s common stock, par value $1 per share, outstanding as of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2024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2024 filed with the SEC on February 27,</w:t>
            </w:r>
          </w:p>
        </w:tc>
        <w:tc>
          <w:tcPr>
            <w:tcW w:w="40" w:type="dxa"/>
            <w:vAlign w:val="bottom"/>
          </w:tcPr>
          <w:p>
            <w:pPr>
              <w:spacing w:after="0"/>
              <w:rPr>
                <w:sz w:val="14"/>
                <w:szCs w:val="14"/>
                <w:color w:val="auto"/>
              </w:rPr>
            </w:pP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1"/>
                <w:szCs w:val="2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March 31, 2025</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c>
          <w:tcPr>
            <w:tcW w:w="40" w:type="dxa"/>
            <w:vAlign w:val="bottom"/>
          </w:tcPr>
          <w:p>
            <w:pPr>
              <w:spacing w:after="0"/>
              <w:rPr>
                <w:sz w:val="19"/>
                <w:szCs w:val="19"/>
                <w:color w:val="auto"/>
              </w:rPr>
            </w:pPr>
          </w:p>
        </w:tc>
      </w:tr>
      <w:tr>
        <w:trPr>
          <w:trHeight w:val="905"/>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ind w:left="340" w:right="20" w:hanging="332"/>
        <w:spacing w:after="0" w:line="23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jc w:val="both"/>
        <w:ind w:left="3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ind w:left="340" w:right="100" w:hanging="332"/>
        <w:spacing w:after="0" w:line="23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2024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078"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223,712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$1,952,235 and $1,944,126, respectively)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18,425,365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346,234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956,643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(including $110,213 and $116,020 at fair value,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672,330</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27,873,718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6,257,032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17,505,373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17,249,793</w:t>
            </w:r>
          </w:p>
        </w:tc>
        <w:tc>
          <w:tcPr>
            <w:tcW w:w="0" w:type="dxa"/>
            <w:vAlign w:val="bottom"/>
          </w:tcPr>
          <w:p>
            <w:pPr>
              <w:spacing w:after="0"/>
              <w:rPr>
                <w:sz w:val="1"/>
                <w:szCs w:val="1"/>
                <w:color w:val="auto"/>
              </w:rPr>
            </w:pPr>
          </w:p>
        </w:tc>
      </w:tr>
      <w:tr>
        <w:trPr>
          <w:trHeight w:val="207"/>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23,762,405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 (including $80,322 and $93,165 at fair value,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378,004</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24,372,822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24,288,131</w:t>
            </w:r>
          </w:p>
        </w:tc>
        <w:tc>
          <w:tcPr>
            <w:tcW w:w="0" w:type="dxa"/>
            <w:vAlign w:val="bottom"/>
          </w:tcPr>
          <w:p>
            <w:pPr>
              <w:spacing w:after="0"/>
              <w:rPr>
                <w:sz w:val="1"/>
                <w:szCs w:val="1"/>
                <w:color w:val="auto"/>
              </w:rPr>
            </w:pPr>
          </w:p>
        </w:tc>
      </w:tr>
      <w:tr>
        <w:trPr>
          <w:trHeight w:val="19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 3,662 shares Series I issued and</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outstanding; $25,000 per share liquidation preference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119,514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119,514,298 and 119,364,110 shares issued and outstanding, respectively</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Common stock issuable: 584,083 and 600,168 shares,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2,710,279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3,500,896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27,873,718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27,720,258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708"/>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10"/>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4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6"/>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revenue:</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revenue: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including fees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274,056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283,983</w:t>
            </w:r>
          </w:p>
        </w:tc>
      </w:tr>
      <w:tr>
        <w:trPr>
          <w:trHeight w:val="195"/>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Investment securities, including tax exempt of $1,678 and $1,721, respectively</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46,436</w:t>
            </w:r>
          </w:p>
        </w:tc>
      </w:tr>
      <w:tr>
        <w:trPr>
          <w:trHeight w:val="210"/>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w:t>
            </w:r>
          </w:p>
        </w:tc>
      </w:tr>
      <w:tr>
        <w:trPr>
          <w:trHeight w:val="189"/>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335,357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336,728</w:t>
            </w:r>
          </w:p>
        </w:tc>
      </w:tr>
      <w:tr>
        <w:trPr>
          <w:trHeight w:val="18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118,934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133,784</w:t>
            </w:r>
          </w:p>
        </w:tc>
      </w:tr>
      <w:tr>
        <w:trPr>
          <w:trHeight w:val="210"/>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Short-term borrowings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189"/>
        </w:trPr>
        <w:tc>
          <w:tcPr>
            <w:tcW w:w="8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Total interest expense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123,336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137,579</w:t>
            </w:r>
          </w:p>
        </w:tc>
      </w:tr>
      <w:tr>
        <w:trPr>
          <w:trHeight w:val="203"/>
        </w:trPr>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interest revenue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199,149</w:t>
            </w:r>
          </w:p>
        </w:tc>
      </w:tr>
      <w:tr>
        <w:trPr>
          <w:trHeight w:val="162"/>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9,264</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7,511</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gains from sales of other loans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10,752</w:t>
            </w:r>
          </w:p>
        </w:tc>
      </w:tr>
      <w:tr>
        <w:trPr>
          <w:trHeight w:val="20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35,656</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39,587</w:t>
            </w:r>
          </w:p>
        </w:tc>
      </w:tr>
      <w:tr>
        <w:trPr>
          <w:trHeight w:val="190"/>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247,677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238,736</w:t>
            </w:r>
          </w:p>
        </w:tc>
      </w:tr>
      <w:tr>
        <w:trPr>
          <w:trHeight w:val="148"/>
        </w:trPr>
        <w:tc>
          <w:tcPr>
            <w:tcW w:w="8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9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w:t>
            </w:r>
          </w:p>
        </w:tc>
      </w:tr>
      <w:tr>
        <w:trPr>
          <w:trHeight w:val="209"/>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84,985</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7,566</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r>
      <w:tr>
        <w:trPr>
          <w:trHeight w:val="196"/>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8,176</w:t>
            </w:r>
          </w:p>
        </w:tc>
      </w:tr>
      <w:tr>
        <w:trPr>
          <w:trHeight w:val="20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145,002</w:t>
            </w:r>
          </w:p>
        </w:tc>
      </w:tr>
      <w:tr>
        <w:trPr>
          <w:trHeight w:val="18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91,159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80,835</w:t>
            </w:r>
          </w:p>
        </w:tc>
      </w:tr>
      <w:tr>
        <w:trPr>
          <w:trHeight w:val="203"/>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19,746</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18,204</w:t>
            </w:r>
          </w:p>
        </w:tc>
      </w:tr>
      <w:tr>
        <w:trPr>
          <w:trHeight w:val="203"/>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62,631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8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0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8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9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r>
      <w:tr>
        <w:trPr>
          <w:trHeight w:val="21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120,043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119,662</w:t>
            </w:r>
          </w:p>
        </w:tc>
      </w:tr>
      <w:tr>
        <w:trPr>
          <w:trHeight w:val="21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119,743</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7"/>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58"/>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180" w:type="dxa"/>
            <w:vAlign w:val="bottom"/>
          </w:tcPr>
          <w:p>
            <w:pPr>
              <w:spacing w:after="0"/>
              <w:rPr>
                <w:sz w:val="13"/>
                <w:szCs w:val="13"/>
                <w:color w:val="auto"/>
              </w:rPr>
            </w:pPr>
          </w:p>
        </w:tc>
        <w:tc>
          <w:tcPr>
            <w:tcW w:w="1100" w:type="dxa"/>
            <w:vAlign w:val="bottom"/>
            <w:vMerge w:val="restart"/>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7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80" w:type="dxa"/>
            <w:vAlign w:val="bottom"/>
          </w:tcPr>
          <w:p>
            <w:pPr>
              <w:spacing w:after="0"/>
              <w:rPr>
                <w:sz w:val="18"/>
                <w:szCs w:val="18"/>
                <w:color w:val="auto"/>
              </w:rPr>
            </w:pPr>
          </w:p>
        </w:tc>
        <w:tc>
          <w:tcPr>
            <w:tcW w:w="110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8"/>
        </w:trPr>
        <w:tc>
          <w:tcPr>
            <w:tcW w:w="7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91,159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71,413</w:t>
            </w:r>
          </w:p>
        </w:tc>
        <w:tc>
          <w:tcPr>
            <w:tcW w:w="0" w:type="dxa"/>
            <w:vAlign w:val="bottom"/>
          </w:tcPr>
          <w:p>
            <w:pPr>
              <w:spacing w:after="0"/>
              <w:rPr>
                <w:sz w:val="1"/>
                <w:szCs w:val="1"/>
                <w:color w:val="auto"/>
              </w:rPr>
            </w:pPr>
          </w:p>
        </w:tc>
      </w:tr>
      <w:tr>
        <w:trPr>
          <w:trHeight w:val="20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gains</w:t>
            </w:r>
          </w:p>
        </w:tc>
        <w:tc>
          <w:tcPr>
            <w:tcW w:w="1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34,624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26,454</w:t>
            </w: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4"/>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gains on available-for-sale securities</w:t>
            </w:r>
          </w:p>
        </w:tc>
        <w:tc>
          <w:tcPr>
            <w:tcW w:w="180" w:type="dxa"/>
            <w:vAlign w:val="bottom"/>
          </w:tcPr>
          <w:p>
            <w:pPr>
              <w:spacing w:after="0"/>
              <w:rPr>
                <w:sz w:val="16"/>
                <w:szCs w:val="16"/>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34,618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26,450</w:t>
            </w: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 available-for-sale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0"/>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losses on derivatives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0" w:type="dxa"/>
            <w:vAlign w:val="bottom"/>
          </w:tcPr>
          <w:p>
            <w:pPr>
              <w:spacing w:after="0"/>
              <w:rPr>
                <w:sz w:val="1"/>
                <w:szCs w:val="1"/>
                <w:color w:val="auto"/>
              </w:rPr>
            </w:pPr>
          </w:p>
        </w:tc>
      </w:tr>
      <w:tr>
        <w:trPr>
          <w:trHeight w:val="200"/>
        </w:trPr>
        <w:tc>
          <w:tcPr>
            <w:tcW w:w="7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0" w:type="dxa"/>
            <w:vAlign w:val="bottom"/>
          </w:tcPr>
          <w:p>
            <w:pPr>
              <w:spacing w:after="0"/>
              <w:rPr>
                <w:sz w:val="1"/>
                <w:szCs w:val="1"/>
                <w:color w:val="auto"/>
              </w:rPr>
            </w:pPr>
          </w:p>
        </w:tc>
      </w:tr>
      <w:tr>
        <w:trPr>
          <w:trHeight w:val="200"/>
        </w:trPr>
        <w:tc>
          <w:tcPr>
            <w:tcW w:w="7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34,455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26,360</w:t>
            </w:r>
          </w:p>
        </w:tc>
        <w:tc>
          <w:tcPr>
            <w:tcW w:w="0" w:type="dxa"/>
            <w:vAlign w:val="bottom"/>
          </w:tcPr>
          <w:p>
            <w:pPr>
              <w:spacing w:after="0"/>
              <w:rPr>
                <w:sz w:val="1"/>
                <w:szCs w:val="1"/>
                <w:color w:val="auto"/>
              </w:rPr>
            </w:pPr>
          </w:p>
        </w:tc>
      </w:tr>
      <w:tr>
        <w:trPr>
          <w:trHeight w:val="169"/>
        </w:trPr>
        <w:tc>
          <w:tcPr>
            <w:tcW w:w="7240" w:type="dxa"/>
            <w:vAlign w:val="bottom"/>
            <w:gridSpan w:val="2"/>
          </w:tcPr>
          <w:p>
            <w:pPr>
              <w:ind w:left="360"/>
              <w:spacing w:after="0" w:line="169" w:lineRule="exact"/>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rPr>
              <w:t>125,614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(27,841)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97,773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40" w:type="dxa"/>
            <w:vAlign w:val="bottom"/>
            <w:tcBorders>
              <w:bottom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80,835</w:t>
            </w:r>
          </w:p>
        </w:tc>
        <w:tc>
          <w:tcPr>
            <w:tcW w:w="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(18,204)</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62,631</w:t>
            </w: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 available-for-sale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w:t>
            </w:r>
          </w:p>
        </w:tc>
        <w:tc>
          <w:tcPr>
            <w:tcW w:w="0" w:type="dxa"/>
            <w:vAlign w:val="bottom"/>
          </w:tcPr>
          <w:p>
            <w:pPr>
              <w:spacing w:after="0"/>
              <w:rPr>
                <w:sz w:val="1"/>
                <w:szCs w:val="1"/>
                <w:color w:val="auto"/>
              </w:rPr>
            </w:pPr>
          </w:p>
        </w:tc>
      </w:tr>
      <w:tr>
        <w:trPr>
          <w:trHeight w:val="200"/>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0" w:type="dxa"/>
            <w:vAlign w:val="bottom"/>
          </w:tcPr>
          <w:p>
            <w:pPr>
              <w:spacing w:after="0"/>
              <w:rPr>
                <w:sz w:val="1"/>
                <w:szCs w:val="1"/>
                <w:color w:val="auto"/>
              </w:rPr>
            </w:pPr>
          </w:p>
        </w:tc>
      </w:tr>
      <w:tr>
        <w:trPr>
          <w:trHeight w:val="200"/>
        </w:trPr>
        <w:tc>
          <w:tcPr>
            <w:tcW w:w="7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0" w:type="dxa"/>
            <w:vAlign w:val="bottom"/>
          </w:tcPr>
          <w:p>
            <w:pPr>
              <w:spacing w:after="0"/>
              <w:rPr>
                <w:sz w:val="1"/>
                <w:szCs w:val="1"/>
                <w:color w:val="auto"/>
              </w:rPr>
            </w:pPr>
          </w:p>
        </w:tc>
      </w:tr>
      <w:tr>
        <w:trPr>
          <w:trHeight w:val="200"/>
        </w:trPr>
        <w:tc>
          <w:tcPr>
            <w:tcW w:w="7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96"/>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3,547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0" w:type="dxa"/>
            <w:vAlign w:val="bottom"/>
          </w:tcPr>
          <w:p>
            <w:pPr>
              <w:spacing w:after="0"/>
              <w:rPr>
                <w:sz w:val="1"/>
                <w:szCs w:val="1"/>
                <w:color w:val="auto"/>
              </w:rPr>
            </w:pPr>
          </w:p>
        </w:tc>
      </w:tr>
      <w:tr>
        <w:trPr>
          <w:trHeight w:val="198"/>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84,382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(19,194)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65,188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4"/>
                <w:szCs w:val="14"/>
                <w:color w:val="auto"/>
              </w:rPr>
            </w:pPr>
          </w:p>
        </w:tc>
        <w:tc>
          <w:tcPr>
            <w:tcW w:w="98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0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40" w:type="dxa"/>
            <w:vAlign w:val="bottom"/>
            <w:vMerge w:val="continue"/>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119,364,110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2,710,279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3,432,127</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dividends ($0.24 per share)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(29,007)</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103,781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46,407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(1,001)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119,514,298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119,514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2,711,721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754,971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(186,559)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3,500,896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119,010,319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581,219</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(239,192)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3,261,525</w:t>
            </w: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dividends ($0.23 per share)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(27,665)</w:t>
            </w: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80,147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2,956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46,052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119,136,518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119,137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2,702,807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614,612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3,300,110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62,631</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Securities gains,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from sales of other loans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(12,359)</w:t>
            </w:r>
          </w:p>
        </w:tc>
      </w:tr>
      <w:tr>
        <w:trPr>
          <w:trHeight w:val="213"/>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w:t>
            </w:r>
          </w:p>
        </w:tc>
      </w:tr>
      <w:tr>
        <w:trPr>
          <w:trHeight w:val="219"/>
        </w:trPr>
        <w:tc>
          <w:tcPr>
            <w:tcW w:w="8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w:t>
            </w:r>
          </w:p>
        </w:tc>
      </w:tr>
      <w:tr>
        <w:trPr>
          <w:trHeight w:val="207"/>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98,632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88,809</w:t>
            </w:r>
          </w:p>
        </w:tc>
      </w:tr>
      <w:tr>
        <w:trPr>
          <w:trHeight w:val="199"/>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27,051</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229,902</w:t>
            </w: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(302,962)</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in loans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(67,629)</w:t>
            </w: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inflows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r>
      <w:tr>
        <w:trPr>
          <w:trHeight w:val="207"/>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(56,579)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(122,513)</w:t>
            </w:r>
          </w:p>
        </w:tc>
      </w:tr>
      <w:tr>
        <w:trPr>
          <w:trHeight w:val="199"/>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in deposits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FHLB advances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Repayment of FHLB advances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(27,733)</w:t>
            </w:r>
          </w:p>
        </w:tc>
      </w:tr>
      <w:tr>
        <w:trPr>
          <w:trHeight w:val="21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inflows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213"/>
        </w:trPr>
        <w:tc>
          <w:tcPr>
            <w:tcW w:w="8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financing outflows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0"/>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w:t>
            </w:r>
          </w:p>
        </w:tc>
      </w:tr>
      <w:tr>
        <w:trPr>
          <w:trHeight w:val="199"/>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(41,942)</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1,003,875</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1"/>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10,693</w:t>
            </w: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Unsettled securities purchases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2024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necessary accounting adjustments have been made to fairly present the financial position and results of operations in the accompanying financial statements.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2024 10-K.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1,057,067</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543,938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2,338,571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386,351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1,952,235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234,296</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1,058,504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413,600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407,561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308,803</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159,054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1,939,944</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280,245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796,852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143,372</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278,856</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4,507,626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4,322,644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1,946,031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4,436,291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carrying value of pledged securities totaled $3.04 billion and $3.20 billion, respectively. Securities were pledged primarily to secure public deposits.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HTM debt securities as of the dates indicated based on the length of time that individual securities have been in a continuous unrealized loss position.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1,928,019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1,947,757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386,351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124,409</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AFS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887,896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1,195,835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2,832,672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3,442,072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there were 536 AFS debt securities and 302 HTM debt securities that were in an unrealized loss position. United does not intend to sell nor does it believe it will be required to sell securities in an unrealized loss position prior to the recovery of their amortized cost basis. Unrealized losses at March 31, 2025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and December 31, 2024, the majority of HTM securities were considered to have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March 31, 2025 and December 31, 2024. In addition, based on the assessments performed at March 31, 2025 and December 31, 2024,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18,201</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March 31, 2025,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173,880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181,461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33,074</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434,487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55,460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51,582</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65,402</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65,748</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143,836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19,718</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130,888</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157,523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150,606</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1,057,067</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543,938</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3,303,854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1,601,005</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4,507,626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4,322,644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2,338,571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1,952,235</w:t>
            </w:r>
          </w:p>
        </w:tc>
      </w:tr>
      <w:tr>
        <w:trPr>
          <w:trHeight w:val="21"/>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months ended March 31, 2025 and 2024</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r>
      <w:tr>
        <w:trPr>
          <w:trHeight w:val="21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gains, net</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attributable to sales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Federal Reserve stock</w:t>
            </w:r>
          </w:p>
        </w:tc>
        <w:tc>
          <w:tcPr>
            <w:tcW w:w="2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88,008</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88,008</w:t>
            </w:r>
          </w:p>
        </w:tc>
        <w:tc>
          <w:tcPr>
            <w:tcW w:w="1460" w:type="dxa"/>
            <w:vAlign w:val="bottom"/>
          </w:tcPr>
          <w:p>
            <w:pPr>
              <w:spacing w:after="0"/>
              <w:rPr>
                <w:sz w:val="18"/>
                <w:szCs w:val="18"/>
                <w:color w:val="auto"/>
              </w:rPr>
            </w:pP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2,268</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4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Leases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 At March 31, 2025, remaining manufactured housing loans of $1.48 million are included in the consumer classification as manufactured housing is no longer a significant component of loans following the sale of substantially all of that portfolio in 2024.</w:t>
      </w:r>
    </w:p>
    <w:p>
      <w:pPr>
        <w:spacing w:after="0" w:line="200" w:lineRule="exact"/>
        <w:rPr>
          <w:sz w:val="20"/>
          <w:szCs w:val="20"/>
          <w:color w:val="auto"/>
        </w:rPr>
      </w:pP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4,416,058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13,745,124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18,415,843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18,425,365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18,175,980</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160" w:type="dxa"/>
            <w:vAlign w:val="bottom"/>
            <w:shd w:val="clear" w:color="auto" w:fill="CCEEFF"/>
          </w:tcPr>
          <w:p>
            <w:pPr>
              <w:spacing w:after="0"/>
              <w:rPr>
                <w:sz w:val="19"/>
                <w:szCs w:val="19"/>
                <w:color w:val="auto"/>
              </w:rPr>
            </w:pPr>
          </w:p>
        </w:tc>
      </w:tr>
      <w:tr>
        <w:trPr>
          <w:trHeight w:val="210"/>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18,213,391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$58.8 million and $60.1 million on March 31, 2025 and December 31, 2024,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loan portfolio included certain loans specifically pledged to the Federal Reserve as well as loans covered by a blanket lien on qualifying loan types with the FHLB to secure contingent funding sources.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net gain on these loan sales were included in noninterest income on the consolidated statements of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28,323</w:t>
            </w:r>
          </w:p>
        </w:tc>
      </w:tr>
      <w:tr>
        <w:trPr>
          <w:trHeight w:val="237"/>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Past Due and Nonaccrual Loans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3,403,978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3,418,827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4,395,192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4,416,058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2,506,405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1,681,389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1,722,445</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13,655,116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22,237</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13,745,124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3,217,742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1,099,369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171,073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182,535</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18,415,843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3,381,622</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13,402,058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3,199,956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39,180</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91,338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113,579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United had $52.0 million and $75.1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Receivables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equipment financing portfolio includes sales-type and direct financing lease receivables. The components of the net investment in these lease receivables as of March 31, 2025 and December 31, 2024 are provided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97,793</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89,495</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March 31, 2025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2680" w:type="dxa"/>
            <w:vAlign w:val="bottom"/>
            <w:tcBorders>
              <w:bottom w:val="single" w:sz="8" w:color="CCEEFF"/>
            </w:tcBorders>
          </w:tcPr>
          <w:p>
            <w:pPr>
              <w:spacing w:after="0"/>
              <w:rPr>
                <w:sz w:val="19"/>
                <w:szCs w:val="19"/>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13"/>
        </w:trPr>
        <w:tc>
          <w:tcPr>
            <w:tcW w:w="2680" w:type="dxa"/>
            <w:vAlign w:val="bottom"/>
            <w:shd w:val="clear" w:color="auto" w:fill="CCEEFF"/>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26,565</w:t>
            </w:r>
          </w:p>
        </w:tc>
        <w:tc>
          <w:tcPr>
            <w:tcW w:w="268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30,108</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2680" w:type="dxa"/>
            <w:vAlign w:val="bottom"/>
            <w:shd w:val="clear" w:color="auto" w:fill="CCEEFF"/>
          </w:tcPr>
          <w:p>
            <w:pPr>
              <w:spacing w:after="0"/>
              <w:rPr>
                <w:sz w:val="19"/>
                <w:szCs w:val="19"/>
                <w:color w:val="auto"/>
              </w:rPr>
            </w:pPr>
          </w:p>
        </w:tc>
      </w:tr>
      <w:tr>
        <w:trPr>
          <w:trHeight w:val="213"/>
        </w:trPr>
        <w:tc>
          <w:tcPr>
            <w:tcW w:w="268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680" w:type="dxa"/>
            <w:vAlign w:val="bottom"/>
            <w:tcBorders>
              <w:bottom w:val="single" w:sz="8" w:color="CCEEFF"/>
            </w:tcBorders>
          </w:tcPr>
          <w:p>
            <w:pPr>
              <w:spacing w:after="0"/>
              <w:rPr>
                <w:sz w:val="18"/>
                <w:szCs w:val="18"/>
                <w:color w:val="auto"/>
              </w:rPr>
            </w:pP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100,512</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Quality Indicators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utilizes internal risk ratings as the primary credit quality indicator as outlined below:</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Commercial Purpose Loans. </w:t>
      </w:r>
      <w:r>
        <w:rPr>
          <w:rFonts w:ascii="Times New Roman" w:cs="Times New Roman" w:eastAsia="Times New Roman" w:hAnsi="Times New Roman"/>
          <w:sz w:val="18"/>
          <w:szCs w:val="18"/>
          <w:color w:val="auto"/>
        </w:rPr>
        <w:t>United analyzes commercial loans individually on an ongoing basis based on relevant information about the 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to service their debt such as: current financial information, historical payment experience, public information, and current industry and economic trends, among other factors. Commercial loans are categorized by the credit risk ratings of Pass, Special Mention, Substandard and Doubtful. Special Mention, Substandard and Doubtful ratings are defined by regulatory authorities and represent an elevated level of risk due to weaknesses identified related to the credit and/or borrower. Ratings within these categories are based on the severity of the weakness and the likelihood of repayment. Pass loans are considered to have a low probability of default and do not meet the criteria of the other ratings.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pass/fail grading system to all consumer purpose loans. Under this system, loans that are on nonaccrual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150,775</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448,528</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524,760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614,652</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514,570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890,850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112,206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3,278,013</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59,731</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24,023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81,083</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452,810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544,314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664,739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538,978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927,662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3,418,827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200,163</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463,350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490,293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961,242</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897,443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1,093,458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4,168,094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58,985</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188,979</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511,174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998,862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903,617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1,181,945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4,416,058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148,754</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452,321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412,622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233,471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195,458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293,949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612,484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2,362,767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63,196</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80,442</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463,226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258,306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308,002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2,506,405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3,362</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115,516</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415,715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336,528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481,619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150,147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1,600,684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30,155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47,368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422,539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526,817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1,681,389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230,884</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631,599</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414,829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291,545</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102,181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1,708,790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10,119</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632,479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417,690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296,095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1,722,445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w:t>
            </w:r>
          </w:p>
        </w:tc>
        <w:tc>
          <w:tcPr>
            <w:tcW w:w="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34,286</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119,726</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327,970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1,002,271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969,663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732,535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3,189,412</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28,330</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34,286</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121,707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331,641</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1,010,032</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972,716</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744,252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3,217,742</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1,064,489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1,094,513</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4,856</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1,064,562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1,099,369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89,598</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35,617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170,180</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89,598</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36,285</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16,603</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171,073</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67,519</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181,072</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0" w:type="dxa"/>
            <w:vAlign w:val="bottom"/>
          </w:tcPr>
          <w:p>
            <w:pPr>
              <w:spacing w:after="0"/>
              <w:rPr>
                <w:sz w:val="1"/>
                <w:szCs w:val="1"/>
                <w:color w:val="auto"/>
              </w:rPr>
            </w:pPr>
          </w:p>
        </w:tc>
      </w:tr>
      <w:tr>
        <w:trPr>
          <w:trHeight w:val="209"/>
        </w:trPr>
        <w:tc>
          <w:tcPr>
            <w:tcW w:w="3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67,843</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182,535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40" w:type="dxa"/>
            <w:vAlign w:val="bottom"/>
            <w:gridSpan w:val="2"/>
          </w:tcPr>
          <w:p>
            <w:pPr>
              <w:jc w:val="right"/>
              <w:ind w:right="122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1,211</w:t>
            </w:r>
          </w:p>
        </w:tc>
        <w:tc>
          <w:tcPr>
            <w:tcW w:w="100" w:type="dxa"/>
            <w:vAlign w:val="bottom"/>
          </w:tcPr>
          <w:p>
            <w:pPr>
              <w:spacing w:after="0"/>
              <w:rPr>
                <w:sz w:val="12"/>
                <w:szCs w:val="12"/>
                <w:color w:val="auto"/>
              </w:rPr>
            </w:pPr>
          </w:p>
        </w:tc>
        <w:tc>
          <w:tcPr>
            <w:tcW w:w="18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92</w:t>
            </w:r>
          </w:p>
        </w:tc>
        <w:tc>
          <w:tcPr>
            <w:tcW w:w="280" w:type="dxa"/>
            <w:vAlign w:val="bottom"/>
            <w:gridSpan w:val="2"/>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20" w:type="dxa"/>
            <w:vAlign w:val="bottom"/>
            <w:vMerge w:val="restart"/>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455,248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540,913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621,020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555,846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507,121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425,932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120,574</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21,867</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3,248,521</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61,299</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88,397</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454,747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3,398,217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468,247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477,887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977,090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896,096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614,584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606,395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50,955</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4,106,279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56,781</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197,860</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464,843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440,557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270,459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125,964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180,262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583,147</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2,272,032</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73,818</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82,526</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2,428,376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tcPr>
          <w:p>
            <w:pPr>
              <w:spacing w:after="0"/>
              <w:rPr>
                <w:sz w:val="13"/>
                <w:szCs w:val="13"/>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448,497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348,179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495,712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1,574,008</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61,012</w:t>
            </w:r>
          </w:p>
        </w:tc>
        <w:tc>
          <w:tcPr>
            <w:tcW w:w="0" w:type="dxa"/>
            <w:vAlign w:val="bottom"/>
          </w:tcPr>
          <w:p>
            <w:pPr>
              <w:spacing w:after="0"/>
              <w:rPr>
                <w:sz w:val="1"/>
                <w:szCs w:val="1"/>
                <w:color w:val="auto"/>
              </w:rPr>
            </w:pPr>
          </w:p>
        </w:tc>
      </w:tr>
      <w:tr>
        <w:trPr>
          <w:trHeight w:val="183"/>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1,655,710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693,205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454,501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328,490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1,648,774</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1,662,501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321,804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1,015,693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989,673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402,894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347,249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3,201,429</w:t>
            </w: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30,050</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123,436</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1,024,615</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992,083</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404,642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w:t>
            </w:r>
          </w:p>
        </w:tc>
        <w:tc>
          <w:tcPr>
            <w:tcW w:w="10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3,231,479</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1,059,631</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1,064,874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3"/>
                <w:szCs w:val="13"/>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178,263</w:t>
            </w: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178,405</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81"/>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manufactured housing</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197"/>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84,100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186,220</w:t>
            </w:r>
          </w:p>
        </w:tc>
        <w:tc>
          <w:tcPr>
            <w:tcW w:w="0" w:type="dxa"/>
            <w:vAlign w:val="bottom"/>
          </w:tcPr>
          <w:p>
            <w:pPr>
              <w:spacing w:after="0"/>
              <w:rPr>
                <w:sz w:val="1"/>
                <w:szCs w:val="1"/>
                <w:color w:val="auto"/>
              </w:rPr>
            </w:pPr>
          </w:p>
        </w:tc>
      </w:tr>
      <w:tr>
        <w:trPr>
          <w:trHeight w:val="191"/>
        </w:trPr>
        <w:tc>
          <w:tcPr>
            <w:tcW w:w="2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84,101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44,007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20,374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186,448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540" w:top="1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117" w:right="5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three months ended March 31, 2025 and 2024 are presented in the following tables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8"/>
              </w:rPr>
              <w:t>New FDMs</w:t>
            </w:r>
          </w:p>
        </w:tc>
        <w:tc>
          <w:tcPr>
            <w:tcW w:w="100" w:type="dxa"/>
            <w:vAlign w:val="bottom"/>
          </w:tcPr>
          <w:p>
            <w:pPr>
              <w:spacing w:after="0"/>
              <w:rPr>
                <w:sz w:val="20"/>
                <w:szCs w:val="2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Defaults within 12</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4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months of</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months of</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0" w:type="dxa"/>
            <w:vAlign w:val="bottom"/>
          </w:tcPr>
          <w:p>
            <w:pPr>
              <w:spacing w:after="0"/>
              <w:rPr>
                <w:sz w:val="1"/>
                <w:szCs w:val="1"/>
                <w:color w:val="auto"/>
              </w:rPr>
            </w:pPr>
          </w:p>
        </w:tc>
      </w:tr>
      <w:tr>
        <w:trPr>
          <w:trHeight w:val="211"/>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28,540</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9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loans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40,039</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category and accrual status of loans modified under the terms of a FDM during the previous 12 months on an amortized cost basis as of March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20,393</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0"/>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43,823</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presents the amortized cost by type of FDM and the applicable weighted-average impact of the modifications for the periods indicated.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FDMs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3"/>
                <w:szCs w:val="13"/>
                <w:color w:val="auto"/>
              </w:rPr>
            </w:pPr>
          </w:p>
        </w:tc>
        <w:tc>
          <w:tcPr>
            <w:tcW w:w="3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3"/>
                <w:szCs w:val="13"/>
                <w:color w:val="auto"/>
              </w:rPr>
            </w:pPr>
          </w:p>
        </w:tc>
        <w:tc>
          <w:tcPr>
            <w:tcW w:w="3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2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14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Modification</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Owner occupied CRE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 months</w:t>
            </w:r>
          </w:p>
        </w:tc>
        <w:tc>
          <w:tcPr>
            <w:tcW w:w="0" w:type="dxa"/>
            <w:vAlign w:val="bottom"/>
          </w:tcPr>
          <w:p>
            <w:pPr>
              <w:spacing w:after="0"/>
              <w:rPr>
                <w:sz w:val="1"/>
                <w:szCs w:val="1"/>
                <w:color w:val="auto"/>
              </w:rPr>
            </w:pPr>
          </w:p>
        </w:tc>
      </w:tr>
      <w:tr>
        <w:trPr>
          <w:trHeight w:val="213"/>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months</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8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 xml:space="preserve">Owner occupied CRE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6 months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7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Income producing CRE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28,540</w:t>
            </w: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Commercial &amp; industrial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months</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6 months</w:t>
            </w: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29,085</w:t>
            </w: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400 basis points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equity</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400 basis points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Forgiveness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3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 and Extension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4"/>
                <w:szCs w:val="14"/>
                <w:color w:val="auto"/>
              </w:rPr>
            </w:pPr>
          </w:p>
        </w:tc>
        <w:tc>
          <w:tcPr>
            <w:tcW w:w="3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Payment delay: 4 months;</w:t>
            </w:r>
          </w:p>
        </w:tc>
        <w:tc>
          <w:tcPr>
            <w:tcW w:w="0" w:type="dxa"/>
            <w:vAlign w:val="bottom"/>
          </w:tcPr>
          <w:p>
            <w:pPr>
              <w:spacing w:after="0"/>
              <w:rPr>
                <w:sz w:val="1"/>
                <w:szCs w:val="1"/>
                <w:color w:val="auto"/>
              </w:rPr>
            </w:pPr>
          </w:p>
        </w:tc>
      </w:tr>
      <w:tr>
        <w:trPr>
          <w:trHeight w:val="213"/>
        </w:trPr>
        <w:tc>
          <w:tcPr>
            <w:tcW w:w="2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Extension: 3 years</w:t>
            </w: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8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Extension and payment delay: 8 months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Extension and payment delay: 7 months</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8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 and Extension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7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6"/>
                <w:szCs w:val="16"/>
                <w:color w:val="auto"/>
              </w:rPr>
              <w:t>Rate reduction: 241 basis points; Extension:</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shd w:val="clear" w:color="auto" w:fill="CCEEFF"/>
          </w:tcPr>
          <w:p>
            <w:pPr>
              <w:spacing w:after="0"/>
              <w:rPr>
                <w:sz w:val="14"/>
                <w:szCs w:val="14"/>
                <w:color w:val="auto"/>
              </w:rPr>
            </w:pPr>
          </w:p>
        </w:tc>
        <w:tc>
          <w:tcPr>
            <w:tcW w:w="30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Rate reduction: 444 basis points; Extension: 2</w:t>
            </w:r>
          </w:p>
        </w:tc>
        <w:tc>
          <w:tcPr>
            <w:tcW w:w="0" w:type="dxa"/>
            <w:vAlign w:val="bottom"/>
          </w:tcPr>
          <w:p>
            <w:pPr>
              <w:spacing w:after="0"/>
              <w:rPr>
                <w:sz w:val="1"/>
                <w:szCs w:val="1"/>
                <w:color w:val="auto"/>
              </w:rPr>
            </w:pPr>
          </w:p>
        </w:tc>
      </w:tr>
      <w:tr>
        <w:trPr>
          <w:trHeight w:val="216"/>
        </w:trPr>
        <w:tc>
          <w:tcPr>
            <w:tcW w:w="2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6.5 years</w:t>
            </w: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162"/>
        </w:trPr>
        <w:tc>
          <w:tcPr>
            <w:tcW w:w="2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4"/>
                <w:szCs w:val="14"/>
                <w:color w:val="auto"/>
              </w:rPr>
            </w:pPr>
          </w:p>
        </w:tc>
        <w:tc>
          <w:tcPr>
            <w:tcW w:w="3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Rate reduction: 624 basis points; Extension: 6</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 and Payment Delay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Owner occupied CRE</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80" w:type="dxa"/>
            <w:vAlign w:val="bottom"/>
          </w:tcPr>
          <w:p>
            <w:pPr>
              <w:spacing w:after="0"/>
              <w:rPr>
                <w:sz w:val="14"/>
                <w:szCs w:val="14"/>
                <w:color w:val="auto"/>
              </w:rPr>
            </w:pPr>
          </w:p>
        </w:tc>
        <w:tc>
          <w:tcPr>
            <w:tcW w:w="3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Rate reduction: 75 basis points;</w:t>
            </w:r>
          </w:p>
        </w:tc>
        <w:tc>
          <w:tcPr>
            <w:tcW w:w="0" w:type="dxa"/>
            <w:vAlign w:val="bottom"/>
          </w:tcPr>
          <w:p>
            <w:pPr>
              <w:spacing w:after="0"/>
              <w:rPr>
                <w:sz w:val="1"/>
                <w:szCs w:val="1"/>
                <w:color w:val="auto"/>
              </w:rPr>
            </w:pPr>
          </w:p>
        </w:tc>
      </w:tr>
      <w:tr>
        <w:trPr>
          <w:trHeight w:val="213"/>
        </w:trPr>
        <w:tc>
          <w:tcPr>
            <w:tcW w:w="2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Payment delay: 6 months</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40,039</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delay FDMs in bankruptcy are excluded from the weighted average payment delay calculation.</w:t>
      </w:r>
    </w:p>
    <w:p>
      <w:pPr>
        <w:spacing w:after="0" w:line="70" w:lineRule="exact"/>
        <w:rPr>
          <w:rFonts w:ascii="Times New Roman" w:cs="Times New Roman" w:eastAsia="Times New Roman" w:hAnsi="Times New Roman"/>
          <w:sz w:val="21"/>
          <w:szCs w:val="21"/>
          <w:color w:val="auto"/>
          <w:vertAlign w:val="superscript"/>
        </w:rPr>
      </w:pPr>
    </w:p>
    <w:p>
      <w:pPr>
        <w:ind w:left="160" w:hanging="152"/>
        <w:spacing w:after="0" w:line="233" w:lineRule="auto"/>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Payment delays in this category reflect principal payment delays, while interest payments continue in accordance with loan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 baseline economic forecast had worsened slightly relative to the forecast at December 31, 2024 due to uncertainty related to the federal administration’s policies. At March 31, 2025, United applied qualitative adjustments to decrease the model’s calculated ACL for the residential mortgage, commercial and industrial and commercial construction portfolios to better reflect management’s expectations of future performance as indicated by internal credit performance measures. In addition, at March 31, 2025, United’s qualitative adjustment to estimate losses for loans to borrowers affected by Hurricane Helene added $7.17 million to the ACL balance, compared to $9.80 million at December 31,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the peer data was adjusted for changes in lending practices designed to mitigate the magnitude of losses observed during the 2008 mortgage crisis.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and activity in the ACL by portfolio segment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 2025</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2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20" w:type="dxa"/>
            <w:vAlign w:val="bottom"/>
          </w:tcPr>
          <w:p>
            <w:pPr>
              <w:spacing w:after="0"/>
              <w:rPr>
                <w:sz w:val="12"/>
                <w:szCs w:val="12"/>
                <w:color w:val="auto"/>
              </w:rPr>
            </w:pPr>
          </w:p>
        </w:tc>
        <w:tc>
          <w:tcPr>
            <w:tcW w:w="118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1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8"/>
              </w:rPr>
              <w:t>Ending Balance</w:t>
            </w:r>
          </w:p>
        </w:tc>
        <w:tc>
          <w:tcPr>
            <w:tcW w:w="0" w:type="dxa"/>
            <w:vAlign w:val="bottom"/>
          </w:tcPr>
          <w:p>
            <w:pPr>
              <w:spacing w:after="0"/>
              <w:rPr>
                <w:sz w:val="1"/>
                <w:szCs w:val="1"/>
                <w:color w:val="auto"/>
              </w:rPr>
            </w:pPr>
          </w:p>
        </w:tc>
      </w:tr>
      <w:tr>
        <w:trPr>
          <w:trHeight w:val="212"/>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0" w:type="dxa"/>
            <w:vAlign w:val="bottom"/>
          </w:tcPr>
          <w:p>
            <w:pPr>
              <w:spacing w:after="0"/>
              <w:rPr>
                <w:sz w:val="1"/>
                <w:szCs w:val="1"/>
                <w:color w:val="auto"/>
              </w:rPr>
            </w:pP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45,817</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0" w:type="dxa"/>
            <w:vAlign w:val="bottom"/>
          </w:tcPr>
          <w:p>
            <w:pPr>
              <w:spacing w:after="0"/>
              <w:rPr>
                <w:sz w:val="1"/>
                <w:szCs w:val="1"/>
                <w:color w:val="auto"/>
              </w:rPr>
            </w:pP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0" w:type="dxa"/>
            <w:vAlign w:val="bottom"/>
          </w:tcPr>
          <w:p>
            <w:pPr>
              <w:spacing w:after="0"/>
              <w:rPr>
                <w:sz w:val="1"/>
                <w:szCs w:val="1"/>
                <w:color w:val="auto"/>
              </w:rPr>
            </w:pP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0" w:type="dxa"/>
            <w:vAlign w:val="bottom"/>
          </w:tcPr>
          <w:p>
            <w:pPr>
              <w:spacing w:after="0"/>
              <w:rPr>
                <w:sz w:val="1"/>
                <w:szCs w:val="1"/>
                <w:color w:val="auto"/>
              </w:rPr>
            </w:pP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0" w:type="dxa"/>
            <w:vAlign w:val="bottom"/>
          </w:tcPr>
          <w:p>
            <w:pPr>
              <w:spacing w:after="0"/>
              <w:rPr>
                <w:sz w:val="1"/>
                <w:szCs w:val="1"/>
                <w:color w:val="auto"/>
              </w:rPr>
            </w:pPr>
          </w:p>
        </w:tc>
      </w:tr>
      <w:tr>
        <w:trPr>
          <w:trHeight w:val="211"/>
        </w:trPr>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0" w:type="dxa"/>
            <w:vAlign w:val="bottom"/>
          </w:tcPr>
          <w:p>
            <w:pPr>
              <w:spacing w:after="0"/>
              <w:rPr>
                <w:sz w:val="1"/>
                <w:szCs w:val="1"/>
                <w:color w:val="auto"/>
              </w:rPr>
            </w:pPr>
          </w:p>
        </w:tc>
      </w:tr>
      <w:tr>
        <w:trPr>
          <w:trHeight w:val="239"/>
        </w:trPr>
        <w:tc>
          <w:tcPr>
            <w:tcW w:w="4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217,389</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8"/>
        <w:spacing w:after="0"/>
        <w:tabs>
          <w:tab w:leader="none" w:pos="14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release of ACL presented for manufactured housing loans represents a reclassification of the reserve to the consumer line where these loan balances are reflected as of March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 2024</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240" w:type="dxa"/>
            <w:vAlign w:val="bottom"/>
          </w:tcPr>
          <w:p>
            <w:pPr>
              <w:spacing w:after="0"/>
              <w:rPr>
                <w:sz w:val="13"/>
                <w:szCs w:val="13"/>
                <w:color w:val="auto"/>
              </w:rPr>
            </w:pPr>
          </w:p>
        </w:tc>
        <w:tc>
          <w:tcPr>
            <w:tcW w:w="112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220" w:type="dxa"/>
            <w:vAlign w:val="bottom"/>
          </w:tcPr>
          <w:p>
            <w:pPr>
              <w:spacing w:after="0"/>
              <w:rPr>
                <w:sz w:val="13"/>
                <w:szCs w:val="13"/>
                <w:color w:val="auto"/>
              </w:rPr>
            </w:pPr>
          </w:p>
        </w:tc>
        <w:tc>
          <w:tcPr>
            <w:tcW w:w="116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6"/>
                <w:szCs w:val="16"/>
                <w:b w:val="1"/>
                <w:bCs w:val="1"/>
                <w:color w:val="auto"/>
              </w:rPr>
              <w:t>(Release)</w:t>
            </w:r>
          </w:p>
        </w:tc>
        <w:tc>
          <w:tcPr>
            <w:tcW w:w="240" w:type="dxa"/>
            <w:vAlign w:val="bottom"/>
          </w:tcPr>
          <w:p>
            <w:pPr>
              <w:spacing w:after="0"/>
              <w:rPr>
                <w:sz w:val="13"/>
                <w:szCs w:val="13"/>
                <w:color w:val="auto"/>
              </w:rPr>
            </w:pPr>
          </w:p>
        </w:tc>
        <w:tc>
          <w:tcPr>
            <w:tcW w:w="1060" w:type="dxa"/>
            <w:vAlign w:val="bottom"/>
          </w:tcPr>
          <w:p>
            <w:pPr>
              <w:jc w:val="right"/>
              <w:ind w:right="321"/>
              <w:spacing w:after="0" w:line="150"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4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0" w:type="dxa"/>
            <w:vAlign w:val="bottom"/>
          </w:tcPr>
          <w:p>
            <w:pPr>
              <w:spacing w:after="0"/>
              <w:rPr>
                <w:sz w:val="1"/>
                <w:szCs w:val="1"/>
                <w:color w:val="auto"/>
              </w:rPr>
            </w:pP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46,798</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0" w:type="dxa"/>
            <w:vAlign w:val="bottom"/>
          </w:tcPr>
          <w:p>
            <w:pPr>
              <w:spacing w:after="0"/>
              <w:rPr>
                <w:sz w:val="1"/>
                <w:szCs w:val="1"/>
                <w:color w:val="auto"/>
              </w:rPr>
            </w:pP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20,023</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39,982</w:t>
            </w:r>
          </w:p>
        </w:tc>
        <w:tc>
          <w:tcPr>
            <w:tcW w:w="0" w:type="dxa"/>
            <w:vAlign w:val="bottom"/>
          </w:tcPr>
          <w:p>
            <w:pPr>
              <w:spacing w:after="0"/>
              <w:rPr>
                <w:sz w:val="1"/>
                <w:szCs w:val="1"/>
                <w:color w:val="auto"/>
              </w:rPr>
            </w:pP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0" w:type="dxa"/>
            <w:vAlign w:val="bottom"/>
          </w:tcPr>
          <w:p>
            <w:pPr>
              <w:spacing w:after="0"/>
              <w:rPr>
                <w:sz w:val="1"/>
                <w:szCs w:val="1"/>
                <w:color w:val="auto"/>
              </w:rPr>
            </w:pP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0" w:type="dxa"/>
            <w:vAlign w:val="bottom"/>
          </w:tcPr>
          <w:p>
            <w:pPr>
              <w:spacing w:after="0"/>
              <w:rPr>
                <w:sz w:val="1"/>
                <w:szCs w:val="1"/>
                <w:color w:val="auto"/>
              </w:rPr>
            </w:pPr>
          </w:p>
        </w:tc>
      </w:tr>
      <w:tr>
        <w:trPr>
          <w:trHeight w:val="211"/>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210,934</w:t>
            </w:r>
          </w:p>
        </w:tc>
        <w:tc>
          <w:tcPr>
            <w:tcW w:w="0" w:type="dxa"/>
            <w:vAlign w:val="bottom"/>
          </w:tcPr>
          <w:p>
            <w:pPr>
              <w:spacing w:after="0"/>
              <w:rPr>
                <w:sz w:val="1"/>
                <w:szCs w:val="1"/>
                <w:color w:val="auto"/>
              </w:rPr>
            </w:pPr>
          </w:p>
        </w:tc>
      </w:tr>
      <w:tr>
        <w:trPr>
          <w:trHeight w:val="211"/>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0" w:type="dxa"/>
            <w:vAlign w:val="bottom"/>
          </w:tcPr>
          <w:p>
            <w:pPr>
              <w:spacing w:after="0"/>
              <w:rPr>
                <w:sz w:val="1"/>
                <w:szCs w:val="1"/>
                <w:color w:val="auto"/>
              </w:rPr>
            </w:pPr>
          </w:p>
        </w:tc>
      </w:tr>
      <w:tr>
        <w:trPr>
          <w:trHeight w:val="239"/>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2,582,166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2,591,507</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2,973,892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66,244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2,766,326</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5,556,058</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5,357,833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March 31, 2025 and December 31, 2024,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Over the next twelve months, United expects to reclassify $3.97 million of gains from AOCI into earnings related to these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net interest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line="20" w:lineRule="exact"/>
              <w:rPr>
                <w:sz w:val="1"/>
                <w:szCs w:val="1"/>
                <w:color w:val="auto"/>
              </w:rPr>
            </w:pPr>
          </w:p>
        </w:tc>
      </w:tr>
      <w:tr>
        <w:trPr>
          <w:trHeight w:val="212"/>
        </w:trPr>
        <w:tc>
          <w:tcPr>
            <w:tcW w:w="5060" w:type="dxa"/>
            <w:vAlign w:val="bottom"/>
            <w:vMerge w:val="continue"/>
          </w:tcPr>
          <w:p>
            <w:pPr>
              <w:spacing w:after="0"/>
              <w:rPr>
                <w:sz w:val="18"/>
                <w:szCs w:val="18"/>
                <w:color w:val="auto"/>
              </w:rPr>
            </w:pPr>
          </w:p>
        </w:tc>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3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2,856</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gain recognized on derivative</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9,462</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Gain (loss) recognized on hedged items</w:t>
            </w:r>
          </w:p>
        </w:tc>
        <w:tc>
          <w:tcPr>
            <w:tcW w:w="3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(9,798)</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recognized on AFS securities fair value hedges</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2,520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vMerge w:val="continue"/>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13"/>
        </w:trPr>
        <w:tc>
          <w:tcPr>
            <w:tcW w:w="5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recognized on derivatives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(loss) recognized on hedged items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2"/>
        </w:trPr>
        <w:tc>
          <w:tcPr>
            <w:tcW w:w="5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recognized on loan fair value hedges</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37"/>
        <w:spacing w:after="0" w:line="254" w:lineRule="auto"/>
        <w:tabs>
          <w:tab w:leader="none" w:pos="19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$116,000 and $118,000 for the three months ended March 31, 2025 and 2024, respectively.</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March 31, 2025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December 31, 2024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812,166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821,507</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4,549,948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4,628,030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residential mortgage loans that are originated with the intention of selling them, United enters into commitments to originate residential mortgage loans and forward loan sales commitments.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w:t>
            </w:r>
          </w:p>
        </w:tc>
      </w:tr>
      <w:tr>
        <w:trPr>
          <w:trHeight w:val="214"/>
        </w:trPr>
        <w:tc>
          <w:tcPr>
            <w:tcW w:w="4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106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 Income on</w:t>
            </w: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56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2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4"/>
        </w:trPr>
        <w:tc>
          <w:tcPr>
            <w:tcW w:w="436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Assets and Liabilities Measured at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for an asset or paid to transfer a liability in the principal or most advantageous market available to the entity in an orderly transaction between market participants on the measurement date. Fair values are categorized within a three-level measurement hierarchy: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processes in place to review the significant valuation inputs and to assesses on a quarterly basis how instruments are classified within the valuation framework. Transfers into or out of fair value hierarchy levels are made as the observability of input assumptions change. During the three months ended March 31, 2025, there were no changes to valuation approaches or techniques that warranted a hierarchy level change.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407,561</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308,803</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159,054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2,220,189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804,809</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143,372</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278,856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41,901</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4,470,201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66,244</w:t>
            </w:r>
          </w:p>
        </w:tc>
        <w:tc>
          <w:tcPr>
            <w:tcW w:w="0" w:type="dxa"/>
            <w:vAlign w:val="bottom"/>
          </w:tcPr>
          <w:p>
            <w:pPr>
              <w:spacing w:after="0"/>
              <w:rPr>
                <w:sz w:val="1"/>
                <w:szCs w:val="1"/>
                <w:color w:val="auto"/>
              </w:rPr>
            </w:pPr>
          </w:p>
        </w:tc>
      </w:tr>
      <w:tr>
        <w:trPr>
          <w:trHeight w:val="210"/>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80,322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503,669</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158,232</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2,229,959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248,647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0" w:type="dxa"/>
            <w:vAlign w:val="bottom"/>
          </w:tcPr>
          <w:p>
            <w:pPr>
              <w:spacing w:after="0"/>
              <w:rPr>
                <w:sz w:val="1"/>
                <w:szCs w:val="1"/>
                <w:color w:val="auto"/>
              </w:rPr>
            </w:pPr>
          </w:p>
        </w:tc>
      </w:tr>
      <w:tr>
        <w:trPr>
          <w:trHeight w:val="212"/>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Fair Value Measurements</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significant unobservable inputs related to United’s material categories of Level 3 financial instruments measured at fair value on a recurring basis as of the dates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4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36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40" w:type="dxa"/>
            <w:vAlign w:val="bottom"/>
            <w:gridSpan w:val="4"/>
            <w:vMerge w:val="continue"/>
          </w:tcPr>
          <w:p>
            <w:pPr>
              <w:spacing w:after="0"/>
              <w:rPr>
                <w:sz w:val="18"/>
                <w:szCs w:val="18"/>
                <w:color w:val="auto"/>
              </w:rPr>
            </w:pP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3"/>
                <w:szCs w:val="13"/>
                <w:color w:val="auto"/>
              </w:rPr>
            </w:pPr>
          </w:p>
        </w:tc>
        <w:tc>
          <w:tcPr>
            <w:tcW w:w="122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4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2"/>
            <w:vMerge w:val="continue"/>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10.0 - 12.5</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10.0 - 14.0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6.5 - 25.9</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6.5 - 77.6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model</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50.0 - 100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70.4 - 100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and liabilities - other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0.0 - 7.1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89.3 - 100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beginning and ending balances of Level 3 assets and liabilities measured at fair value on a recurring basis for the periods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SBA/USDA</w:t>
            </w:r>
          </w:p>
        </w:tc>
        <w:tc>
          <w:tcPr>
            <w:tcW w:w="9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Residential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Mortgage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Loan</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162"/>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Servicing</w:t>
            </w:r>
          </w:p>
        </w:tc>
        <w:tc>
          <w:tcPr>
            <w:tcW w:w="860" w:type="dxa"/>
            <w:vAlign w:val="bottom"/>
            <w:gridSpan w:val="3"/>
            <w:vMerge w:val="continue"/>
          </w:tcPr>
          <w:p>
            <w:pPr>
              <w:spacing w:after="0"/>
              <w:rPr>
                <w:sz w:val="14"/>
                <w:szCs w:val="14"/>
                <w:color w:val="auto"/>
              </w:rPr>
            </w:pPr>
          </w:p>
        </w:tc>
        <w:tc>
          <w:tcPr>
            <w:tcW w:w="11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88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Servicing</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4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Bonds</w:t>
            </w:r>
          </w:p>
        </w:tc>
        <w:tc>
          <w:tcPr>
            <w:tcW w:w="10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4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4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Bonds</w:t>
            </w:r>
          </w:p>
        </w:tc>
        <w:tc>
          <w:tcPr>
            <w:tcW w:w="0" w:type="dxa"/>
            <w:vAlign w:val="bottom"/>
          </w:tcPr>
          <w:p>
            <w:pPr>
              <w:spacing w:after="0"/>
              <w:rPr>
                <w:sz w:val="1"/>
                <w:szCs w:val="1"/>
                <w:color w:val="auto"/>
              </w:rPr>
            </w:pPr>
          </w:p>
        </w:tc>
      </w:tr>
      <w:tr>
        <w:trPr>
          <w:trHeight w:val="197"/>
        </w:trPr>
        <w:tc>
          <w:tcPr>
            <w:tcW w:w="24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Transfers from</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Sales and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20" w:type="dxa"/>
            <w:vAlign w:val="bottom"/>
            <w:tcBorders>
              <w:bottom w:val="single" w:sz="8" w:color="CCEEFF"/>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36,086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37,344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8"/>
          </w:tcPr>
          <w:p>
            <w:pPr>
              <w:ind w:left="140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vMerge w:val="restart"/>
          </w:tcPr>
          <w:p>
            <w:pPr>
              <w:ind w:left="20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center"/>
              <w:ind w:right="60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2025 and December 31, 2024, for which a nonrecurring fair value adjustment was recorded during the year-to-date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1"/>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72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investment that are reported above are generally impaired loans that have either been partially charged off or have specific reserves assigned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disclosure provides estimated fair values for financial instruments not carried at fair value on the Consolidated Balance Sheets. 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1,952,235</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17,535,171</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23,762,405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23,758,945</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249,949</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1,944,126</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17,325,630</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23,453,487</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248,657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Reclassifications Out of AOCI</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168"/>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1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300" w:type="dxa"/>
            <w:vAlign w:val="bottom"/>
          </w:tcPr>
          <w:p>
            <w:pPr>
              <w:spacing w:after="0"/>
              <w:rPr>
                <w:sz w:val="14"/>
                <w:szCs w:val="14"/>
                <w:color w:val="auto"/>
              </w:rPr>
            </w:pPr>
          </w:p>
        </w:tc>
      </w:tr>
      <w:tr>
        <w:trPr>
          <w:trHeight w:val="216"/>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59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3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net gains on AFS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13"/>
        </w:trPr>
        <w:tc>
          <w:tcPr>
            <w:tcW w:w="5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gains, net</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59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9"/>
        </w:trPr>
        <w:tc>
          <w:tcPr>
            <w:tcW w:w="5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5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3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5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1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59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Actuarial gain</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2"/>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5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5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41"/>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r>
      <w:tr>
        <w:trPr>
          <w:trHeight w:val="211"/>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62,631</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119,662</w:t>
            </w:r>
          </w:p>
        </w:tc>
      </w:tr>
      <w:tr>
        <w:trPr>
          <w:trHeight w:val="213"/>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no potentially dilutive shares of common stock issuable upon exercise of stock options were excluded from the computation of earnings per share because of their antidilutive effect. For the three months ended March 31, 2024, 984 potentially dilutive shares of common stock issuable upon exercise of stock options were excluded from the computation of earnings per share because of their antidilutive effect.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March 31, 2025,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ratios at March 31, 2025 and December 31, 2024,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00" w:type="dxa"/>
            <w:vAlign w:val="bottom"/>
          </w:tcPr>
          <w:p>
            <w:pPr>
              <w:spacing w:after="0"/>
              <w:rPr>
                <w:sz w:val="16"/>
                <w:szCs w:val="16"/>
                <w:color w:val="auto"/>
              </w:rPr>
            </w:pPr>
          </w:p>
        </w:tc>
        <w:tc>
          <w:tcPr>
            <w:tcW w:w="260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2,645,491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2,608,136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2,516,229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2,733,757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2,696,402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2,516,229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3,008,815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2,982,273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2,726,287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19,909,871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19,655,227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19,840,404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19,582,815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26,930,516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27,059,513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26,858,922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27,014,385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2025 and December 31, 2024, the minimum ratios as presented were subject to an additional capital conservation buffer of 2.50%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significant off-balance sheet instruments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4,086,002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3,970,991</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ANB Holdings, Inc.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2025, United completed the previously announced acquisition of ANB Holdings, Inc. and its wholly-owned subsidiary, American National Bank, collectively referred to as “ANB”. ANB is headquartered in Oakland Park, Florida where it operates one banking location. As of March 31, 2025, American National Bank had total assets of $452 million, total loans of $317 million, and total deposits of $387 million.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ANB shareholders received $65.7 million, or 2,380,952 shares, of United common stock as consideration for the transaction. The acquisition will be accounted for as a business combination. Due to the timing of the acquisition, United is currently in the process of completing the purchase accounting and will make all of the remaining required disclosures as of June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Beginning in April 2025, through May 7, 2025, United repurchased 505,898 shares of common stock for $13.9 million in accordance with its common stock repurchase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Redemption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United has provided a redemption notice to the holders of the 2030 senior debentures of $100 million. Repayment is scheduled to occur during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March 31, 2025 and December 31, 2024 and our results of operations for the three months ended March 31, 2025 and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2024 10-K and the other reports we have filed with the SEC after we filed the 2024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solutions through a 200 branch network throughout Georgia, South Carolina, North Carolina, Tennessee, Florida and Alabama. Our equipment finance and SBA/USDA lending businesses operate throughout the United States. At March 31, 2025, we had consolidated total assets of $27.9 billion and 2,982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$71.4 million and $0.58, respectively, for the first quarter of 2025. This compared to net income and diluted earnings per common share of $62.6 million and $0.51, respectively, for the same period in 2024. We reported total revenue for the first quarters of 2025 and 2024 of $248 million and $239 million,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increased to $212 million for the first quarter of 2025, compared to $199 million for the first quarter of 2024. The increase was mostly driven by a $14.9 million decrease in deposit interest expense as the average rate paid on interest-bearing deposits decreased 42 basis points. The net interest margin increased to 3.36% for the three months ended March 31, 2025 from 3.20% for the same period in 2024, primarily due to the steeper decrease in interest rates paid on deposits compared to the decrease in interest rates earned on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of $35.7 million for the first quarter of 2025 was down $3.93 million, or 10%, from the first quarter of 2024, primarily driven by a $1.39 million decrease in mortgage loan gains and related fees and a $1.85 million decrease in wealth management fees. The decrease in mortgage loan gains and related fees was primarily due to a less favorable fair value adjustment on our mortgage servicing asset. The decrease in wealth management fees reflects the decrease in assets under management following the sale of FinTrust in the fourth quarter of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credit losses of $15.4 million and $12.9 million for the first quarters of 2025 and 2024, respectively. The higher provision expense for the first quarter of 2025 reflects a less favorable economic forecast and net loan growth, partially offset by lower net charge-offs and a partial release of the 2024 reserve related to Hurricane Helene.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2025, noninterest expenses of $141 million decreased by $3.90 million compared to the same period of 2024. The decrease was largely driven by a decrease in FDIC assessment and other regulatory charges of $2.92 million as the first quarter of 2024 included $2.50 million in expense related to the FDIC special assessment.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first quarter of 2025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customary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“tangible book value per common share,” “return on common equity – operating,” “return on tangible common equity – operating,” “return on assets – operating,” “efficiency ratio – operating” and “tangible common equity to tangible assets”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1 - Financial Highlights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Fourth</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12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340" w:type="dxa"/>
            <w:vAlign w:val="bottom"/>
            <w:gridSpan w:val="2"/>
          </w:tcPr>
          <w:p>
            <w:pPr>
              <w:jc w:val="center"/>
              <w:ind w:left="3"/>
              <w:spacing w:after="0" w:line="162" w:lineRule="exact"/>
              <w:rPr>
                <w:sz w:val="20"/>
                <w:szCs w:val="20"/>
                <w:color w:val="auto"/>
              </w:rPr>
            </w:pPr>
            <w:r>
              <w:rPr>
                <w:rFonts w:ascii="Times New Roman" w:cs="Times New Roman" w:eastAsia="Times New Roman" w:hAnsi="Times New Roman"/>
                <w:sz w:val="16"/>
                <w:szCs w:val="16"/>
                <w:b w:val="1"/>
                <w:bCs w:val="1"/>
                <w:color w:val="auto"/>
              </w:rPr>
              <w:t>2025 - 2024</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1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SUMMARY</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revenue</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335,357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344,962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349,086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346,965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336,728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123,336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134,629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139,900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138,265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137,579</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interest revenue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212,021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210,333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209,186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208,700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199,149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20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35,656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40,522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8,091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36,556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39,587</w:t>
            </w:r>
          </w:p>
        </w:tc>
        <w:tc>
          <w:tcPr>
            <w:tcW w:w="1340" w:type="dxa"/>
            <w:vAlign w:val="bottom"/>
            <w:tcBorders>
              <w:bottom w:val="single" w:sz="8" w:color="CCEEFF"/>
            </w:tcBorders>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247,677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250,855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217,277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245,256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238,736</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15,419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11,389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14,428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12,235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12,899</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expenses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141,099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143,056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143,065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147,044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145,002</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4"/>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before income tax expense</w:t>
            </w:r>
          </w:p>
        </w:tc>
        <w:tc>
          <w:tcPr>
            <w:tcW w:w="240" w:type="dxa"/>
            <w:vAlign w:val="bottom"/>
          </w:tcPr>
          <w:p>
            <w:pPr>
              <w:spacing w:after="0"/>
              <w:rPr>
                <w:sz w:val="16"/>
                <w:szCs w:val="16"/>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91,159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96,410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59,784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85,977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80,835</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19,746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20,606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12,437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19,362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18,204</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94"/>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40" w:type="dxa"/>
            <w:vAlign w:val="bottom"/>
          </w:tcPr>
          <w:p>
            <w:pPr>
              <w:spacing w:after="0"/>
              <w:rPr>
                <w:sz w:val="16"/>
                <w:szCs w:val="16"/>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71,413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75,804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47,347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66,615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62,631</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Non-operating items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2,203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29,385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6,493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2,187</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 of non-operating items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(6,276)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(1,462)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(493)</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5"/>
                <w:szCs w:val="15"/>
                <w:b w:val="1"/>
                <w:bCs w:val="1"/>
                <w:color w:val="auto"/>
              </w:rPr>
              <w:t xml:space="preserve">Net income - operating </w:t>
            </w:r>
            <w:r>
              <w:rPr>
                <w:rFonts w:ascii="Times New Roman" w:cs="Times New Roman" w:eastAsia="Times New Roman" w:hAnsi="Times New Roman"/>
                <w:sz w:val="19"/>
                <w:szCs w:val="19"/>
                <w:b w:val="1"/>
                <w:bCs w:val="1"/>
                <w:color w:val="auto"/>
                <w:vertAlign w:val="superscript"/>
              </w:rPr>
              <w:t>(1)</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72,429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77,536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70,456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71,646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64,325</w:t>
            </w:r>
          </w:p>
        </w:tc>
        <w:tc>
          <w:tcPr>
            <w:tcW w:w="1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PERFORMANCE MEASURES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 common share: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Diluted net income - GAAP</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0.51</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Diluted net income - operating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0.52</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dividends declared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0.23</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4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Book value</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28.42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27.87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27.68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27.18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26.83</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Tangible book value </w:t>
            </w:r>
            <w:r>
              <w:rPr>
                <w:rFonts w:ascii="Times New Roman" w:cs="Times New Roman" w:eastAsia="Times New Roman" w:hAnsi="Times New Roman"/>
                <w:sz w:val="19"/>
                <w:szCs w:val="19"/>
                <w:color w:val="auto"/>
                <w:vertAlign w:val="superscript"/>
              </w:rPr>
              <w:t>(3)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18.71</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Key performance ratios: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Return on common equity - GAAP </w:t>
            </w:r>
            <w:r>
              <w:rPr>
                <w:rFonts w:ascii="Times New Roman" w:cs="Times New Roman" w:eastAsia="Times New Roman" w:hAnsi="Times New Roman"/>
                <w:sz w:val="19"/>
                <w:szCs w:val="19"/>
                <w:color w:val="auto"/>
                <w:vertAlign w:val="superscript"/>
              </w:rPr>
              <w:t>(2)(4)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7.14 %</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Return on common equity - operating </w:t>
            </w:r>
            <w:r>
              <w:rPr>
                <w:rFonts w:ascii="Times New Roman" w:cs="Times New Roman" w:eastAsia="Times New Roman" w:hAnsi="Times New Roman"/>
                <w:sz w:val="19"/>
                <w:szCs w:val="19"/>
                <w:color w:val="auto"/>
                <w:vertAlign w:val="superscript"/>
              </w:rPr>
              <w:t>(1)(2)(4)</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7.34</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Return on tangible common equity - operating </w:t>
            </w:r>
            <w:r>
              <w:rPr>
                <w:rFonts w:ascii="Times New Roman" w:cs="Times New Roman" w:eastAsia="Times New Roman" w:hAnsi="Times New Roman"/>
                <w:sz w:val="19"/>
                <w:szCs w:val="19"/>
                <w:color w:val="auto"/>
                <w:vertAlign w:val="superscript"/>
              </w:rPr>
              <w:t>(1)(2)(3)(4)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10.68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Return on assets - GAAP </w:t>
            </w:r>
            <w:r>
              <w:rPr>
                <w:rFonts w:ascii="Times New Roman" w:cs="Times New Roman" w:eastAsia="Times New Roman" w:hAnsi="Times New Roman"/>
                <w:sz w:val="19"/>
                <w:szCs w:val="19"/>
                <w:color w:val="auto"/>
                <w:vertAlign w:val="superscript"/>
              </w:rPr>
              <w:t>(4)</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0.90</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Return on assets - operating </w:t>
            </w:r>
            <w:r>
              <w:rPr>
                <w:rFonts w:ascii="Times New Roman" w:cs="Times New Roman" w:eastAsia="Times New Roman" w:hAnsi="Times New Roman"/>
                <w:sz w:val="19"/>
                <w:szCs w:val="19"/>
                <w:color w:val="auto"/>
                <w:vertAlign w:val="superscript"/>
              </w:rPr>
              <w:t>(1)(4)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0.93</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Net interest margin (FTE) </w:t>
            </w:r>
            <w:r>
              <w:rPr>
                <w:rFonts w:ascii="Times New Roman" w:cs="Times New Roman" w:eastAsia="Times New Roman" w:hAnsi="Times New Roman"/>
                <w:sz w:val="19"/>
                <w:szCs w:val="19"/>
                <w:color w:val="auto"/>
                <w:vertAlign w:val="superscript"/>
              </w:rPr>
              <w:t>(4)</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Efficiency ratio - GAAP</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56.74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56.05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65.51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59.70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60.47</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Efficiency ratio - operating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56.22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55.18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57.37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57.06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59.15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to total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 xml:space="preserve">Tangible common equity to tangible assets </w:t>
            </w:r>
            <w:r>
              <w:rPr>
                <w:rFonts w:ascii="Times New Roman" w:cs="Times New Roman" w:eastAsia="Times New Roman" w:hAnsi="Times New Roman"/>
                <w:sz w:val="19"/>
                <w:szCs w:val="19"/>
                <w:color w:val="auto"/>
                <w:vertAlign w:val="superscript"/>
              </w:rPr>
              <w:t>(3)</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8.49</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 QUALITY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NPAs</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93,290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115,635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114,960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116,722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107,230</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ACL - loans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211,974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206,998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205,290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213,022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210,934</w:t>
            </w:r>
          </w:p>
        </w:tc>
        <w:tc>
          <w:tcPr>
            <w:tcW w:w="8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charge-offs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9,607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9,517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23,651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11,614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12,908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ACL - loans to loans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 xml:space="preserve">Net charge-offs to average loans </w:t>
            </w:r>
            <w:r>
              <w:rPr>
                <w:rFonts w:ascii="Times New Roman" w:cs="Times New Roman" w:eastAsia="Times New Roman" w:hAnsi="Times New Roman"/>
                <w:sz w:val="19"/>
                <w:szCs w:val="19"/>
                <w:color w:val="auto"/>
                <w:vertAlign w:val="superscript"/>
              </w:rPr>
              <w:t>(4)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0.26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0.28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NPAs to total assets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0.39</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AT PERIOD END </w:t>
            </w:r>
            <w:r>
              <w:rPr>
                <w:rFonts w:ascii="Times New Roman" w:cs="Times New Roman" w:eastAsia="Times New Roman" w:hAnsi="Times New Roman"/>
                <w:sz w:val="15"/>
                <w:szCs w:val="15"/>
                <w:i w:val="1"/>
                <w:iCs w:val="1"/>
                <w:color w:val="auto"/>
              </w:rPr>
              <w:t>($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Loans</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18,425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18,176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17,964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18,211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18,375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securities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6,661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6,804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6,425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6,038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5,859</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27,874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27,720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27,373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27,057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27,365</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Deposits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23,762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23,461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23,253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22,982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23,332</w:t>
            </w:r>
          </w:p>
        </w:tc>
        <w:tc>
          <w:tcPr>
            <w:tcW w:w="134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Shareholders’ equity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3,501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3,300</w:t>
            </w:r>
          </w:p>
        </w:tc>
        <w:tc>
          <w:tcPr>
            <w:tcW w:w="1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8"/>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shares outstanding (thousands)</w:t>
            </w: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119,514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119,364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119,283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119,175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119,137</w:t>
            </w:r>
          </w:p>
        </w:tc>
        <w:tc>
          <w:tcPr>
            <w:tcW w:w="8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firstLine="8"/>
        <w:spacing w:after="0" w:line="365" w:lineRule="auto"/>
        <w:tabs>
          <w:tab w:leader="none" w:pos="115"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w:t>
      </w:r>
      <w:r>
        <w:rPr>
          <w:rFonts w:ascii="Times New Roman" w:cs="Times New Roman" w:eastAsia="Times New Roman" w:hAnsi="Times New Roman"/>
          <w:sz w:val="11"/>
          <w:szCs w:val="11"/>
          <w:color w:val="auto"/>
        </w:rPr>
        <w:t>xcludes non-operating items as detailed on Non-GAAP Performance Measures Reconciliation on next page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Net income less preferred stock dividends, divided by average realized common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 xml:space="preserve">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8"/>
          <w:szCs w:val="8"/>
          <w:color w:val="auto"/>
        </w:rPr>
        <w:t>(4)</w:t>
      </w:r>
      <w:r>
        <w:rPr>
          <w:rFonts w:ascii="Times New Roman" w:cs="Times New Roman" w:eastAsia="Times New Roman" w:hAnsi="Times New Roman"/>
          <w:sz w:val="11"/>
          <w:szCs w:val="11"/>
          <w:color w:val="auto"/>
        </w:rPr>
        <w:t xml:space="preserve"> Annualized.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0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Fourth Quarter</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Second Quarter</w:t>
            </w:r>
          </w:p>
        </w:tc>
        <w:tc>
          <w:tcPr>
            <w:tcW w:w="12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First Quarter</w:t>
            </w:r>
          </w:p>
        </w:tc>
      </w:tr>
      <w:tr>
        <w:trPr>
          <w:trHeight w:val="183"/>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income reconciliation</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income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35,656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40,522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8,091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36,556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39,587</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27,209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(2,400)</w:t>
            </w:r>
          </w:p>
        </w:tc>
      </w:tr>
      <w:tr>
        <w:trPr>
          <w:trHeight w:val="19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Noninterest income - operating</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35,656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40,522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35,300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36,556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37,187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2"/>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expense reconciliation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expenses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141,099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143,056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143,065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147,044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145,002</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(2,500)</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(2,176)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(2,157)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(2,087)</w:t>
            </w: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 expenses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139,802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140,853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140,889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140,551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140,415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to operating income reconciliation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71,413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75,804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47,347</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66,615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62,631</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27,209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(2,400)</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2,500</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2,087</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 of non-operating items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(6,276)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(1,462)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(493)</w:t>
            </w: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 operating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72,429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77,536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70,456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71,646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64,325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income per common share reconciliation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income per common share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0.38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0.51</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(0.02)</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r>
      <w:tr>
        <w:trPr>
          <w:trHeight w:val="19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income per common share - operating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0.52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5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02"/>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Book value per common share reconciliation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Book value per common share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27.18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26.83</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(8.02)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(8.05)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(8.12)</w:t>
            </w: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Tangible book value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20.58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19.66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18.71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tangible common equity reconciliation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(GAAP)</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7.14 %</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(0.22)</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0.23</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r>
      <w:tr>
        <w:trPr>
          <w:trHeight w:val="194"/>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 operating</w:t>
            </w:r>
          </w:p>
        </w:tc>
        <w:tc>
          <w:tcPr>
            <w:tcW w:w="100" w:type="dxa"/>
            <w:vAlign w:val="bottom"/>
          </w:tcPr>
          <w:p>
            <w:pPr>
              <w:spacing w:after="0"/>
              <w:rPr>
                <w:sz w:val="16"/>
                <w:szCs w:val="16"/>
                <w:color w:val="auto"/>
              </w:rPr>
            </w:pP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7.34</w:t>
            </w: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3.34</w:t>
            </w:r>
          </w:p>
        </w:tc>
      </w:tr>
      <w:tr>
        <w:trPr>
          <w:trHeight w:val="19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tangible common equity - operating</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12.12 %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11.68 %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10.68 %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0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Fourth Quarter</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Second Quarter</w:t>
            </w: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First Quarter</w:t>
            </w: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assets reconciliation</w:t>
            </w: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assets (GAAP)</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0.67 %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0.90 %</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(0.03)</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0.03</w:t>
            </w:r>
          </w:p>
        </w:tc>
      </w:tr>
      <w:tr>
        <w:trPr>
          <w:trHeight w:val="19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assets - operating</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0.93 %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6"/>
        </w:trPr>
        <w:tc>
          <w:tcPr>
            <w:tcW w:w="5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02"/>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Efficiency ratio reconciliation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Efficiency ratio (GAAP)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56.74 %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56.05 %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65.51 %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59.70 %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60.47 %</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sale of manufactured housing loans</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0.60</w:t>
            </w: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FinTrust (goodwill impairment)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(1.05)</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(0.52)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(0.87)</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(0.99)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(0.88)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(0.87)</w:t>
            </w: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Efficiency ratio - operating</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55.18 %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57.37 %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57.06 %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59.15 %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Tangible common equity to tangible assets reconciliation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to total assets (GAAP)</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12.06 %</w:t>
            </w: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(3.25)</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preferred equity</w:t>
            </w: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(0.33)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Tangible common equity to tangible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additional details on the daily average balances and net interest revenue for the periods presented. The table that follows indicates the relationship between interest revenue and expense and the daily average amounts of assets and liabilities, which provides further insight into net interest spread and net interest margin for the periods indicated.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interest revenue for the first quarters of 2025 and 2024 was $212 million and $199 million, respectively. FTE net interest revenue for the first quarter of 2025 was $213 million, representing an increase of $12.8 million, or 6%, from the same period in 2024. The net interest spread for the first quarters of 2025 and 2024 was 2.46% and 2.16%, respectively. The net interest margin for the first quarters of 2025 and 2024 was 3.36% and 3.20%, respectively.</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interest rate environment changes over the past year included 100 basis points of federal funds rate cuts, which resulted in decreases in both earning-asset yields and funding costs. As a result, FTE net interest revenue for the first quarter of 2025 increased compared to the same period of 2024 as the decrease in deposit interest expense of $14.9 million more than offset the $10.0 million decrease in loan interest revenue. In addition, interest revenue from taxable securities increased $12.5 million due to both a higher average balance and an increase in the average rate earned as we have continued to reinvest in higher-yielding securities. We also experienced a decrease in interest revenue from federal funds sold and other interest-earning assets due to lower interest rates. The increase in net interest margin and net interest spread was primarily driven by a steeper decrease in average rates paid on deposits compared to the decrease in rates earned 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18,213,501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273,930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6.10 %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18,299,739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283,960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25,708,463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336,348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25,169,074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1,618,315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27,724,381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27,181,617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2.47</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17,310,770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16,781,964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133,784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17,684,650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123,336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17,106,819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137,579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390,451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24,248,806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23,895,349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3,475,575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3,286,268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27,724,381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27,181,617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3.36 %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$991,000 and $1.06 million, respectively, for the three months ended March 31, 2025 and 2024. The tax rate used to calculate the adjustment was 26%,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11" w:lineRule="auto"/>
        <w:tabs>
          <w:tab w:leader="none" w:pos="346" w:val="left"/>
        </w:tabs>
        <w:numPr>
          <w:ilvl w:val="0"/>
          <w:numId w:val="10"/>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$269 million in 2025 and $322 million in 2024 are included in other assets for purposes of this presentation.</w:t>
      </w:r>
    </w:p>
    <w:p>
      <w:pPr>
        <w:ind w:left="320" w:hanging="312"/>
        <w:spacing w:after="0" w:line="192"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3 -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13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Overdraft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ATM and debit card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Wealth management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Securities gains,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Customer derivative fees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Other investment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BOLI</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mortgage loan gains and related fees for the three months ended March 31, 2025 compared to the same period of 2024 was primarily a result of a $1.58 million less favorable fair value adjustment to our mortgage servicing asset partially offset by higher gains on mortgage sales and rate lock volume. The following table provides additional mortgage metrics for the periods indicated.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Mortgage Loan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4"/>
          </w:tcPr>
          <w:p>
            <w:pPr>
              <w:jc w:val="right"/>
              <w:ind w:right="71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214"/>
        </w:trPr>
        <w:tc>
          <w:tcPr>
            <w:tcW w:w="4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20" w:type="dxa"/>
            <w:vAlign w:val="bottom"/>
            <w:tcBorders>
              <w:bottom w:val="single" w:sz="8" w:color="CCEEFF"/>
            </w:tcBorders>
          </w:tcPr>
          <w:p>
            <w:pPr>
              <w:spacing w:after="0"/>
              <w:rPr>
                <w:sz w:val="18"/>
                <w:szCs w:val="18"/>
                <w:color w:val="auto"/>
              </w:rPr>
            </w:pPr>
          </w:p>
        </w:tc>
      </w:tr>
      <w:tr>
        <w:trPr>
          <w:trHeight w:val="211"/>
        </w:trPr>
        <w:tc>
          <w:tcPr>
            <w:tcW w:w="49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rate locks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259,577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5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9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loans sold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125,939</w:t>
            </w:r>
          </w:p>
        </w:tc>
        <w:tc>
          <w:tcPr>
            <w:tcW w:w="1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5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9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Purchases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163,363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148,225</w:t>
            </w:r>
          </w:p>
        </w:tc>
        <w:tc>
          <w:tcPr>
            <w:tcW w:w="1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520" w:type="dxa"/>
            <w:vAlign w:val="bottom"/>
          </w:tcPr>
          <w:p>
            <w:pPr>
              <w:spacing w:after="0"/>
              <w:rPr>
                <w:sz w:val="18"/>
                <w:szCs w:val="18"/>
                <w:color w:val="auto"/>
              </w:rPr>
            </w:pPr>
          </w:p>
        </w:tc>
      </w:tr>
      <w:tr>
        <w:trPr>
          <w:trHeight w:val="216"/>
        </w:trPr>
        <w:tc>
          <w:tcPr>
            <w:tcW w:w="49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Refinances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1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520" w:type="dxa"/>
            <w:vAlign w:val="bottom"/>
            <w:shd w:val="clear" w:color="auto" w:fill="CCEEFF"/>
          </w:tcPr>
          <w:p>
            <w:pPr>
              <w:spacing w:after="0"/>
              <w:rPr>
                <w:sz w:val="18"/>
                <w:szCs w:val="18"/>
                <w:color w:val="auto"/>
              </w:rPr>
            </w:pPr>
          </w:p>
        </w:tc>
      </w:tr>
      <w:tr>
        <w:trPr>
          <w:trHeight w:val="212"/>
        </w:trPr>
        <w:tc>
          <w:tcPr>
            <w:tcW w:w="49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187,232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170,985</w:t>
            </w:r>
          </w:p>
        </w:tc>
        <w:tc>
          <w:tcPr>
            <w:tcW w:w="1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52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wealth management fees reflects the decrease in assets under management and advisement as a result of the FinTrust sale during the fourth quarter of 2024. Assets under management and advisement totaled $3.18 billion and $5.39 billion at March 31, 2025 and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derivative fee income was up mostly due to stronger loan growth and increased demand for customer derivatives, attributable to the decrease in rates since the first quarter of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provision for credit losses of $15.4 million for the three months ended March 31, 2025, compared to $12.9 million for the same period of 2024. The increase in provision was mostly driven by a less favorable economic forecast and net loan growth.</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a decrease in net charge-offs and a release of a portion of the Hurricane Helene additional allowance established in 2024. Additional discussion on credit quality and the ACL is included in the “Asset Quality and Risk Elements” section of MD&amp;A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Noninterest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2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Occupancy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employee benefits for the first quarter of 2025 benefited from the reduction in employees resulting from the sale of FinTrust in the fourth quarter of 2024 and the staff reduction following the manufactured housing loan sale in the third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incremental software contract costs. We also recorded increased depreciation related to equipment placed into service since March 31, 2024, which included technology equipment for our new Greenville headquarters building and new signage associated with our rebranding.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FDIC assessments and other regulatory charges in the first quarter of 2025 compared to the same period of 2024 reflects a $2.50 million FDIC special assessment accrued in the first quarter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Merger-related and other charges for the first quarter of 2025 decreased compared to the same period in 2024 primarily due to a decrease in costs associated with our rebranding.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 for the periods indicated.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54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0"/>
        </w:trPr>
        <w:tc>
          <w:tcPr>
            <w:tcW w:w="5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60" w:type="dxa"/>
            <w:vAlign w:val="bottom"/>
            <w:tcBorders>
              <w:bottom w:val="single" w:sz="8" w:color="CCEEFF"/>
            </w:tcBorders>
          </w:tcPr>
          <w:p>
            <w:pPr>
              <w:spacing w:after="0"/>
              <w:rPr>
                <w:sz w:val="18"/>
                <w:szCs w:val="18"/>
                <w:color w:val="auto"/>
              </w:rPr>
            </w:pPr>
          </w:p>
        </w:tc>
      </w:tr>
      <w:tr>
        <w:trPr>
          <w:trHeight w:val="211"/>
        </w:trPr>
        <w:tc>
          <w:tcPr>
            <w:tcW w:w="56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4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91,159</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80,835</w:t>
            </w:r>
          </w:p>
        </w:tc>
        <w:tc>
          <w:tcPr>
            <w:tcW w:w="1760" w:type="dxa"/>
            <w:vAlign w:val="bottom"/>
            <w:shd w:val="clear" w:color="auto" w:fill="CCEEFF"/>
          </w:tcPr>
          <w:p>
            <w:pPr>
              <w:spacing w:after="0"/>
              <w:rPr>
                <w:sz w:val="18"/>
                <w:szCs w:val="18"/>
                <w:color w:val="auto"/>
              </w:rPr>
            </w:pPr>
          </w:p>
        </w:tc>
      </w:tr>
      <w:tr>
        <w:trPr>
          <w:trHeight w:val="213"/>
        </w:trPr>
        <w:tc>
          <w:tcPr>
            <w:tcW w:w="56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19,746</w:t>
            </w:r>
          </w:p>
        </w:tc>
        <w:tc>
          <w:tcPr>
            <w:tcW w:w="4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18,204</w:t>
            </w:r>
          </w:p>
        </w:tc>
        <w:tc>
          <w:tcPr>
            <w:tcW w:w="1760" w:type="dxa"/>
            <w:vAlign w:val="bottom"/>
          </w:tcPr>
          <w:p>
            <w:pPr>
              <w:spacing w:after="0"/>
              <w:rPr>
                <w:sz w:val="18"/>
                <w:szCs w:val="18"/>
                <w:color w:val="auto"/>
              </w:rPr>
            </w:pPr>
          </w:p>
        </w:tc>
      </w:tr>
      <w:tr>
        <w:trPr>
          <w:trHeight w:val="219"/>
        </w:trPr>
        <w:tc>
          <w:tcPr>
            <w:tcW w:w="56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7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March 31, 2025 and December 31, 2024 were $27.9 billion and $27.7 billion, respectively. Total liabilities at March 31, 2025 and December 31, 2024 were $24.4 billion and $24.3 billion, respectively. Shareholders’ equity totaled $3.50 billion and $3.43 billion at March 31, 2025 and December 31,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the loan portfolio and the allocation of the ACL by loan type for the periods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 Loan Portfolio Composition and ACL Allocation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19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3"/>
                <w:szCs w:val="13"/>
                <w:color w:val="auto"/>
              </w:rPr>
            </w:pPr>
          </w:p>
        </w:tc>
        <w:tc>
          <w:tcPr>
            <w:tcW w:w="1440" w:type="dxa"/>
            <w:vAlign w:val="bottom"/>
            <w:gridSpan w:val="3"/>
          </w:tcPr>
          <w:p>
            <w:pPr>
              <w:jc w:val="right"/>
              <w:ind w:right="69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6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4"/>
              </w:rPr>
              <w:t>ACL</w:t>
            </w: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ACL to</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3"/>
                <w:szCs w:val="13"/>
                <w:color w:val="auto"/>
              </w:rPr>
            </w:pPr>
          </w:p>
        </w:tc>
        <w:tc>
          <w:tcPr>
            <w:tcW w:w="136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3"/>
                <w:szCs w:val="13"/>
                <w:color w:val="auto"/>
              </w:rPr>
            </w:pPr>
          </w:p>
        </w:tc>
        <w:tc>
          <w:tcPr>
            <w:tcW w:w="92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ACL to</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3,418,827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3,398,217</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0.58 %</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4,416,058</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45,817</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2,506,405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2,428,376</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1,681,389</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1,655,710</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1,722,445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1,662,501</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7"/>
        </w:trPr>
        <w:tc>
          <w:tcPr>
            <w:tcW w:w="1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13,745,124</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169,351</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13,505,724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160,526</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3,217,742</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3,231,479</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1,099,369</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171,073</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178,405</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Pr>
          <w:p>
            <w:pPr>
              <w:spacing w:after="0"/>
              <w:rPr>
                <w:sz w:val="18"/>
                <w:szCs w:val="18"/>
                <w:color w:val="auto"/>
              </w:rPr>
            </w:pPr>
          </w:p>
        </w:tc>
        <w:tc>
          <w:tcPr>
            <w:tcW w:w="136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182,535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186,448</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10"/>
        </w:trPr>
        <w:tc>
          <w:tcPr>
            <w:tcW w:w="194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18,415,843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18,168,653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Loans presented excludes fair value hedge basis adjustments.</w:t>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disaggregation of our income producing CRE portfolio as of March 31, 2025 and December 31, 2024. Office is the largest subcategory within the income producing CRE portfolio. At March 31, 2025, the average loan within the office category was $1.45 million and the largest loan was $16.4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CRE - Income Producing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4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category</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Office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824,276</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792,449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Retail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809,966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765,987</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Warehouse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505,315</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467,058</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475,898</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Rental 1-4 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324,292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Senior Care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231,994</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259,056</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Self Storage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146,345</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138,223</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4,416,058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4,360,920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2024 10-K for additional information on the ACL.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ACL for loans at March 31, 2025 increased by $4.98 million, or 2%, compared to December 31, 2024 and the ACL for loans as a percentage of total loans increased slightly to 1.15% from 1.14%. The increase in the ACL was primarily attributable to loan growth and a less favorable economic forecast due to uncertainty surrounding the federal administration’s policies. These increases were partially offset by a decrease in the Hurricane Helene related allowance based on our most recent assessment of potential losses from loans impacted by the storm. This reserve totaled $7.17 million and $9.80 million at March 31, 2025 and December 31, 2024, respectively. Our ACL for unfunded commitments increased mostly due to an increase in our construction commitments.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net charge-offs to average loans for the periods indicated.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9 -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2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3,906</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6,362</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Manufactured housing</w:t>
            </w:r>
          </w:p>
        </w:tc>
        <w:tc>
          <w:tcPr>
            <w:tcW w:w="4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1,569</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r>
      <w:tr>
        <w:trPr>
          <w:trHeight w:val="207"/>
        </w:trPr>
        <w:tc>
          <w:tcPr>
            <w:tcW w:w="724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9,607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12,908</w:t>
            </w:r>
          </w:p>
        </w:tc>
      </w:tr>
      <w:tr>
        <w:trPr>
          <w:trHeight w:val="199"/>
        </w:trPr>
        <w:tc>
          <w:tcPr>
            <w:tcW w:w="7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4"/>
        </w:trPr>
        <w:tc>
          <w:tcPr>
            <w:tcW w:w="72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3,393,849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3,278,673</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4,369,597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4,224,227</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2,456,768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2,401,573</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1,661,366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1,892,917</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1,685,187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1,539,483</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3,210,729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3,211,015</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1,077,463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961,520</w:t>
            </w:r>
          </w:p>
        </w:tc>
      </w:tr>
      <w:tr>
        <w:trPr>
          <w:trHeight w:val="213"/>
        </w:trPr>
        <w:tc>
          <w:tcPr>
            <w:tcW w:w="72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173,987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278,745</w:t>
            </w:r>
          </w:p>
        </w:tc>
      </w:tr>
      <w:tr>
        <w:trPr>
          <w:trHeight w:val="219"/>
        </w:trPr>
        <w:tc>
          <w:tcPr>
            <w:tcW w:w="72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Manufactured housing</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331,442</w:t>
            </w:r>
          </w:p>
        </w:tc>
      </w:tr>
      <w:tr>
        <w:trPr>
          <w:trHeight w:val="213"/>
        </w:trPr>
        <w:tc>
          <w:tcPr>
            <w:tcW w:w="724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184,555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180,144</w:t>
            </w:r>
          </w:p>
        </w:tc>
      </w:tr>
      <w:tr>
        <w:trPr>
          <w:trHeight w:val="237"/>
        </w:trPr>
        <w:tc>
          <w:tcPr>
            <w:tcW w:w="724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18,213,501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18,299,739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7240" w:type="dxa"/>
            <w:vAlign w:val="bottom"/>
            <w:shd w:val="clear" w:color="auto" w:fill="CCEEFF"/>
          </w:tcPr>
          <w:p>
            <w:pPr>
              <w:ind w:left="12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2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0.02 %</w:t>
            </w:r>
          </w:p>
        </w:tc>
      </w:tr>
      <w:tr>
        <w:trPr>
          <w:trHeight w:val="219"/>
        </w:trPr>
        <w:tc>
          <w:tcPr>
            <w:tcW w:w="72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72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r>
      <w:tr>
        <w:trPr>
          <w:trHeight w:val="219"/>
        </w:trPr>
        <w:tc>
          <w:tcPr>
            <w:tcW w:w="72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72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72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r>
      <w:tr>
        <w:trPr>
          <w:trHeight w:val="213"/>
        </w:trPr>
        <w:tc>
          <w:tcPr>
            <w:tcW w:w="72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Manufactured housing</w:t>
            </w:r>
          </w:p>
        </w:tc>
        <w:tc>
          <w:tcPr>
            <w:tcW w:w="4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72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r>
      <w:tr>
        <w:trPr>
          <w:trHeight w:val="212"/>
        </w:trPr>
        <w:tc>
          <w:tcPr>
            <w:tcW w:w="724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charge-offs for the first quarter of 2025 compared to the first quarter of 2024 was primarily driven by lower commercial and industrial, equipment finance and manufactured housing charge-offs. We completed the sale of the substantially all of our manufactured housing portfolio in the third quarter of 2024. For the first quarter of 2025, the average balance and net charge-offs related to the remaining manufactured housing loans are reflected in consumer loans. Equipment finance charge-offs decreased due to lower long-haul trucking related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decrease in NPAs since December 31, 2024 was primarily driven by $24.3 million in payoffs and paydowns of nonaccrual loans. Notably, we had one $7.85 million senior care loan payoff (included in income producing CRE) and significant paydowns and payoffs for two commercial and industrial relationships of $5.85 million.</w:t>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7"/>
                <w:szCs w:val="17"/>
                <w:color w:val="auto"/>
              </w:rPr>
            </w:pP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Owner occupied CRE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11,674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Income producing CRE</w:t>
            </w:r>
          </w:p>
        </w:tc>
        <w:tc>
          <w:tcPr>
            <w:tcW w:w="240" w:type="dxa"/>
            <w:vAlign w:val="bottom"/>
          </w:tcPr>
          <w:p>
            <w:pPr>
              <w:spacing w:after="0"/>
              <w:rPr>
                <w:sz w:val="18"/>
                <w:szCs w:val="18"/>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16,536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29,339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18"/>
                <w:szCs w:val="18"/>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8,925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Pr>
          <w:p>
            <w:pPr>
              <w:spacing w:after="0"/>
              <w:rPr>
                <w:sz w:val="17"/>
                <w:szCs w:val="17"/>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62,257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82,695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(20,438)</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24,615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Home equity</w:t>
            </w:r>
          </w:p>
        </w:tc>
        <w:tc>
          <w:tcPr>
            <w:tcW w:w="240" w:type="dxa"/>
            <w:vAlign w:val="bottom"/>
          </w:tcPr>
          <w:p>
            <w:pPr>
              <w:spacing w:after="0"/>
              <w:rPr>
                <w:sz w:val="18"/>
                <w:szCs w:val="18"/>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520"/>
              <w:spacing w:after="0" w:line="216" w:lineRule="exact"/>
              <w:rPr>
                <w:sz w:val="20"/>
                <w:szCs w:val="20"/>
                <w:color w:val="auto"/>
              </w:rPr>
            </w:pPr>
            <w:r>
              <w:rPr>
                <w:rFonts w:ascii="Times New Roman" w:cs="Times New Roman" w:eastAsia="Times New Roman" w:hAnsi="Times New Roman"/>
                <w:sz w:val="16"/>
                <w:szCs w:val="16"/>
                <w:color w:val="auto"/>
              </w:rPr>
              <w:t xml:space="preserve">Manufactured housing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91,338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113,579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w:t>
            </w: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Total NPAs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93,290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115,635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manufactured housing loans were included in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Table 11 -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4,322,644</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4,436,291</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(113,647)</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2,338,571</w:t>
            </w: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2,368,107</w:t>
            </w: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(29,536)</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6,661,215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6,804,398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(143,183)</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years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hedges on a portion of our AFS securities portfolio in order to mitigate the impact of potential future unrealized losses on our tangible common equity. Gains and losses related to the hedge and hedged item are reflected in investment securities interest income. The changes in the fair value of the hedge and the hedged item substantially offset each other. See Note 4 to the financial statements for further detail.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HTM debt securities had a fair value of $1.95 billion, indicating net unrealized losses of $386 million. Additional unrealized losses on HTM debt securities of $57.5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additional detail.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2024, customer deposits increased $309 million, mostly driven by an increase in money market deposit balances. As of March 31, 2025, we had approximately $9.78 billion of uninsured deposits, of which $3.04 billion was collateralized by investment securities.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4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6,257,032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24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6,211,182</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6,141,342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7,498,735</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3,441,424</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customer deposits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23,601,620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23,292,683</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16"/>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Brokered deposits</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168,292</w:t>
            </w:r>
          </w:p>
        </w:tc>
        <w:tc>
          <w:tcPr>
            <w:tcW w:w="13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23,762,405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23,460,975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and December 31, 2024, we had long-term debt outstanding of $254 million, which includes senior debentures, subordinated debentures, and trust preferred securities. At March 31, 2025 there were no short-term borrowings outstanding. At December 31, 2024 there were $195 million in short-term borrowings outstanding. The need to utilize wholesale funding sources has decreased as our deposit and cash balances have substantially provided for our liquidity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and off-balance sheet arrangements since December 31, 2024.</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Repricing characteristics are the time frames within which the interest rates on interest-earning assets and interest-bearing liabilities are subject to change either at replacement, repricing or maturity.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an asset/liability simulation model to measure the potential change in net interest revenue over time using multiple interest rate scenarios. Our modeling is based on the 12-month impact on net interest revenue simulations with various interest rate shocks and ramps, which are compared to a base scenario that assumes rates remain flat. In the shock scenarios, rates immediately change the full amount at the scenario onset. In the ramp scenarios, rates change by 25 basis points per month until they reach the predetermined levels.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interest sensitivity position at the dates indicated. The scenario results presented assume parallel movements in the yield curve, which may differ from actual future curve behavior. Other than an assumption for the runoff of estimated surge deposits, our model generally assumes no change in deposit portfolio size or composition.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0.92 %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1.28</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0.66</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(3.17)</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156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results from December 31, 2024 to March 31, 2025 reflects more floating interest rate loans and a slight shortening of asset duration to address rising interest rate risk concerns. In addition, the balance sheet became slightly more asset sensitive at March 31, 2025 due to higher cash balances on hand at quarter-end.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March 31, 2025 and December 31, 2024, we had sufficient liquid funds and qualifying collateral to support additional borrowings, which are detailed in the table below.</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Availability of Liquid Funds and Borrowings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Available liquid funds:</w:t>
            </w:r>
          </w:p>
        </w:tc>
        <w:tc>
          <w:tcPr>
            <w:tcW w:w="36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636,712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Availability of borrowings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FHLB</w:t>
            </w: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1,917,905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180"/>
              <w:spacing w:after="0" w:line="162" w:lineRule="exact"/>
              <w:rPr>
                <w:sz w:val="20"/>
                <w:szCs w:val="20"/>
                <w:color w:val="auto"/>
              </w:rPr>
            </w:pPr>
            <w:r>
              <w:rPr>
                <w:rFonts w:ascii="Times New Roman" w:cs="Times New Roman" w:eastAsia="Times New Roman" w:hAnsi="Times New Roman"/>
                <w:sz w:val="16"/>
                <w:szCs w:val="16"/>
                <w:b w:val="1"/>
                <w:bCs w:val="1"/>
                <w:color w:val="auto"/>
              </w:rPr>
              <w:t>Unpledged securities available as collateral for additional</w:t>
            </w:r>
          </w:p>
        </w:tc>
        <w:tc>
          <w:tcPr>
            <w:tcW w:w="3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3,625,236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3,603,885</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3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Based on collateral pledged.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3" w:name="page44"/>
    <w:bookmarkEnd w:id="43"/>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sufficient liquid assets to meet these obligations. Holding Company liquidity is maintained at a level of at least 15 months of forecasted cash obligations.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our liquidity position at March 31, 2025 was sufficient to meet our expected cash flow requirements for the foreseeable future. See the consolidated statement of cash flows for further detail.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equity at March 31, 2025 was $3.50 billion, an increase of $68.8 million from December 31, 2024 primarily due to year-to-date earnings and other comprehensive income, partially offset by dividends declared on common and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March 31, 2025 and December 31, 2024. As of March 31, 2025, capital levels remained characterized as “well-capitalized” under regulatory requirements in effect at the time. Additional information related to capital ratios is provided in Note 8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15 - Capital Ratios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4"/>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tcBorders>
              <w:top w:val="single" w:sz="8" w:color="auto"/>
            </w:tcBorders>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13.29 %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capital composition as of March 31,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 Capital Composition under Basel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5"/>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United Community Banks, Inc.</w:t>
            </w:r>
          </w:p>
        </w:tc>
        <w:tc>
          <w:tcPr>
            <w:tcW w:w="26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4"/>
            <w:vMerge w:val="restart"/>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United Community Bank</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60" w:type="dxa"/>
            <w:vAlign w:val="bottom"/>
          </w:tcPr>
          <w:p>
            <w:pPr>
              <w:spacing w:after="0"/>
              <w:rPr>
                <w:sz w:val="21"/>
                <w:szCs w:val="21"/>
                <w:color w:val="auto"/>
              </w:rPr>
            </w:pPr>
          </w:p>
        </w:tc>
        <w:tc>
          <w:tcPr>
            <w:tcW w:w="25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14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4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3,412,630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3,343,861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3,275,458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3,282,263</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CECL transitional amount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(907,090)</w:t>
            </w:r>
          </w:p>
        </w:tc>
        <w:tc>
          <w:tcPr>
            <w:tcW w:w="0" w:type="dxa"/>
            <w:vAlign w:val="bottom"/>
          </w:tcPr>
          <w:p>
            <w:pPr>
              <w:spacing w:after="0"/>
              <w:rPr>
                <w:sz w:val="1"/>
                <w:szCs w:val="1"/>
                <w:color w:val="auto"/>
              </w:rPr>
            </w:pPr>
          </w:p>
        </w:tc>
      </w:tr>
      <w:tr>
        <w:trPr>
          <w:trHeight w:val="162"/>
        </w:trPr>
        <w:tc>
          <w:tcPr>
            <w:tcW w:w="5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Intangibles, other than goodwill and mortgage servicing rights, net of associated</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DTLs</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DTAs arising from net operating loss and tax credit carryforwards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AFS securities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176,777</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gains on cash flow hedges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HTM securities that are included in AOCI</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7"/>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CET1 capital</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Tier 1 capital</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2,733,757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2,696,402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2,516,229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2,555,941</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2 capital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Qualifying ACL</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200,870</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2,982,273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2,726,287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2,756,811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March 31, 2025 from that presented in our 2024 10-K. Our interest rate sensitivity position at March 31, 2025 is set forth in Table 13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March 31, 2025.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March 31, 2025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adopted, modified or terminated a “Rule 10b5-1 trading arrangement” or “non-Rule 10b5-1 trading arrangement,” as each term is defined in Item 408(a) of Regulation S-K during the quarter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right="240" w:hanging="606"/>
        <w:spacing w:after="0" w:line="258" w:lineRule="auto"/>
        <w:tabs>
          <w:tab w:leader="none" w:pos="158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Employment Agreement between Richard W. Bradshaw and United Community Banks, Inc., dated as of February 10, 2025</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(incorporated herein by reference to Exhibit 10.1 to United Community Banks, Inc.’s Current Report on Form 8-K dated February</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10, 2025, filed with the SEC on February 11, 2025).</w:t>
        </w:r>
      </w:hyperlink>
    </w:p>
    <w:p>
      <w:pPr>
        <w:spacing w:after="0" w:line="169" w:lineRule="exact"/>
        <w:rPr>
          <w:rFonts w:ascii="Times New Roman" w:cs="Times New Roman" w:eastAsia="Times New Roman" w:hAnsi="Times New Roman"/>
          <w:sz w:val="18"/>
          <w:szCs w:val="18"/>
          <w:u w:val="single" w:color="auto"/>
          <w:color w:val="0000FF"/>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rFonts w:ascii="Times New Roman" w:cs="Times New Roman" w:eastAsia="Times New Roman" w:hAnsi="Times New Roman"/>
          <w:sz w:val="18"/>
          <w:szCs w:val="18"/>
          <w:u w:val="single" w:color="auto"/>
          <w:color w:val="0000FF"/>
        </w:rPr>
      </w:pPr>
    </w:p>
    <w:p>
      <w:pPr>
        <w:jc w:val="both"/>
        <w:ind w:left="1600" w:hanging="557"/>
        <w:spacing w:after="0" w:line="222" w:lineRule="auto"/>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March 31, 2025,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firstLine="5"/>
        <w:spacing w:after="0" w:line="218" w:lineRule="auto"/>
        <w:tabs>
          <w:tab w:leader="none" w:pos="1981" w:val="left"/>
        </w:tabs>
        <w:numPr>
          <w:ilvl w:val="1"/>
          <w:numId w:val="1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rFonts w:ascii="Times New Roman" w:cs="Times New Roman" w:eastAsia="Times New Roman" w:hAnsi="Times New Roman"/>
          <w:sz w:val="18"/>
          <w:szCs w:val="18"/>
          <w:u w:val="single" w:color="auto"/>
          <w:color w:val="0000FF"/>
        </w:rPr>
      </w:pPr>
    </w:p>
    <w:p>
      <w:pPr>
        <w:ind w:left="1600" w:hanging="557"/>
        <w:spacing w:after="0" w:line="237" w:lineRule="auto"/>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March 31, 2025 (formatted in Inline XBRL and included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927"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March 31, 2025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2025</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lvl w:ilvl="1">
      <w:lvlJc w:val="left"/>
      <w:lvlText w:val="(%2)"/>
      <w:numFmt w:val="lowerLetter"/>
      <w:start w:val="2"/>
    </w:lvl>
  </w:abstractNum>
  <w:abstractNum w:abstractNumId="13">
    <w:nsid w:val="4E6AFB66"/>
    <w:multiLevelType w:val="hybridMultilevel"/>
    <w:lvl w:ilvl="0">
      <w:lvlJc w:val="left"/>
      <w:lvlText w:val="(%1)"/>
      <w:numFmt w:val="lowerLetter"/>
      <w:start w:val="4"/>
    </w:lvl>
  </w:abstractNum>
  <w:abstractNum w:abstractNumId="14">
    <w:nsid w:val="25E45D32"/>
    <w:multiLevelType w:val="hybridMultilevel"/>
    <w:lvl w:ilvl="0">
      <w:lvlJc w:val="left"/>
      <w:lvlText w:val="%1"/>
      <w:numFmt w:val="decimal"/>
      <w:start w:val="101"/>
    </w:lvl>
    <w:lvl w:ilvl="1">
      <w:lvlJc w:val="left"/>
      <w:lvlText w:val="(%2)"/>
      <w:numFmt w:val="lowerRoman"/>
      <w:start w:val="3"/>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6" Type="http://schemas.openxmlformats.org/officeDocument/2006/relationships/hyperlink" Target="https://www.sec.gov/Archives/edgar/data/857855/000085785521000109/ucbi93021ex31restatedartic.htm" TargetMode="External"/><Relationship Id="rId67" Type="http://schemas.openxmlformats.org/officeDocument/2006/relationships/hyperlink" Target="https://www.sec.gov/Archives/edgar/data/857855/000157104915003882/t82199_ex3-2.htm" TargetMode="External"/><Relationship Id="rId68" Type="http://schemas.openxmlformats.org/officeDocument/2006/relationships/hyperlink" Target="https://www.sec.gov/Archives/edgar/data/857855/000085785525000015/ex101bradshaw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2025-05-09T13:21:31Z</dcterms:created>
  <dcterms:modified xsi:type="dcterms:W3CDTF">2025-05-09T13:21:31Z</dcterms:modified>
</cp:coreProperties>
</file>