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76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Georgia</w:t>
            </w:r>
          </w:p>
        </w:tc>
        <w:tc>
          <w:tcPr>
            <w:tcW w:w="5540" w:type="dxa"/>
            <w:vAlign w:val="bottom"/>
            <w:gridSpan w:val="5"/>
          </w:tcPr>
          <w:p>
            <w:pPr>
              <w:jc w:val="right"/>
              <w:ind w:right="16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7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1"/>
              </w:rPr>
              <w:t>(State of Incorporation)</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78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125 Highway 515 East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4"/>
        </w:trPr>
        <w:tc>
          <w:tcPr>
            <w:tcW w:w="37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Blairsville, Georgia</w:t>
            </w:r>
          </w:p>
        </w:tc>
        <w:tc>
          <w:tcPr>
            <w:tcW w:w="5540" w:type="dxa"/>
            <w:vAlign w:val="bottom"/>
            <w:gridSpan w:val="5"/>
          </w:tcPr>
          <w:p>
            <w:pPr>
              <w:jc w:val="right"/>
              <w:ind w:right="1910"/>
              <w:spacing w:after="0"/>
              <w:rPr>
                <w:sz w:val="20"/>
                <w:szCs w:val="20"/>
                <w:color w:val="auto"/>
              </w:rPr>
            </w:pPr>
            <w:r>
              <w:rPr>
                <w:rFonts w:ascii="Arial" w:cs="Arial" w:eastAsia="Arial" w:hAnsi="Arial"/>
                <w:sz w:val="18"/>
                <w:szCs w:val="18"/>
                <w:b w:val="1"/>
                <w:bCs w:val="1"/>
                <w:color w:val="auto"/>
              </w:rPr>
              <w:t>30512</w:t>
            </w:r>
          </w:p>
        </w:tc>
      </w:tr>
      <w:tr>
        <w:trPr>
          <w:trHeight w:val="228"/>
        </w:trPr>
        <w:tc>
          <w:tcPr>
            <w:tcW w:w="37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4"/>
              </w:rPr>
              <w:t>(Zip Code)</w:t>
            </w:r>
          </w:p>
        </w:tc>
      </w:tr>
      <w:tr>
        <w:trPr>
          <w:trHeight w:val="400"/>
        </w:trPr>
        <w:tc>
          <w:tcPr>
            <w:tcW w:w="3780" w:type="dxa"/>
            <w:vAlign w:val="bottom"/>
          </w:tcPr>
          <w:p>
            <w:pPr>
              <w:spacing w:after="0"/>
              <w:rPr>
                <w:sz w:val="24"/>
                <w:szCs w:val="24"/>
                <w:color w:val="auto"/>
              </w:rPr>
            </w:pPr>
          </w:p>
        </w:tc>
        <w:tc>
          <w:tcPr>
            <w:tcW w:w="16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(706) 781-2265</w:t>
            </w:r>
          </w:p>
        </w:tc>
        <w:tc>
          <w:tcPr>
            <w:tcW w:w="3880" w:type="dxa"/>
            <w:vAlign w:val="bottom"/>
          </w:tcPr>
          <w:p>
            <w:pPr>
              <w:spacing w:after="0"/>
              <w:rPr>
                <w:sz w:val="24"/>
                <w:szCs w:val="24"/>
                <w:color w:val="auto"/>
              </w:rPr>
            </w:pPr>
          </w:p>
        </w:tc>
      </w:tr>
      <w:tr>
        <w:trPr>
          <w:trHeight w:val="228"/>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388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219"/>
        <w:spacing w:after="0" w:line="207" w:lineRule="exact"/>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Arial" w:cs="Arial" w:eastAsia="Arial" w:hAnsi="Arial"/>
          <w:sz w:val="17"/>
          <w:szCs w:val="17"/>
          <w:color w:val="auto"/>
        </w:rPr>
        <w:t>o</w:t>
      </w:r>
    </w:p>
    <w:p>
      <w:pPr>
        <w:spacing w:after="0" w:line="227" w:lineRule="exact"/>
        <w:rPr>
          <w:sz w:val="20"/>
          <w:szCs w:val="20"/>
          <w:color w:val="auto"/>
        </w:rPr>
      </w:pPr>
    </w:p>
    <w:p>
      <w:pPr>
        <w:jc w:val="both"/>
        <w:ind w:left="340" w:right="559"/>
        <w:spacing w:after="0" w:line="261"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11" w:lineRule="exact"/>
        <w:rPr>
          <w:sz w:val="20"/>
          <w:szCs w:val="20"/>
          <w:color w:val="auto"/>
        </w:rPr>
      </w:pPr>
    </w:p>
    <w:p>
      <w:pPr>
        <w:jc w:val="center"/>
        <w:ind w:right="219"/>
        <w:spacing w:after="0" w:line="207" w:lineRule="exact"/>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Arial" w:cs="Arial" w:eastAsia="Arial" w:hAnsi="Arial"/>
          <w:sz w:val="17"/>
          <w:szCs w:val="17"/>
          <w:color w:val="auto"/>
        </w:rPr>
        <w:t>o</w:t>
      </w:r>
    </w:p>
    <w:p>
      <w:pPr>
        <w:spacing w:after="0" w:line="213"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rFonts w:ascii="Arial" w:cs="Arial" w:eastAsia="Arial" w:hAnsi="Arial"/>
          <w:sz w:val="16"/>
          <w:szCs w:val="16"/>
          <w:b w:val="1"/>
          <w:bCs w:val="1"/>
          <w:color w:val="auto"/>
        </w:rPr>
        <w:t xml:space="preserv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434" w:lineRule="exact"/>
        <w:rPr>
          <w:sz w:val="20"/>
          <w:szCs w:val="20"/>
          <w:color w:val="auto"/>
        </w:rPr>
      </w:pPr>
    </w:p>
    <w:p>
      <w:pPr>
        <w:sectPr>
          <w:pgSz w:w="11900" w:h="16838" w:orient="portrait"/>
          <w:cols w:equalWidth="0" w:num="3">
            <w:col w:w="3740" w:space="60"/>
            <w:col w:w="3540" w:space="80"/>
            <w:col w:w="2799"/>
          </w:cols>
          <w:pgMar w:left="240" w:top="122" w:right="1440"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9" w:lineRule="exact"/>
        <w:rPr>
          <w:sz w:val="20"/>
          <w:szCs w:val="20"/>
          <w:color w:val="auto"/>
        </w:rPr>
      </w:pPr>
    </w:p>
    <w:p>
      <w:pPr>
        <w:ind w:left="4360"/>
        <w:spacing w:after="0" w:line="207" w:lineRule="exact"/>
        <w:tabs>
          <w:tab w:leader="none" w:pos="514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Common stock, par value $1 per share: 94,224,234 shares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outstanding as of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20" w:type="dxa"/>
            <w:vAlign w:val="bottom"/>
            <w:gridSpan w:val="28"/>
          </w:tcPr>
          <w:p>
            <w:pPr>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0"/>
                <w:szCs w:val="20"/>
                <w:color w:val="auto"/>
              </w:rPr>
            </w:pPr>
          </w:p>
        </w:tc>
      </w:tr>
      <w:tr>
        <w:trPr>
          <w:trHeight w:val="392"/>
        </w:trPr>
        <w:tc>
          <w:tcPr>
            <w:tcW w:w="2560" w:type="dxa"/>
            <w:vAlign w:val="bottom"/>
            <w:tcBorders>
              <w:bottom w:val="single" w:sz="8" w:color="0000EE"/>
            </w:tcBorders>
            <w:gridSpan w:val="14"/>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5860" w:type="dxa"/>
            <w:vAlign w:val="bottom"/>
            <w:gridSpan w:val="14"/>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602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20" w:type="dxa"/>
            <w:vAlign w:val="bottom"/>
            <w:gridSpan w:val="25"/>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Consolidated Statement of Income (unaudited) for the Three Months Ended March 31, 2010 and</w:t>
              </w:r>
            </w:hyperlink>
          </w:p>
        </w:tc>
        <w:tc>
          <w:tcPr>
            <w:tcW w:w="820" w:type="dxa"/>
            <w:vAlign w:val="bottom"/>
          </w:tcPr>
          <w:p>
            <w:pPr>
              <w:spacing w:after="0"/>
              <w:rPr>
                <w:sz w:val="24"/>
                <w:szCs w:val="24"/>
                <w:color w:val="auto"/>
              </w:rPr>
            </w:pPr>
          </w:p>
        </w:tc>
      </w:tr>
      <w:tr>
        <w:trPr>
          <w:trHeight w:val="196"/>
        </w:trPr>
        <w:tc>
          <w:tcPr>
            <w:tcW w:w="400" w:type="dxa"/>
            <w:vAlign w:val="bottom"/>
            <w:gridSpan w:val="3"/>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4"/>
              </w:rPr>
            </w:pPr>
            <w:hyperlink w:anchor="page4">
              <w:r>
                <w:rPr>
                  <w:rFonts w:ascii="Arial" w:cs="Arial" w:eastAsia="Arial" w:hAnsi="Arial"/>
                  <w:sz w:val="18"/>
                  <w:szCs w:val="18"/>
                  <w:b w:val="1"/>
                  <w:bCs w:val="1"/>
                  <w:color w:val="0000EE"/>
                  <w:w w:val="84"/>
                </w:rPr>
                <w:t>2009</w:t>
              </w:r>
            </w:hyperlink>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20" w:type="dxa"/>
            <w:vAlign w:val="bottom"/>
            <w:gridSpan w:val="2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 at March 31, 2010 (unaudited), December 31, 2009 (audited) and</w:t>
              </w:r>
            </w:hyperlink>
          </w:p>
        </w:tc>
        <w:tc>
          <w:tcPr>
            <w:tcW w:w="8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1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6">
              <w:r>
                <w:rPr>
                  <w:rFonts w:ascii="Arial" w:cs="Arial" w:eastAsia="Arial" w:hAnsi="Arial"/>
                  <w:sz w:val="18"/>
                  <w:szCs w:val="18"/>
                  <w:b w:val="1"/>
                  <w:bCs w:val="1"/>
                  <w:color w:val="0000EE"/>
                  <w:w w:val="91"/>
                </w:rPr>
                <w:t>March 31, 2009 (unaudited)</w:t>
              </w:r>
            </w:hyperlink>
          </w:p>
        </w:tc>
        <w:tc>
          <w:tcPr>
            <w:tcW w:w="4780" w:type="dxa"/>
            <w:vAlign w:val="bottom"/>
            <w:tcBorders>
              <w:top w:val="single" w:sz="8" w:color="0000EE"/>
            </w:tcBorders>
            <w:gridSpan w:val="6"/>
          </w:tcPr>
          <w:p>
            <w:pPr>
              <w:spacing w:after="0"/>
              <w:rPr>
                <w:sz w:val="17"/>
                <w:szCs w:val="17"/>
                <w:color w:val="auto"/>
              </w:rPr>
            </w:pPr>
          </w:p>
        </w:tc>
        <w:tc>
          <w:tcPr>
            <w:tcW w:w="90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tcBorders>
              <w:bottom w:val="single" w:sz="8" w:color="0000EE"/>
            </w:tcBorders>
            <w:gridSpan w:val="22"/>
          </w:tcPr>
          <w:p>
            <w:pPr>
              <w:spacing w:after="0"/>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Consolidated Statement of Changes in Shareholders’ Equity (unaudited) for the Three Months</w:t>
              </w:r>
            </w:hyperlink>
          </w:p>
        </w:tc>
        <w:tc>
          <w:tcPr>
            <w:tcW w:w="76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Ended March 31, 2010 and 2009</w:t>
              </w:r>
            </w:hyperlink>
          </w:p>
        </w:tc>
        <w:tc>
          <w:tcPr>
            <w:tcW w:w="534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20" w:type="dxa"/>
            <w:vAlign w:val="bottom"/>
            <w:gridSpan w:val="25"/>
          </w:tcPr>
          <w:p>
            <w:pPr>
              <w:spacing w:after="0"/>
              <w:rPr>
                <w:rFonts w:ascii="Arial" w:cs="Arial" w:eastAsia="Arial" w:hAnsi="Arial"/>
                <w:sz w:val="18"/>
                <w:szCs w:val="18"/>
                <w:b w:val="1"/>
                <w:bCs w:val="1"/>
                <w:color w:val="0000EE"/>
                <w:w w:val="98"/>
              </w:rPr>
            </w:pPr>
            <w:hyperlink w:anchor="page8">
              <w:r>
                <w:rPr>
                  <w:rFonts w:ascii="Arial" w:cs="Arial" w:eastAsia="Arial" w:hAnsi="Arial"/>
                  <w:sz w:val="18"/>
                  <w:szCs w:val="18"/>
                  <w:b w:val="1"/>
                  <w:bCs w:val="1"/>
                  <w:color w:val="0000EE"/>
                  <w:w w:val="98"/>
                </w:rPr>
                <w:t>Consolidated Statement of Cash Flows (unaudited) for the Three Months Ended March 31, 2010</w:t>
              </w:r>
            </w:hyperlink>
          </w:p>
        </w:tc>
        <w:tc>
          <w:tcPr>
            <w:tcW w:w="8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and 2009</w:t>
              </w:r>
            </w:hyperlink>
          </w:p>
        </w:tc>
        <w:tc>
          <w:tcPr>
            <w:tcW w:w="6480" w:type="dxa"/>
            <w:vAlign w:val="bottom"/>
            <w:tcBorders>
              <w:top w:val="single" w:sz="8" w:color="0000EE"/>
            </w:tcBorders>
            <w:gridSpan w:val="19"/>
          </w:tcPr>
          <w:p>
            <w:pPr>
              <w:spacing w:after="0"/>
              <w:rPr>
                <w:sz w:val="17"/>
                <w:szCs w:val="17"/>
                <w:color w:val="auto"/>
              </w:rPr>
            </w:pPr>
          </w:p>
        </w:tc>
        <w:tc>
          <w:tcPr>
            <w:tcW w:w="6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7"/>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6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2"/>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Item 2. Management’s Discussion and Analysis of Financial Condition and Results of Operations</w:t>
              </w:r>
            </w:hyperlink>
          </w:p>
        </w:tc>
        <w:tc>
          <w:tcPr>
            <w:tcW w:w="8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26"/>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3. 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89"/>
              </w:rPr>
            </w:pPr>
            <w:hyperlink w:anchor="page51">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7"/>
          </w:tcPr>
          <w:p>
            <w:pPr>
              <w:spacing w:after="0"/>
              <w:rPr>
                <w:sz w:val="24"/>
                <w:szCs w:val="24"/>
                <w:color w:val="auto"/>
              </w:rPr>
            </w:pPr>
          </w:p>
        </w:tc>
        <w:tc>
          <w:tcPr>
            <w:tcW w:w="298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8420" w:type="dxa"/>
            <w:vAlign w:val="bottom"/>
            <w:gridSpan w:val="28"/>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 Other Information</w:t>
              </w:r>
            </w:hyperlink>
          </w:p>
        </w:tc>
        <w:tc>
          <w:tcPr>
            <w:tcW w:w="82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10"/>
          </w:tcPr>
          <w:p>
            <w:pPr>
              <w:spacing w:after="0"/>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Item 1. Legal Proceedings</w:t>
              </w:r>
            </w:hyperlink>
          </w:p>
        </w:tc>
        <w:tc>
          <w:tcPr>
            <w:tcW w:w="606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1A. Risk Factors</w:t>
              </w:r>
            </w:hyperlink>
          </w:p>
        </w:tc>
        <w:tc>
          <w:tcPr>
            <w:tcW w:w="624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Item 2. Unregistered Sales of Equity Securities and Use of Proceeds</w:t>
              </w:r>
            </w:hyperlink>
          </w:p>
        </w:tc>
        <w:tc>
          <w:tcPr>
            <w:tcW w:w="306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26"/>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3. Defaults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89"/>
              </w:rPr>
            </w:pPr>
            <w:hyperlink w:anchor="page52">
              <w:r>
                <w:rPr>
                  <w:rFonts w:ascii="Arial" w:cs="Arial" w:eastAsia="Arial" w:hAnsi="Arial"/>
                  <w:sz w:val="18"/>
                  <w:szCs w:val="18"/>
                  <w:b w:val="1"/>
                  <w:bCs w:val="1"/>
                  <w:color w:val="0000EE"/>
                  <w:w w:val="89"/>
                </w:rPr>
                <w:t>Item 4. (Removed and Reserved)</w:t>
              </w:r>
            </w:hyperlink>
          </w:p>
        </w:tc>
        <w:tc>
          <w:tcPr>
            <w:tcW w:w="500" w:type="dxa"/>
            <w:vAlign w:val="bottom"/>
            <w:tcBorders>
              <w:top w:val="single" w:sz="8" w:color="0000EE"/>
            </w:tcBorders>
            <w:gridSpan w:val="3"/>
          </w:tcPr>
          <w:p>
            <w:pPr>
              <w:spacing w:after="0"/>
              <w:rPr>
                <w:sz w:val="24"/>
                <w:szCs w:val="24"/>
                <w:color w:val="auto"/>
              </w:rPr>
            </w:pPr>
          </w:p>
        </w:tc>
        <w:tc>
          <w:tcPr>
            <w:tcW w:w="5200" w:type="dxa"/>
            <w:vAlign w:val="bottom"/>
            <w:gridSpan w:val="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26"/>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5. Other Information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6. Exhibits</w:t>
              </w:r>
            </w:hyperlink>
          </w:p>
        </w:tc>
        <w:tc>
          <w:tcPr>
            <w:tcW w:w="620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000" w:type="dxa"/>
            <w:vAlign w:val="bottom"/>
            <w:gridSpan w:val="2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380" w:type="dxa"/>
            <w:vAlign w:val="bottom"/>
            <w:gridSpan w:val="27"/>
          </w:tcPr>
          <w:p>
            <w:pPr>
              <w:spacing w:after="0"/>
              <w:rPr>
                <w:sz w:val="20"/>
                <w:szCs w:val="20"/>
                <w:color w:val="auto"/>
              </w:rPr>
            </w:pPr>
            <w:r>
              <w:rPr>
                <w:rFonts w:ascii="Arial" w:cs="Arial" w:eastAsia="Arial" w:hAnsi="Arial"/>
                <w:sz w:val="18"/>
                <w:szCs w:val="18"/>
                <w:color w:val="0000EE"/>
              </w:rPr>
              <w:t>Exhibit 31.1</w:t>
            </w:r>
          </w:p>
        </w:tc>
        <w:tc>
          <w:tcPr>
            <w:tcW w:w="8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72,215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81,880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securities, including tax exempt of $311 and $319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16,203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Federal funds sold, commercial paper and deposits in banks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89,356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103,074</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1,854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20,198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36,053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23,893</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977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28,570</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60,786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 after 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(14,214)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7,447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1,479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Securities gains, net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Total fee revenue</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24,360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3,273</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1,043</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1,943</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Foreclosed preoperty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3,626</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3,921</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54,820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124,686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(57,368)</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(120,939)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(22,910)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 from continuing operations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(34,458)</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(103,929)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income from discontinued operations, net of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Gain from sale of subsidiary, net of income taxes and selling costs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(33,293)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Preferred stock dividends and discount accretion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loss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Loss from continuing operations per common share — 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continuing operations per common share —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Loss per common share — Basic</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per common share —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94,390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48,324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94,390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47" w:orient="portrait"/>
          <w:cols w:equalWidth="0" w:num="1">
            <w:col w:w="10219"/>
          </w:cols>
          <w:pgMar w:left="240" w:top="405" w:right="1440" w:bottom="0" w:gutter="0" w:footer="0" w:header="0"/>
        </w:sectPr>
      </w:pPr>
    </w:p>
    <w:bookmarkStart w:id="4" w:name="page5"/>
    <w:bookmarkEnd w:id="4"/>
    <w:p>
      <w:pPr>
        <w:ind w:left="37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105,613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126,265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103,707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99,893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120,382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w w:val="98"/>
              </w:rPr>
              <w:t>Federal funds sold, commercial paper and short-term investments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183,049</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129,720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24,983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388,555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376,367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134,482</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1,526,589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1,530,047</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1,719,033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 loans held for sale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21,998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43,161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Loans, net of unearned income (including $69,655 held for sale at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March 31, 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4,992,045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5,151,476</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5,632,705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Less allowance for loan losses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173,934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143,990</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360" w:type="dxa"/>
            <w:vAlign w:val="bottom"/>
            <w:gridSpan w:val="2"/>
          </w:tcPr>
          <w:p>
            <w:pPr>
              <w:ind w:left="800"/>
              <w:spacing w:after="0"/>
              <w:rPr>
                <w:sz w:val="20"/>
                <w:szCs w:val="20"/>
                <w:color w:val="auto"/>
              </w:rPr>
            </w:pPr>
            <w:r>
              <w:rPr>
                <w:rFonts w:ascii="Arial" w:cs="Arial" w:eastAsia="Arial" w:hAnsi="Arial"/>
                <w:sz w:val="18"/>
                <w:szCs w:val="18"/>
                <w:color w:val="auto"/>
              </w:rPr>
              <w:t>Loans, net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4,818,111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4,995,874</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5,488,715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covered by loss sharing agreements with the FDIC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169,287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185,938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Premises and equipment,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181,217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182,038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178,980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30,492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Goodwill and other intangible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224,394</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225,196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251,060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Foreclosed property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136,275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120,770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340,100</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319,591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235,335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7,837,018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7,999,914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8,171,663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Demand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740,727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707,826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665,447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NOW</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1,344,973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1,335,790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1,284,791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729,283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713,901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Savings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186,699</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177,427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177,001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color w:val="auto"/>
              </w:rPr>
              <w:t>Less than $100,000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1,643,059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1,746,511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1,911,627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Greater than $100,000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1,132,034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1,187,499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1,350,190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color w:val="auto"/>
              </w:rPr>
              <w:t>Brokered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710,813</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758,880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727,171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6,487,588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6,627,834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6,616,488</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w w:val="89"/>
              </w:rPr>
              <w:t>Federal funds purchased, repurchase agreements, and other short-term</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102,480</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101,389</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158,690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114,303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114,501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150,086</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150,066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151,006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56,666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6,911,123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7,037,593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7,282,810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89"/>
              </w:rPr>
              <w:t>Series A; $10 stated value; 21,700, 21,700 and 25,800 shares issued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and outstanding</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w w:val="88"/>
              </w:rPr>
              <w:t>Series B; $1,000 stated value; 180,000 shares issued and outstanding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174,727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174,408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173,480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$1 par value; 100,000,000 shares authorized;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94,175,857, 94,045,603 and 48,809,301 shares issued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94,176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Common stock issuable; 262,002, 221,906 and 161,807 shares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4,127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surplus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622,803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622,034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452,277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(Accumulated deficit) retained earnings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(15,481)</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20,384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158,201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322,603 shares, at cost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45,326</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47,635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58,550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925,895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962,321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888,853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7,837,018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7,999,914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8,171,663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68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686"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tcPr>
          <w:p>
            <w:pPr>
              <w:ind w:left="60"/>
              <w:spacing w:after="0"/>
              <w:rPr>
                <w:sz w:val="20"/>
                <w:szCs w:val="20"/>
                <w:color w:val="auto"/>
              </w:rPr>
            </w:pPr>
            <w:r>
              <w:rPr>
                <w:rFonts w:ascii="Arial" w:cs="Arial" w:eastAsia="Arial" w:hAnsi="Arial"/>
                <w:sz w:val="16"/>
                <w:szCs w:val="16"/>
                <w:b w:val="1"/>
                <w:bCs w:val="1"/>
                <w:color w:val="auto"/>
                <w:w w:val="98"/>
              </w:rPr>
              <w:t>(Accumulated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6"/>
              </w:rPr>
              <w:t>Series A</w:t>
            </w:r>
          </w:p>
        </w:tc>
        <w:tc>
          <w:tcPr>
            <w:tcW w:w="80" w:type="dxa"/>
            <w:vAlign w:val="bottom"/>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Series B</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b w:val="1"/>
                <w:bCs w:val="1"/>
                <w:color w:val="auto"/>
              </w:rPr>
              <w:t>Common</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Deficit)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Preferred</w:t>
            </w:r>
          </w:p>
        </w:tc>
        <w:tc>
          <w:tcPr>
            <w:tcW w:w="8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Preferred</w:t>
            </w: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Common</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7"/>
              </w:rPr>
              <w:t>Stock</w:t>
            </w:r>
          </w:p>
        </w:tc>
        <w:tc>
          <w:tcPr>
            <w:tcW w:w="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Retained</w:t>
            </w:r>
          </w:p>
        </w:tc>
        <w:tc>
          <w:tcPr>
            <w:tcW w:w="820" w:type="dxa"/>
            <w:vAlign w:val="bottom"/>
            <w:gridSpan w:val="4"/>
          </w:tcPr>
          <w:p>
            <w:pPr>
              <w:ind w:left="40"/>
              <w:spacing w:after="0"/>
              <w:rPr>
                <w:sz w:val="20"/>
                <w:szCs w:val="20"/>
                <w:color w:val="auto"/>
              </w:rPr>
            </w:pPr>
            <w:r>
              <w:rPr>
                <w:rFonts w:ascii="Arial" w:cs="Arial" w:eastAsia="Arial" w:hAnsi="Arial"/>
                <w:sz w:val="16"/>
                <w:szCs w:val="16"/>
                <w:b w:val="1"/>
                <w:bCs w:val="1"/>
                <w:color w:val="auto"/>
              </w:rPr>
              <w:t>Treasury</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w w:val="96"/>
              </w:rPr>
              <w:t>Comprehensive</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share and per share data)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w:t>
            </w:r>
          </w:p>
        </w:tc>
        <w:tc>
          <w:tcPr>
            <w:tcW w:w="740" w:type="dxa"/>
            <w:vAlign w:val="bottom"/>
            <w:gridSpan w:val="3"/>
          </w:tcPr>
          <w:p>
            <w:pPr>
              <w:ind w:left="40"/>
              <w:spacing w:after="0"/>
              <w:rPr>
                <w:sz w:val="20"/>
                <w:szCs w:val="20"/>
                <w:color w:val="auto"/>
              </w:rPr>
            </w:pPr>
            <w:r>
              <w:rPr>
                <w:rFonts w:ascii="Arial" w:cs="Arial" w:eastAsia="Arial" w:hAnsi="Arial"/>
                <w:sz w:val="16"/>
                <w:szCs w:val="16"/>
                <w:b w:val="1"/>
                <w:bCs w:val="1"/>
                <w:color w:val="auto"/>
              </w:rPr>
              <w:t>Issuable</w:t>
            </w:r>
          </w:p>
        </w:tc>
        <w:tc>
          <w:tcPr>
            <w:tcW w:w="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3"/>
              </w:rPr>
              <w:t>Surplus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Income</w:t>
            </w:r>
          </w:p>
        </w:tc>
        <w:tc>
          <w:tcPr>
            <w:tcW w:w="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$ 173,180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$460,708</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265,405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(16,465)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54,579</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$ 989,382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(103,773)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(103,773)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Arial" w:cs="Arial" w:eastAsia="Arial" w:hAnsi="Arial"/>
                <w:sz w:val="16"/>
                <w:szCs w:val="16"/>
                <w:color w:val="auto"/>
              </w:rPr>
              <w:t>Other comprehensive income (loss):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5"/>
              </w:rPr>
              <w:t>Unrealized holding gains on available for sale</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5"/>
              </w:rPr>
              <w:t>securities, net of deferred tax expense and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reclassification adjustment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ind w:left="400"/>
              <w:spacing w:after="0"/>
              <w:rPr>
                <w:sz w:val="20"/>
                <w:szCs w:val="20"/>
                <w:color w:val="auto"/>
              </w:rPr>
            </w:pPr>
            <w:r>
              <w:rPr>
                <w:rFonts w:ascii="Arial" w:cs="Arial" w:eastAsia="Arial" w:hAnsi="Arial"/>
                <w:sz w:val="16"/>
                <w:szCs w:val="16"/>
                <w:color w:val="auto"/>
              </w:rPr>
              <w:t>Unrealized losses on derivative financial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600"/>
              <w:spacing w:after="0"/>
              <w:rPr>
                <w:sz w:val="20"/>
                <w:szCs w:val="20"/>
                <w:color w:val="auto"/>
              </w:rPr>
            </w:pPr>
            <w:r>
              <w:rPr>
                <w:rFonts w:ascii="Arial" w:cs="Arial" w:eastAsia="Arial" w:hAnsi="Arial"/>
                <w:sz w:val="16"/>
                <w:szCs w:val="16"/>
                <w:color w:val="auto"/>
                <w:w w:val="93"/>
              </w:rPr>
              <w:t>instruments qualifying as cash flow hedges,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600"/>
              <w:spacing w:after="0"/>
              <w:rPr>
                <w:sz w:val="20"/>
                <w:szCs w:val="20"/>
                <w:color w:val="auto"/>
              </w:rPr>
            </w:pPr>
            <w:r>
              <w:rPr>
                <w:rFonts w:ascii="Arial" w:cs="Arial" w:eastAsia="Arial" w:hAnsi="Arial"/>
                <w:sz w:val="16"/>
                <w:szCs w:val="16"/>
                <w:color w:val="auto"/>
              </w:rPr>
              <w:t>net of deferred tax benefit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(4,260)</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(103,773)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(99,802)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w w:val="92"/>
              </w:rPr>
              <w:t>Stock dividends declared on common stock (367,081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(6,932)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(877)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7,801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w w:val="92"/>
              </w:rPr>
              <w:t>Common stock issued to dividend Reinvestment plan</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employee benefit plans (99,604 shares)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2,404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Amortization of stock option and restricted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stock (6,268 shares issued,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11,875 shares deferred)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w w:val="94"/>
              </w:rPr>
              <w:t>Deferred compensation plan, net, including dividend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from deferred compensation plan</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(4,336 shares)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w w:val="96"/>
              </w:rPr>
              <w:t>Tax on option exercise and restricted stock vesting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Dividends on Series A preferred stock ($.15 per</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Dividends on Series B preferred stock (5%)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2009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$ 173,480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452,277</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158,201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(5,992)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58,550</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$ 888,853</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December 31, 2009</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20" w:type="dxa"/>
            <w:vAlign w:val="bottom"/>
            <w:gridSpan w:val="2"/>
            <w:vMerge w:val="continue"/>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217</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$ 174,408</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94,046</w:t>
            </w:r>
          </w:p>
        </w:tc>
        <w:tc>
          <w:tcPr>
            <w:tcW w:w="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3,597</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5"/>
              </w:rPr>
              <w:t>$622,034</w:t>
            </w:r>
          </w:p>
        </w:tc>
        <w:tc>
          <w:tcPr>
            <w:tcW w:w="10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20,384</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47,635</w:t>
            </w:r>
          </w:p>
        </w:tc>
        <w:tc>
          <w:tcPr>
            <w:tcW w:w="10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$ 962,321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(33,293)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(33,293)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income (loss):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ind w:left="400"/>
              <w:spacing w:after="0"/>
              <w:rPr>
                <w:sz w:val="20"/>
                <w:szCs w:val="20"/>
                <w:color w:val="auto"/>
              </w:rPr>
            </w:pPr>
            <w:r>
              <w:rPr>
                <w:rFonts w:ascii="Arial" w:cs="Arial" w:eastAsia="Arial" w:hAnsi="Arial"/>
                <w:sz w:val="16"/>
                <w:szCs w:val="16"/>
                <w:color w:val="auto"/>
                <w:w w:val="95"/>
              </w:rPr>
              <w:t>Unrealized holding gains on available for sale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600"/>
              <w:spacing w:after="0"/>
              <w:rPr>
                <w:sz w:val="20"/>
                <w:szCs w:val="20"/>
                <w:color w:val="auto"/>
              </w:rPr>
            </w:pPr>
            <w:r>
              <w:rPr>
                <w:rFonts w:ascii="Arial" w:cs="Arial" w:eastAsia="Arial" w:hAnsi="Arial"/>
                <w:sz w:val="16"/>
                <w:szCs w:val="16"/>
                <w:color w:val="auto"/>
                <w:w w:val="95"/>
              </w:rPr>
              <w:t>securities, net of deferred tax expense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600"/>
              <w:spacing w:after="0"/>
              <w:rPr>
                <w:sz w:val="20"/>
                <w:szCs w:val="20"/>
                <w:color w:val="auto"/>
              </w:rPr>
            </w:pPr>
            <w:r>
              <w:rPr>
                <w:rFonts w:ascii="Arial" w:cs="Arial" w:eastAsia="Arial" w:hAnsi="Arial"/>
                <w:sz w:val="16"/>
                <w:szCs w:val="16"/>
                <w:color w:val="auto"/>
              </w:rPr>
              <w:t>reclassification adjustment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Unrealized losses on derivative financial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3"/>
              </w:rPr>
              <w:t>instruments qualifying as cash flow hedges,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of deferred tax benefit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(3,092)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600"/>
              <w:spacing w:after="0"/>
              <w:rPr>
                <w:sz w:val="20"/>
                <w:szCs w:val="20"/>
                <w:color w:val="auto"/>
              </w:rPr>
            </w:pPr>
            <w:r>
              <w:rPr>
                <w:rFonts w:ascii="Arial" w:cs="Arial" w:eastAsia="Arial" w:hAnsi="Arial"/>
                <w:sz w:val="16"/>
                <w:szCs w:val="16"/>
                <w:color w:val="auto"/>
              </w:rPr>
              <w:t>Comprehensive loss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(33,293)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(2,309)</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(35,602)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w w:val="94"/>
              </w:rPr>
              <w:t>Common stock issued to dividend reinvestment plan</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employee benefit plans (125,021 shares)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Amortization of stock options and restricted 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Arial" w:cs="Arial" w:eastAsia="Arial" w:hAnsi="Arial"/>
                <w:sz w:val="16"/>
                <w:szCs w:val="16"/>
                <w:color w:val="auto"/>
              </w:rPr>
              <w:t>awards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stock (5,233 shares issued,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18,550 shares deferred)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w w:val="94"/>
              </w:rPr>
              <w:t>Deferred compensation plan, net, including dividend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Dividends on Series A preferred stock ($.15 per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Dividends on Series B preferred stock (5%)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March 31, 2010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$ 174,727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622,803</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(15,481)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45,326</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$ 925,895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(33,293)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(103,773)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3,814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Securities gains, net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gains on sales of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Net losses and write downs on sales other real estate owned</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8,097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Gain from sale of subsidiary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(11,554)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8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(4,956)</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Mortgage loans held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43,994</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40,817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200,578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(219,354)</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(297,645)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decrease (increase) in loans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65,889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cash received from sale of subsidiary</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21,692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107,896</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change in deposits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(139,051)</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(386,319)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Net change in federal funds purchased, repurchase agreements, and other short-term</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1,091</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FHLB advances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Repayments of FHLB advances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Proceeds from issuance of common stock for dividend reinvestment and employee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benefit plans</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dividends on preferred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(139,702)</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12,188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(358,939)</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376,367</w:t>
            </w: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493,421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388,555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Cash paid (received) during the period for: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33,283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51,207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2009 annual report filed on Form 10-K.</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60"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United records all derivative financial instruments on the balance sheet at fair value. The accounting for changes in the fair value of derivatives depends on the intended use of the derivative, whether United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United may enter into derivative contracts that are intended to economically hedge certain of its risks, even though hedge accounting does not apply or United elects not to apply hedge accounting.</w:t>
      </w:r>
    </w:p>
    <w:p>
      <w:pPr>
        <w:spacing w:after="0" w:line="12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Foreclosed property is initially recorded at fair value, less cost to sell. If the fair value, less cost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w:t>
      </w:r>
      <w:r>
        <w:rPr>
          <w:rFonts w:ascii="Arial" w:cs="Arial" w:eastAsia="Arial" w:hAnsi="Arial"/>
          <w:sz w:val="18"/>
          <w:szCs w:val="18"/>
          <w:i w:val="1"/>
          <w:iCs w:val="1"/>
          <w:color w:val="auto"/>
        </w:rPr>
        <w:t>, Real Estate</w:t>
      </w:r>
      <w:r>
        <w:rPr>
          <w:rFonts w:ascii="Arial" w:cs="Arial" w:eastAsia="Arial" w:hAnsi="Arial"/>
          <w:sz w:val="18"/>
          <w:szCs w:val="18"/>
          <w:color w:val="auto"/>
        </w:rPr>
        <w:t xml:space="preserve"> </w:t>
      </w:r>
      <w:r>
        <w:rPr>
          <w:rFonts w:ascii="Arial" w:cs="Arial" w:eastAsia="Arial" w:hAnsi="Arial"/>
          <w:sz w:val="18"/>
          <w:szCs w:val="18"/>
          <w:i w:val="1"/>
          <w:iCs w:val="1"/>
          <w:color w:val="auto"/>
        </w:rPr>
        <w:t>Sales</w:t>
      </w:r>
      <w:r>
        <w:rPr>
          <w:rFonts w:ascii="Arial" w:cs="Arial" w:eastAsia="Arial" w:hAnsi="Arial"/>
          <w:sz w:val="18"/>
          <w:szCs w:val="18"/>
          <w:color w:val="auto"/>
        </w:rPr>
        <w:t>.</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Accounting Standards Updates</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In February 2010, the FASB issued Accounting Standards Update No. 2010-09, </w:t>
      </w:r>
      <w:r>
        <w:rPr>
          <w:rFonts w:ascii="Arial" w:cs="Arial" w:eastAsia="Arial" w:hAnsi="Arial"/>
          <w:sz w:val="18"/>
          <w:szCs w:val="18"/>
          <w:i w:val="1"/>
          <w:iCs w:val="1"/>
          <w:color w:val="auto"/>
        </w:rPr>
        <w:t>Subsequent Events: Amendments to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Disclosure Requirements </w:t>
      </w:r>
      <w:r>
        <w:rPr>
          <w:rFonts w:ascii="Arial" w:cs="Arial" w:eastAsia="Arial" w:hAnsi="Arial"/>
          <w:sz w:val="18"/>
          <w:szCs w:val="18"/>
          <w:color w:val="auto"/>
        </w:rPr>
        <w:t>(“ASC No. 2010-09”). ASU No. 2010-09 removes some contradictions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GAAP and the filing rules of the Securities and Exchange Commission (“SEC”). SEC filers are required to evaluate subsequent events through the date the financial statements are issued, and they are no longer required to disclose the date through which subsequent events have been evaluated. This guidance was effective upon issuance except for the use of the issued date for conduit debt obligors, and it is not expected to have a material impact on United’s results of operations, financial position or disclosures.</w:t>
      </w:r>
    </w:p>
    <w:p>
      <w:pPr>
        <w:spacing w:after="0" w:line="14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 xml:space="preserve">In February 2010, the FASB issued Accounting Standards Update No. 2010-10, </w:t>
      </w:r>
      <w:r>
        <w:rPr>
          <w:rFonts w:ascii="Arial" w:cs="Arial" w:eastAsia="Arial" w:hAnsi="Arial"/>
          <w:sz w:val="17"/>
          <w:szCs w:val="17"/>
          <w:i w:val="1"/>
          <w:iCs w:val="1"/>
          <w:color w:val="auto"/>
        </w:rPr>
        <w:t>Consolidation: Amendments for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Funds </w:t>
      </w:r>
      <w:r>
        <w:rPr>
          <w:rFonts w:ascii="Arial" w:cs="Arial" w:eastAsia="Arial" w:hAnsi="Arial"/>
          <w:sz w:val="17"/>
          <w:szCs w:val="17"/>
          <w:color w:val="auto"/>
        </w:rPr>
        <w:t>(“ASU No. 2010-10”). ASU No. 2010-10 indefinitely defers the effective date for certain investment funds,</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made to FASB ASC 810-10 related to variable interest entities by Statement of Financial Accounting Standard (“SFAS”) No. 167, however this deferral does not apply to the disclosure requirements of SFAS No. 167. ASU No. 2010-10 also clarifies that (1) interests of related parties must be considered in determining whether fees paid to decision makers or service providers constitute a variable interest, and (2) a quantitative calculation should not be the only basis on which such determination is made. This guidance is effective as of the beginning of the first annual period beginning after November 15, 2009, and for interim periods within that first annual reporting period. It is not expected to have a material impact on United’s results of operations, financial position or disclosures.</w:t>
      </w:r>
    </w:p>
    <w:p>
      <w:pPr>
        <w:spacing w:after="0" w:line="14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 xml:space="preserve">In March 2010, the FASB issued Accounting Standards Update No. 2010-11, </w:t>
      </w:r>
      <w:r>
        <w:rPr>
          <w:rFonts w:ascii="Arial" w:cs="Arial" w:eastAsia="Arial" w:hAnsi="Arial"/>
          <w:sz w:val="17"/>
          <w:szCs w:val="17"/>
          <w:i w:val="1"/>
          <w:iCs w:val="1"/>
          <w:color w:val="auto"/>
        </w:rPr>
        <w:t>Derivatives and Hedging: Scope Exception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Embedded Credit Derivatives </w:t>
      </w:r>
      <w:r>
        <w:rPr>
          <w:rFonts w:ascii="Arial" w:cs="Arial" w:eastAsia="Arial" w:hAnsi="Arial"/>
          <w:sz w:val="17"/>
          <w:szCs w:val="17"/>
          <w:color w:val="auto"/>
        </w:rPr>
        <w:t>(“ASU No. 2010-11”)</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2010-11 clarifies the type of embedded credit derivative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exempt from embedded derivative bifurcation requirements, by resolving a potential ambiguity about the breadth of the embedded credit derivative scope exception with regard to some types of contracts, such as collateralized debt obligations (“CDO’s”) and synthetic CDO’s. The scope exception will no longer apply to some contracts that contain an embedded credit derivative feature that transfers credit risk. The ASU is effective for fiscal quarters beginning after June 15, 2010, and is not expected to have a material impact on United’s results of operations, financial position or disclosures.</w:t>
      </w:r>
    </w:p>
    <w:p>
      <w:pPr>
        <w:sectPr>
          <w:pgSz w:w="11900" w:h="16838" w:orient="portrait"/>
          <w:cols w:equalWidth="0" w:num="1">
            <w:col w:w="10219"/>
          </w:cols>
          <w:pgMar w:left="240" w:top="419" w:right="1440" w:bottom="1091"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1"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In April 2010, the FASB issued Accounting Standards Update No. 2010-12, </w:t>
      </w:r>
      <w:r>
        <w:rPr>
          <w:rFonts w:ascii="Arial" w:cs="Arial" w:eastAsia="Arial" w:hAnsi="Arial"/>
          <w:sz w:val="18"/>
          <w:szCs w:val="18"/>
          <w:i w:val="1"/>
          <w:iCs w:val="1"/>
          <w:color w:val="auto"/>
        </w:rPr>
        <w:t>Accounting for Certain Tax Effects of the 2010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Health Care Reform Acts </w:t>
      </w:r>
      <w:r>
        <w:rPr>
          <w:rFonts w:ascii="Arial" w:cs="Arial" w:eastAsia="Arial" w:hAnsi="Arial"/>
          <w:sz w:val="18"/>
          <w:szCs w:val="18"/>
          <w:color w:val="auto"/>
        </w:rPr>
        <w:t>(“ASU No. 2010-12”). ASU No. 2010-12 formally incorporates the SEC’s position concerning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specific provisions of the two health care reform acts that were enacted on different dates as one. This guidance allows companies with reporting period-end dates between March 23, 2010 and March 30, 2010 to avoid accounting for the enactment of the two health care laws that affect the measurement of the same deferred tax asset in two separate periods. This guidance was effective upon issuance and is not expected to have a material impact on United’s results of operations, financial position or disclosures.</w:t>
      </w:r>
    </w:p>
    <w:p>
      <w:pPr>
        <w:spacing w:after="0" w:line="149"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 xml:space="preserve">In April 2010, the FASB issued Accounting Standards Update No. 2010-13, </w:t>
      </w:r>
      <w:r>
        <w:rPr>
          <w:rFonts w:ascii="Arial" w:cs="Arial" w:eastAsia="Arial" w:hAnsi="Arial"/>
          <w:sz w:val="18"/>
          <w:szCs w:val="18"/>
          <w:i w:val="1"/>
          <w:iCs w:val="1"/>
          <w:color w:val="auto"/>
        </w:rPr>
        <w:t>Effect of Denominating the Exercise Price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Award in the Currency of the Market in Which the Underlying Equity Security Trades </w:t>
      </w:r>
      <w:r>
        <w:rPr>
          <w:rFonts w:ascii="Arial" w:cs="Arial" w:eastAsia="Arial" w:hAnsi="Arial"/>
          <w:sz w:val="18"/>
          <w:szCs w:val="18"/>
          <w:color w:val="auto"/>
        </w:rPr>
        <w:t>(“ASU No. 2010-13”). ASU No. 2010-13 clarifies that an employee share-based payment award with an exercise price denominated in the currency of a market in which a substantial portion of an entity’s equity securities trades should not be considered to contain a condition that is not a market, performance, or service condition. Therefore, an entity would not classify such an award as a liability if it otherwise qualifies as equity. This guidance is effective for fiscal years and interim periods within those fiscal years, beginning on or after December 15, 2010. It is not expected to have a material impact on United’s results of operations, financial position or disclosures.</w:t>
      </w:r>
    </w:p>
    <w:p>
      <w:pPr>
        <w:spacing w:after="0" w:line="15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 xml:space="preserve">In April 2010, the FASB issued Accounting Standards Update No. 2010-14, </w:t>
      </w:r>
      <w:r>
        <w:rPr>
          <w:rFonts w:ascii="Arial" w:cs="Arial" w:eastAsia="Arial" w:hAnsi="Arial"/>
          <w:sz w:val="17"/>
          <w:szCs w:val="17"/>
          <w:i w:val="1"/>
          <w:iCs w:val="1"/>
          <w:color w:val="auto"/>
        </w:rPr>
        <w:t>Accounting for Extractive Activities — Oil &amp; Gas</w:t>
      </w:r>
      <w:r>
        <w:rPr>
          <w:rFonts w:ascii="Arial" w:cs="Arial" w:eastAsia="Arial" w:hAnsi="Arial"/>
          <w:sz w:val="17"/>
          <w:szCs w:val="17"/>
          <w:color w:val="auto"/>
        </w:rPr>
        <w:t xml:space="preserve"> (“ASU No. 2010-14”). ASU No. 2010-14 incorporates updated text changes to Rule 4-10 of Regulation S-X to the FASB’s Accounting Standards Codification that became effective on January 1, 2010. This guidance is not applicable to United.</w:t>
      </w:r>
    </w:p>
    <w:p>
      <w:pPr>
        <w:spacing w:after="0" w:line="13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 xml:space="preserve">In April 2010, the FASB issued Accounting Standards Update No. 2010-15, </w:t>
      </w:r>
      <w:r>
        <w:rPr>
          <w:rFonts w:ascii="Arial" w:cs="Arial" w:eastAsia="Arial" w:hAnsi="Arial"/>
          <w:sz w:val="17"/>
          <w:szCs w:val="17"/>
          <w:i w:val="1"/>
          <w:iCs w:val="1"/>
          <w:color w:val="auto"/>
        </w:rPr>
        <w:t>How Investments Held through Separate 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Affect an Insurer’s Consolidation Analysis of Those Investments </w:t>
      </w:r>
      <w:r>
        <w:rPr>
          <w:rFonts w:ascii="Arial" w:cs="Arial" w:eastAsia="Arial" w:hAnsi="Arial"/>
          <w:sz w:val="17"/>
          <w:szCs w:val="17"/>
          <w:color w:val="auto"/>
        </w:rPr>
        <w:t>(“ASU No. 2010-15”). ASU No. 2010-15 provides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concerning consolidation by an insurance entity of (1) separate account interests held for the benefit of policy holders, and (2) an investment in which a separate account holds a controlling financial interest. In addition, ASU No</w:t>
      </w:r>
      <w:r>
        <w:rPr>
          <w:rFonts w:ascii="Arial" w:cs="Arial" w:eastAsia="Arial" w:hAnsi="Arial"/>
          <w:sz w:val="17"/>
          <w:szCs w:val="17"/>
          <w:b w:val="1"/>
          <w:bCs w:val="1"/>
          <w:color w:val="auto"/>
        </w:rPr>
        <w:t>.</w:t>
      </w:r>
      <w:r>
        <w:rPr>
          <w:rFonts w:ascii="Arial" w:cs="Arial" w:eastAsia="Arial" w:hAnsi="Arial"/>
          <w:sz w:val="17"/>
          <w:szCs w:val="17"/>
          <w:color w:val="auto"/>
        </w:rPr>
        <w:t xml:space="preserve"> 2010-15 amends FASB guidance so that an insurer is not required to consolidate an investment in which a separate account holds a controlling financial interest if the investment is not consolidated in the separate account’s standalone financial statements. The revised guidance, which should be applied retrospectively to all prior periods presented, is effective for fiscal years (and interim periods within such years) beginning after December 15, 2010, with earlier application permitted. This ASU has no impact on United’s results of operations, financial position or disclosures.</w:t>
      </w:r>
    </w:p>
    <w:p>
      <w:pPr>
        <w:spacing w:after="0" w:line="141"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 xml:space="preserve">In April 2010, the FASB issued Accounting Standards Update No. 2010-16, </w:t>
      </w:r>
      <w:r>
        <w:rPr>
          <w:rFonts w:ascii="Arial" w:cs="Arial" w:eastAsia="Arial" w:hAnsi="Arial"/>
          <w:sz w:val="16"/>
          <w:szCs w:val="16"/>
          <w:i w:val="1"/>
          <w:iCs w:val="1"/>
          <w:color w:val="auto"/>
        </w:rPr>
        <w:t>Accruals for Casino Jackpot Liabilities</w:t>
      </w:r>
      <w:r>
        <w:rPr>
          <w:rFonts w:ascii="Arial" w:cs="Arial" w:eastAsia="Arial" w:hAnsi="Arial"/>
          <w:sz w:val="16"/>
          <w:szCs w:val="16"/>
          <w:color w:val="auto"/>
        </w:rPr>
        <w:t xml:space="preserve"> (“ASU No. 2010-16”). ASU No. 2010-16 amends FASB guidance to require additional information to be disclosed principally in respect of level 3 fair value measurements and transfers to and from Level 1 and Level 2 measurements; in addition, enhanced disclosure is required concerning inputs and valuation techniques used to determine Level 2 and Level 3 fair value measurements. This guidance is generally effective for interim and annual reporting periods beginning after December 15, 2009; however, the requirements to disclose separately purchases, sales, issuances, and settlements in the Level 3 reconciliation are effective for fiscal years beginning after December 15, 2010 (and for interim periods within such years). ASU No. 2010-16 is not expected to have a material impact on United’s results of operations, financial position or disclosures.</w:t>
      </w:r>
    </w:p>
    <w:p>
      <w:pPr>
        <w:spacing w:after="0" w:line="126"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 xml:space="preserve">In April 2010, the FASB issued Accounting Standards Update No. 2010-17, </w:t>
      </w:r>
      <w:r>
        <w:rPr>
          <w:rFonts w:ascii="Arial" w:cs="Arial" w:eastAsia="Arial" w:hAnsi="Arial"/>
          <w:sz w:val="16"/>
          <w:szCs w:val="16"/>
          <w:i w:val="1"/>
          <w:iCs w:val="1"/>
          <w:color w:val="auto"/>
        </w:rPr>
        <w:t>Milestone Method of Revenue Recognition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consensus of the FASB Emerging Issues Task Force </w:t>
      </w:r>
      <w:r>
        <w:rPr>
          <w:rFonts w:ascii="Arial" w:cs="Arial" w:eastAsia="Arial" w:hAnsi="Arial"/>
          <w:sz w:val="16"/>
          <w:szCs w:val="16"/>
          <w:color w:val="auto"/>
        </w:rPr>
        <w:t>(“ASU No. 2010-17”). ASU No. 2010-17 provides guidance on defining a</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 and determining when it may be appropriate to apply the milestone method of revenue recognition for research and development transactions. Research or development arrangements frequently include payment provisions whereby a portion or all of the consideration is contingent upon milestone events such as successful completion of phases in a drug study or achieving a specific result from the research or development efforts. An entity often recognizes these milestone payments as revenue in their entirety upon achieving the related milestone, commonly referred to as the milestone method. The amendments in this ASU are effective on a prospective basis for milestones achieved in fiscal years, and interim periods within those years, beginning on or after June 15, 2010. Because United is not involved in research and development arrangements, ASU No. 2010-17 will have no impact on United’s results of operations, financial position or disclosures.</w:t>
      </w:r>
    </w:p>
    <w:p>
      <w:pPr>
        <w:spacing w:after="0" w:line="142"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 xml:space="preserve">In April 2010, the FASB issued Accounting Standards Update No. 2010-18, </w:t>
      </w:r>
      <w:r>
        <w:rPr>
          <w:rFonts w:ascii="Arial" w:cs="Arial" w:eastAsia="Arial" w:hAnsi="Arial"/>
          <w:sz w:val="17"/>
          <w:szCs w:val="17"/>
          <w:i w:val="1"/>
          <w:iCs w:val="1"/>
          <w:color w:val="auto"/>
        </w:rPr>
        <w:t>Effect of a Loan Modification When the Loan Is Part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 Pool That Is Accounted for as a Single Asset </w:t>
      </w:r>
      <w:r>
        <w:rPr>
          <w:rFonts w:ascii="Arial" w:cs="Arial" w:eastAsia="Arial" w:hAnsi="Arial"/>
          <w:sz w:val="17"/>
          <w:szCs w:val="17"/>
          <w:color w:val="auto"/>
        </w:rPr>
        <w:t>(“ASU No. 2010-18”). ASU No. 2010-18 provides guidance on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loan modifications when the loan is part of a pool of loans accounted for as a single asset such as acquired loans that have evidence of credit deterioration upon acquisition that are accounted for under the guidance in ASC 310-30. ASU No. 2010-18 addresses diversity in practice on whether a loan that is part of a pool of loans accounted for as a single asset should be removed from that pool upon a modification that would constitute a troubled debt restructuring or remain in the pool after modification. ASU No. 2010-18 clarifies that modifications of loans that are accounted for within a pool under ASC 310-30 do not result in the removal of those loans from the pool even if the modification of those loans would otherwise be considered a troubled debt restructuring. An entity will continue to be required to consider whether the pool of assets in which the loan is included is impaired if the expected cash flows for the pool change. The amendments in this update do not require any additional disclosures and are effective for modifications of loans accounted for within pools under ASC 310-30 occurring in the first interim or annual period ending on or after July 15, 2010. ASU 2010-18 is not expected to have a material impact on United’s results of operations, financial position or disclosures.</w:t>
      </w:r>
    </w:p>
    <w:p>
      <w:pPr>
        <w:sectPr>
          <w:pgSz w:w="11900" w:h="16838" w:orient="portrait"/>
          <w:cols w:equalWidth="0" w:num="1">
            <w:col w:w="10219"/>
          </w:cols>
          <w:pgMar w:left="240" w:top="419" w:right="1440" w:bottom="375"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75"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Mergers and Acquisitions</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On June 19, 2009, United Community Bank (“UCB” or the “Bank”) purchased substantially all the assets and assumed substantially all the liabilities of Southern Community Bank (“SCB”) from the Federal Deposit Insurance Corporation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June 19, 2009. UCB submitted a bid for the acquisition of SCB with the FDIC and the FDIC accepted the bid on June 16, 2009. The transaction resulted in a cash payment of $31 million from the FDIC to UCB. Further,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4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Under the loss sharing agreement, the portion of the losses expected to be indemnified by FDIC is considered an indemnification asset in accordance with ASC 805.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6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share agreements with the FDIC are reported as “assets covered by loss sharing agreements with the FDIC” in the consolidated balance sheet.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shows the components of covered assets at March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Impaired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39,725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7,044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7,045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16,713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22,023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10,004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10,131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r>
      <w:tr>
        <w:trPr>
          <w:trHeight w:val="223"/>
        </w:trPr>
        <w:tc>
          <w:tcPr>
            <w:tcW w:w="4120" w:type="dxa"/>
            <w:vAlign w:val="bottom"/>
          </w:tcPr>
          <w:p>
            <w:pPr>
              <w:ind w:left="200"/>
              <w:spacing w:after="0"/>
              <w:rPr>
                <w:sz w:val="20"/>
                <w:szCs w:val="20"/>
                <w:color w:val="auto"/>
              </w:rPr>
            </w:pPr>
            <w:r>
              <w:rPr>
                <w:rFonts w:ascii="Arial" w:cs="Arial" w:eastAsia="Arial" w:hAnsi="Arial"/>
                <w:sz w:val="18"/>
                <w:szCs w:val="18"/>
                <w:color w:val="auto"/>
              </w:rPr>
              <w:t>Total covered loans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74,108</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79,549</w:t>
            </w: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Covered forclosed property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32,012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57,726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57,726</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covered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89,738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169,287</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charged to earnings and an increase in the estimated FDIC reimbursement. Covered foreclosed property is initially recorded at its estimated fair value.</w:t>
      </w:r>
    </w:p>
    <w:p>
      <w:pPr>
        <w:spacing w:after="0" w:line="154"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the acquisition date, the preliminary estimate of the contractually required payments receivable for all ASC 310-30 loans acquired was $70.8 million, the cash flows expected to be collected were $24.5 million including interest, and the estimated fair value of the loans was $23.6 million. These amounts were determined based upon the estimated remaining life of the underlying loans, which include the effects of estimated prepayments. A majority of these loans were valued based on the liquidation value of the underlying collateral, because the expected cash flows are primarily based on the liquidation of the underlying collateral and the timing and amount of the cash flows could not be reasonably estimated. Certain amounts related to the ASC 310-30 loans are preliminary estimates and adjustments in future quarters may occur up to one year from the date of acquisition.</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Securities Available for Sale</w:t>
      </w:r>
    </w:p>
    <w:p>
      <w:pPr>
        <w:spacing w:after="0" w:line="189"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March 31, 2010, December 31, 2009 and March 31, 2009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Amortized</w:t>
            </w: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Fair</w:t>
            </w:r>
          </w:p>
        </w:tc>
      </w:tr>
      <w:tr>
        <w:trPr>
          <w:trHeight w:val="230"/>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Cost</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Value</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2010</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306,916</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306,578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63,175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64,544</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1,101,456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41,754</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1,142,179</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13,006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13,288</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1,484,553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1,526,589</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248,425</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246,466</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62,046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63,293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1,156,035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43,007</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1,197,222</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22,701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23,066</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1,489,207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1,530,047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163,326</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164,474</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40,342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40,554</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1,460,328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35,963</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6,113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1,490,178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24,283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23,827</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1,688,279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1,719,033</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securities in an unrealized loss position as of March 31, 2010, December 31, 2009 and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March 31,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8"/>
                <w:szCs w:val="18"/>
                <w:color w:val="auto"/>
                <w:w w:val="92"/>
              </w:rPr>
              <w:t>Less than 12 Months</w:t>
            </w:r>
          </w:p>
        </w:tc>
        <w:tc>
          <w:tcPr>
            <w:tcW w:w="120" w:type="dxa"/>
            <w:vAlign w:val="bottom"/>
          </w:tcPr>
          <w:p>
            <w:pPr>
              <w:spacing w:after="0"/>
              <w:rPr>
                <w:sz w:val="20"/>
                <w:szCs w:val="20"/>
                <w:color w:val="auto"/>
              </w:rPr>
            </w:pPr>
          </w:p>
        </w:tc>
        <w:tc>
          <w:tcPr>
            <w:tcW w:w="2120" w:type="dxa"/>
            <w:vAlign w:val="bottom"/>
            <w:gridSpan w:val="5"/>
          </w:tcPr>
          <w:p>
            <w:pPr>
              <w:jc w:val="right"/>
              <w:ind w:right="600"/>
              <w:spacing w:after="0"/>
              <w:rPr>
                <w:sz w:val="20"/>
                <w:szCs w:val="20"/>
                <w:color w:val="auto"/>
              </w:rPr>
            </w:pPr>
            <w:r>
              <w:rPr>
                <w:rFonts w:ascii="Arial" w:cs="Arial" w:eastAsia="Arial" w:hAnsi="Arial"/>
                <w:sz w:val="18"/>
                <w:szCs w:val="18"/>
                <w:color w:val="auto"/>
                <w:w w:val="99"/>
              </w:rPr>
              <w:t>12 Months or More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6"/>
                <w:szCs w:val="16"/>
                <w:color w:val="auto"/>
              </w:rPr>
            </w:pPr>
          </w:p>
        </w:tc>
      </w:tr>
      <w:tr>
        <w:trPr>
          <w:trHeight w:val="230"/>
        </w:trPr>
        <w:tc>
          <w:tcPr>
            <w:tcW w:w="286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Loss</w:t>
            </w:r>
          </w:p>
        </w:tc>
        <w:tc>
          <w:tcPr>
            <w:tcW w:w="110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Loss</w:t>
            </w:r>
          </w:p>
        </w:tc>
        <w:tc>
          <w:tcPr>
            <w:tcW w:w="760" w:type="dxa"/>
            <w:vAlign w:val="bottom"/>
            <w:gridSpan w:val="3"/>
          </w:tcPr>
          <w:p>
            <w:pPr>
              <w:spacing w:after="0"/>
              <w:rPr>
                <w:sz w:val="20"/>
                <w:szCs w:val="20"/>
                <w:color w:val="auto"/>
              </w:rPr>
            </w:pPr>
            <w:r>
              <w:rPr>
                <w:rFonts w:ascii="Arial" w:cs="Arial" w:eastAsia="Arial" w:hAnsi="Arial"/>
                <w:sz w:val="18"/>
                <w:szCs w:val="18"/>
                <w:color w:val="auto"/>
                <w:w w:val="90"/>
              </w:rPr>
              <w:t>Fair Value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Loss</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2010</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138,233</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138,233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891</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20,382</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34,358</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54,740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160,650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198,699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151,838</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151,838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2,173</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84,024</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22,358</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106,382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1,820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238,210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25,643</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263,853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29,924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29,924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61,364</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163,145</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5,583</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224,509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6,113</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13,840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110,762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167,853</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278,615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the three months ended March 31, 2010, United recorded impairment losses of $950,000 on investments in financial institutions that showed evidence of other-than-temporary impairment.</w:t>
      </w:r>
    </w:p>
    <w:p>
      <w:pPr>
        <w:spacing w:after="0" w:line="137"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At March 31, 2010, there were $199 million in available for sale securities that were in an unrealized loss position. United does not intend to sell nor believes it will be required to sell securities in an unrealized loss position prior to the recovery of its amortized cost basis. Unrealized losses and March 31, 2010 and 2009 were primarily attributable to changes in interest rates.</w:t>
      </w:r>
    </w:p>
    <w:p>
      <w:pPr>
        <w:spacing w:after="0" w:line="10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amortized cost and fair value of the investment securities at March 31, 2010,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Fair Value</w:t>
            </w:r>
          </w:p>
        </w:tc>
      </w:tr>
      <w:tr>
        <w:trPr>
          <w:trHeight w:val="210"/>
        </w:trPr>
        <w:tc>
          <w:tcPr>
            <w:tcW w:w="6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9,995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10,009</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21,175</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250,873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250,884</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24,902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24,510</w:t>
            </w:r>
          </w:p>
        </w:tc>
      </w:tr>
      <w:tr>
        <w:trPr>
          <w:trHeight w:val="223"/>
        </w:trPr>
        <w:tc>
          <w:tcPr>
            <w:tcW w:w="6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306,916</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306,578</w:t>
            </w:r>
          </w:p>
        </w:tc>
        <w:tc>
          <w:tcPr>
            <w:tcW w:w="8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18,138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18,263</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16,484</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20,003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20,593</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9,204</w:t>
            </w:r>
          </w:p>
        </w:tc>
      </w:tr>
      <w:tr>
        <w:trPr>
          <w:trHeight w:val="223"/>
        </w:trPr>
        <w:tc>
          <w:tcPr>
            <w:tcW w:w="6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63,175</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64,544</w:t>
            </w:r>
          </w:p>
        </w:tc>
        <w:tc>
          <w:tcPr>
            <w:tcW w:w="8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7,638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7,815</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2,158</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3,265</w:t>
            </w:r>
          </w:p>
        </w:tc>
      </w:tr>
      <w:tr>
        <w:trPr>
          <w:trHeight w:val="223"/>
        </w:trPr>
        <w:tc>
          <w:tcPr>
            <w:tcW w:w="6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13,006</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13,288</w:t>
            </w:r>
          </w:p>
        </w:tc>
        <w:tc>
          <w:tcPr>
            <w:tcW w:w="8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35,771</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36,087</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39,817</w:t>
            </w: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270,926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271,527</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36,979</w:t>
            </w:r>
          </w:p>
        </w:tc>
      </w:tr>
      <w:tr>
        <w:trPr>
          <w:trHeight w:val="432"/>
        </w:trPr>
        <w:tc>
          <w:tcPr>
            <w:tcW w:w="68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1,101,456</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1,142,179</w:t>
            </w:r>
          </w:p>
        </w:tc>
      </w:tr>
      <w:tr>
        <w:trPr>
          <w:trHeight w:val="223"/>
        </w:trPr>
        <w:tc>
          <w:tcPr>
            <w:tcW w:w="68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1,484,553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1,526,589</w:t>
            </w:r>
          </w:p>
        </w:tc>
      </w:tr>
      <w:tr>
        <w:trPr>
          <w:trHeight w:val="20"/>
        </w:trPr>
        <w:tc>
          <w:tcPr>
            <w:tcW w:w="6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130"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Securities with a carrying value of $1.5 billion, $1.5 billion, and $1.4 billion were pledged to secure public deposits, FHLB advances and other secured borrowings at March 31, 2010, December 31, 2009 and March 31, 2009, respectively.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Realized gains and losses are derived using the specific identification method for determining the cost of the securities sold.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summarizes securities sales activity for the three months ended March 31, 2010 and 2009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tcPr>
          <w:p>
            <w:pPr>
              <w:spacing w:after="0"/>
              <w:rPr>
                <w:sz w:val="20"/>
                <w:szCs w:val="20"/>
                <w:color w:val="auto"/>
              </w:rPr>
            </w:pPr>
            <w:r>
              <w:rPr>
                <w:rFonts w:ascii="Arial" w:cs="Arial" w:eastAsia="Arial" w:hAnsi="Arial"/>
                <w:sz w:val="18"/>
                <w:szCs w:val="18"/>
                <w:color w:val="auto"/>
              </w:rPr>
              <w:t>Gross gains on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on sales of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Note 5 — Loans and Allowance for Loan Losses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Major classifications of loans March 31, 2010, December 31, 2009 and March 31, 2009, are summarized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March 31,</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1,765,204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1,779,398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1,778,691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357,188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362,566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376,682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380,331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390,520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387,344</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2,502,723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2,532,484</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2,542,717</w:t>
            </w: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960,372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1,050,065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1,430,319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1,390,270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1,427,198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1,503,893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141,729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155,776</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4,992,045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5,151,476</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5,632,705</w:t>
            </w: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143,990</w:t>
            </w:r>
          </w:p>
        </w:tc>
      </w:tr>
      <w:tr>
        <w:trPr>
          <w:trHeight w:val="223"/>
        </w:trPr>
        <w:tc>
          <w:tcPr>
            <w:tcW w:w="5640" w:type="dxa"/>
            <w:vAlign w:val="bottom"/>
          </w:tcPr>
          <w:p>
            <w:pPr>
              <w:ind w:left="400"/>
              <w:spacing w:after="0"/>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4,818,111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4,995,874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5,488,715</w:t>
            </w:r>
          </w:p>
        </w:tc>
        <w:tc>
          <w:tcPr>
            <w:tcW w:w="8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Bank makes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31"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At March 31, 2010, United had $215 million of loans classified as impaired. Of that amount, $56.5 million had specific reserves of $6.8 million allocated and the remaining $159 million did not have specific reserves allocated because they had either been written down to net realizable value ($114 million in charge-offs) or had sufficient collateral so that no allowance was required. At December 31, 2009, United had $198 million of loans classified as impaired. Of that amount, $16.1 million had specific reserves of $3 million allocated and the remaining $182 million did not have specific reserves allocated because they had either been written down to net realizable value ($115 million in charge-offs) or had sufficient collateral so that no allowance was required. At March 31, 2009, United had $201 million of loans classified as impaired. Of that amount, $64.7 million had specific reserves allocated of $22.6 million and $136 million did not have specific reserves allocated. The average recorded investment in impaired loans for the quarters ended March 31, 2010 and 2009 was $211 million and $206 million, respectively. There was no interest revenue recognized on loans while they were impaired for the first three months of 2010 or 2009.</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155,602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122,271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2,936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865</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4,554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1,208</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44,190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37,967</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3,111</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r>
      <w:tr>
        <w:trPr>
          <w:trHeight w:val="230"/>
        </w:trPr>
        <w:tc>
          <w:tcPr>
            <w:tcW w:w="700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44,131</w:t>
            </w:r>
          </w:p>
        </w:tc>
        <w:tc>
          <w:tcPr>
            <w:tcW w:w="80" w:type="dxa"/>
            <w:vAlign w:val="bottom"/>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r>
      <w:tr>
        <w:trPr>
          <w:trHeight w:val="230"/>
        </w:trPr>
        <w:tc>
          <w:tcPr>
            <w:tcW w:w="700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0"/>
                <w:szCs w:val="20"/>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56,668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43,281</w:t>
            </w:r>
          </w:p>
        </w:tc>
      </w:tr>
      <w:tr>
        <w:trPr>
          <w:trHeight w:val="223"/>
        </w:trPr>
        <w:tc>
          <w:tcPr>
            <w:tcW w:w="700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143,990</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At March 31, 2010, December 31, 2009 and March 31, 2009, loans with a carrying value of $1.6 billion, $1.5 billion and $1.9 billion were pledged as collateral to secure FHLB advances and other contingent funding sources.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Goodwill</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summary of the changes in goodwill for the three months ended March 31, 2010 and 2009 is presented below, </w:t>
      </w:r>
      <w:r>
        <w:rPr>
          <w:rFonts w:ascii="Arial" w:cs="Arial" w:eastAsia="Arial" w:hAnsi="Arial"/>
          <w:sz w:val="16"/>
          <w:szCs w:val="16"/>
          <w:i w:val="1"/>
          <w:iCs w:val="1"/>
          <w:color w:val="auto"/>
        </w:rPr>
        <w:t>(in thousands).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210,590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305,590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Purchase adjustments</w:t>
            </w:r>
          </w:p>
        </w:tc>
        <w:tc>
          <w:tcPr>
            <w:tcW w:w="2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210,590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235,590</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United performs its annual goodwill impairment assessment during the fourth quarter of each year, or more often if events warrant an interim assessment. During the first quarter of 2010, no events occurred that would lead management to believe that goodwill impairment might exist. During the first quarter of 2009, United updated its 2008 annual goodwill impairment assessment as a result of its stock price falling significantly below tangible book value. As a result of the updated assessment, goodwill was found to be impaired and was written down to its estimated fair value. The impairment charge of $70 million was recognized as an expense in the first quarter 2009 consolidated statement of income.</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Earnings Per Share</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months ended March 31, 2010 and 2009 </w:t>
      </w:r>
      <w:r>
        <w:rPr>
          <w:rFonts w:ascii="Arial" w:cs="Arial" w:eastAsia="Arial" w:hAnsi="Arial"/>
          <w:sz w:val="18"/>
          <w:szCs w:val="18"/>
          <w:i w:val="1"/>
          <w:iCs w:val="1"/>
          <w:color w:val="auto"/>
        </w:rPr>
        <w:t>(in thousands, except per share data):</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(35,865)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(106,327)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94,390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48,324</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Warrants attached to trust preferred securities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 granted with Series B preferred stock</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94,390</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There is no dilution from dilutive securities for the three months ended March 31, 2010 and 2009, due to the anti-dilutive effect of the net loss for those periods.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interest rate derivatives.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5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balance sheet as of March 31, 2010, December 31, 2009 and March 31,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Derivatives designated as hedging instruments under ASC 815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Pr>
          <w:p>
            <w:pPr>
              <w:spacing w:after="0"/>
              <w:rPr>
                <w:sz w:val="20"/>
                <w:szCs w:val="20"/>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March 31,</w:t>
            </w:r>
          </w:p>
        </w:tc>
        <w:tc>
          <w:tcPr>
            <w:tcW w:w="140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26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Other assets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10,692</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72,942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2010, December 31, 2009 and March 31, 2009, United did not have any derivatives in a net liability position.</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and floors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March 31, 2010, United had two interest rate swaps with an aggregate notional amount of $50 million that were designated as cash flow hedges of interest rate risk.</w:t>
      </w:r>
    </w:p>
    <w:p>
      <w:pPr>
        <w:sectPr>
          <w:pgSz w:w="11900" w:h="16838" w:orient="portrait"/>
          <w:cols w:equalWidth="0" w:num="1">
            <w:col w:w="10219"/>
          </w:cols>
          <w:pgMar w:left="240" w:top="419" w:right="1440" w:bottom="784"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84"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2010 and 2009, such derivatives were used to hedge the variable cash flows associated with existing prime-based, variable-rate loans. The ineffective portion of the change in fair value of the derivatives is recognized directly in earnings. During the three months ended March 31, 2010 $522,000 in hedge ineffectiveness was recognized in other fee revenue and during the three months ended March 31, 2009 no hedge ineffectiveness was recognized on derivative financial instruments designated as cash flow hedges.</w:t>
      </w:r>
    </w:p>
    <w:p>
      <w:pPr>
        <w:spacing w:after="0" w:line="13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revenue as interest payments are received on United’s prime-based, variable-rate loans. During the next twelve months, United estimates that an additional $15 million will be reclassified as an increase to interest revenue.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02"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March 31, 2010, United had three interest rate swaps with an aggregate notional amount of $195 million that were designated as fair value hedges of interest rate risk.</w:t>
      </w:r>
    </w:p>
    <w:p>
      <w:pPr>
        <w:spacing w:after="0" w:line="13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months March 31, 2010 and 2009, United recognized net (losses)/gains of $88,000 and $101,000, respectively, related to ineffectiveness of the fair value hedging relationships. United also recognized a net reduction of interest expense of $1.4 million and $2.0 million for the three months ended March 31, 2010 and 2009, respectively, related to United’s fair value hedges, which includes net settlements on the derivatives.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Income for the three months ended March 31, 2010 and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b w:val="1"/>
          <w:bCs w:val="1"/>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w w:val="95"/>
              </w:rPr>
              <w:t>Amount of Gain (Loss) Recognized in</w:t>
            </w: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0"/>
              </w:rPr>
              <w:t>Amount of Gain (Loss) Recognized in</w:t>
            </w: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w:t>
            </w: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2"/>
              </w:rPr>
              <w:t>Income on Derivative</w:t>
            </w: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2"/>
              </w:rPr>
              <w:t>Income on Hedged Item</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on Derivative</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March 31, 2010</w:t>
            </w: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March 31, 2009</w:t>
            </w:r>
          </w:p>
        </w:tc>
        <w:tc>
          <w:tcPr>
            <w:tcW w:w="26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March 31, 2010</w:t>
            </w: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0"/>
              </w:rPr>
              <w:t>March 31, 2009</w:t>
            </w:r>
          </w:p>
        </w:tc>
        <w:tc>
          <w:tcPr>
            <w:tcW w:w="80" w:type="dxa"/>
            <w:vAlign w:val="bottom"/>
          </w:tcPr>
          <w:p>
            <w:pPr>
              <w:spacing w:after="0"/>
              <w:rPr>
                <w:sz w:val="18"/>
                <w:szCs w:val="18"/>
                <w:color w:val="auto"/>
              </w:rPr>
            </w:pPr>
          </w:p>
        </w:tc>
      </w:tr>
      <w:tr>
        <w:trPr>
          <w:trHeight w:val="210"/>
        </w:trPr>
        <w:tc>
          <w:tcPr>
            <w:tcW w:w="3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(1,195)</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1,283</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1,114</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b w:val="1"/>
          <w:bCs w:val="1"/>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Amount of Gain (Loss)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Recognized in Other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Comprehensive Income on</w:t>
            </w:r>
          </w:p>
        </w:tc>
        <w:tc>
          <w:tcPr>
            <w:tcW w:w="428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90"/>
              </w:rPr>
              <w:t>Gain (Loss) Reclassified from Accumulated Other</w:t>
            </w:r>
          </w:p>
        </w:tc>
      </w:tr>
      <w:tr>
        <w:trPr>
          <w:trHeight w:val="234"/>
        </w:trPr>
        <w:tc>
          <w:tcPr>
            <w:tcW w:w="2480" w:type="dxa"/>
            <w:vAlign w:val="bottom"/>
          </w:tcPr>
          <w:p>
            <w:pPr>
              <w:spacing w:after="0"/>
              <w:rPr>
                <w:sz w:val="20"/>
                <w:szCs w:val="20"/>
                <w:color w:val="auto"/>
              </w:rPr>
            </w:pPr>
          </w:p>
        </w:tc>
        <w:tc>
          <w:tcPr>
            <w:tcW w:w="25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Derivative (Effective Portion)</w:t>
            </w:r>
          </w:p>
        </w:tc>
        <w:tc>
          <w:tcPr>
            <w:tcW w:w="428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0"/>
              </w:rPr>
              <w:t>Comprehensive Income into Income (Effective Portion)</w:t>
            </w:r>
          </w:p>
        </w:tc>
      </w:tr>
      <w:tr>
        <w:trPr>
          <w:trHeight w:val="210"/>
        </w:trPr>
        <w:tc>
          <w:tcPr>
            <w:tcW w:w="2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68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4"/>
              </w:rPr>
              <w:t>Where</w:t>
            </w: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3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2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March 31,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1,475</w:t>
            </w:r>
          </w:p>
        </w:tc>
        <w:tc>
          <w:tcPr>
            <w:tcW w:w="3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3,118</w:t>
            </w:r>
          </w:p>
        </w:tc>
        <w:tc>
          <w:tcPr>
            <w:tcW w:w="156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6,534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10,990</w:t>
            </w: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12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the counterparty could terminate the derivative positions and United would be required to settle its obligations under the agreements. United has an agreement with one counterparty that contains a provision where if United fails to maintain a minimum shareholders’ equity of $300 million, it could be declared in default on its derivative obligations. An agreement with another counterparty contains a provision where if United fails to maintain a minimum Tier I leverage ratio of 5.0%, a minimum Tier I risk-based capital ratio of 6.0%, and a minimum total risk-based capital ratio of 10%, it could be declared in default on its derivative obligations. In addition, United has agreements with its derivative counterparties that require United’s debt to maintain an investment grade credit rating from each of the major credit rating agencies. If United’s credit rating is reduced below investment grade, then a termination event is deemed to have occurred and the non-affected counterparty shall have the right, but not the obligation, to terminate all affected transactions under the agreement.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Stock-Based Compensation</w:t>
      </w:r>
    </w:p>
    <w:p>
      <w:pPr>
        <w:spacing w:after="0" w:line="189"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March 31, 2010, approximately 1,017,000 additional awards could be granted under the plan. Through March 31, 2010, only incentive stock options, nonqualified stock options and restricted stock awards and units had been granted under the plan.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stock option activity for the first three months of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Intrinisic</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Term (Years)</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r>
      <w:tr>
        <w:trPr>
          <w:trHeight w:val="210"/>
        </w:trPr>
        <w:tc>
          <w:tcPr>
            <w:tcW w:w="3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3,663,453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18.30</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4.31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(19,245)</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15.35</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(37,770)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10.80</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Outstanding at March 31, 2010</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3,612,438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18.37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2010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2,431,001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weighted average fair value of stock options granted in the first three months of 2010 and 2009 was $2.40 and $2.54,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 in Staff Accounting Bulletin No. 107 (ASC 718-10-S99) to determine the expected life of options.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to determine the fair value of stock options are presented in the table below.</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690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3"/>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160" w:type="dxa"/>
            <w:vAlign w:val="bottom"/>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Risk-free rate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w:t>
            </w:r>
          </w:p>
        </w:tc>
      </w:tr>
    </w:tbl>
    <w:p>
      <w:pPr>
        <w:spacing w:after="0" w:line="147"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United’s stock trading history began in March of 2002 when United listed on the Nasdaq National Market. For 2010 and 2009 expected volatility was determined using United’s historical monthly volatility for the seventy-five months ended December 31, 2009 and 2008, respectively. Seventy-five months was chosen to correspond to the expected life of 6.25 years. Compensation expense for stock options was $662,000 and $738,000 for the three months ended March 31, 2010 and 2009, respectively. Deferred tax benefits of $266,000 and $243,000, respectively, were included in the determination of income tax benefit for the three-month periods ended March 31, 2010 and 2009. The amount of compensation expense for both periods was determined based on the fair value of the options at the time of grant, multiplied by the number of options granted that were expected to vest, which was then amortized over the vesting period. The forfeiture rate for options is estimated to be approximately 3% per year. No options were exercised during the three months ended March 31, 2010 or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activity in restricted stock awards for the first three months of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Weighted-</w:t>
            </w:r>
          </w:p>
        </w:tc>
      </w:tr>
      <w:tr>
        <w:trPr>
          <w:trHeight w:val="216"/>
        </w:trPr>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Average Grant-</w:t>
            </w: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2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Date Fair Value</w:t>
            </w:r>
          </w:p>
        </w:tc>
      </w:tr>
      <w:tr>
        <w:trPr>
          <w:trHeight w:val="210"/>
        </w:trPr>
        <w:tc>
          <w:tcPr>
            <w:tcW w:w="6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167,559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(23,783)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22.30</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Cancelled</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143,796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w:t>
            </w:r>
          </w:p>
        </w:tc>
      </w:tr>
      <w:tr>
        <w:trPr>
          <w:trHeight w:val="20"/>
        </w:trPr>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income for restricted stock for the three months ended March 31, 2010 and 2009 was $170,000 and $198,000, respectively. The total intrinsic value of the restricted stock was $634,000 at March 31, 2010.</w:t>
      </w:r>
    </w:p>
    <w:p>
      <w:pPr>
        <w:spacing w:after="0" w:line="13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As of March 31, 2010, there was $4.2 million of unrecognized compensation cost related to non-vested stock options and restricted stock awards granted under the plan. That cost is expected to be recognized over a weighted-average period of 2.1 years. The aggregate grant date fair value of options and restricted stock awards that vested during the three months ended March 31, 2010, was $546,000.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Common Stock Issued / Common Stock Issuable</w:t>
      </w:r>
    </w:p>
    <w:p>
      <w:pPr>
        <w:spacing w:after="0" w:line="20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United’s 401(k) retirement plan regularly purchases shares of United’s common stock directly from United. In addition, United has an Employee Stock Purchase Program that allows eligible employees to purchase shares of common stock at a 5% discount, with no commission charges. For the three months ended March 31, 2010 and 2009, United issued 125,021 and 99,604 shares, respectively, and increased capital by $511,000 and $509,000, respectively, through these programs.</w:t>
      </w:r>
    </w:p>
    <w:p>
      <w:pPr>
        <w:spacing w:after="0" w:line="13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March 31, 2010 and 2009, 262,002 and 161,807 shares, respectively, were issuable under the deferred compensation plan.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60"/>
        <w:spacing w:after="0" w:line="293" w:lineRule="auto"/>
        <w:rPr>
          <w:sz w:val="20"/>
          <w:szCs w:val="20"/>
          <w:color w:val="auto"/>
        </w:rPr>
      </w:pPr>
      <w:r>
        <w:rPr>
          <w:rFonts w:ascii="Arial" w:cs="Arial" w:eastAsia="Arial" w:hAnsi="Arial"/>
          <w:sz w:val="16"/>
          <w:szCs w:val="16"/>
          <w:color w:val="auto"/>
        </w:rPr>
        <w:t>Late in the third quarter of 2009, United completed a sale of 44,505,000 shares of its common stock at a price of $5.00 per share. The net proceeds of $211 million, after deducting the underwriters’ fees and expenses will be used for general corporate purposes. As a result of the stock sale, and pursuant to the terms of the warrant issued to the U.S. Treasury in connection with United’s participation in the U.S. Treasury’s Capital Purchase Program (“CPP”), the number of shares issuable upon exercise of the warrant issued to the U.S. Treasury in connection with the CPP was reduced by 50%, or 1,099,542 shares. The warrant has an exercise price of $12.28 and expires on the tenth anniversary of the date of issuance.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Assets and Liabilities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02"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March 31, 2010, December 31, 2009 and March 31, 2009,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March 31, 2010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296,578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306,578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64,544</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64,544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1,115,153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1,142,179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12,238</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13,288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6,113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1,494,626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1,536,122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3,420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December 31, 2009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226,466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246,466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63,293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63,293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1,180,330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1,197,222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21,066</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23,066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10,692</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1,501,847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1,545,557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4,818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17</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40" w:type="dxa"/>
            <w:vAlign w:val="bottom"/>
            <w:gridSpan w:val="10"/>
          </w:tcPr>
          <w:p>
            <w:pPr>
              <w:jc w:val="center"/>
              <w:ind w:left="1050"/>
              <w:spacing w:after="0"/>
              <w:rPr>
                <w:sz w:val="20"/>
                <w:szCs w:val="20"/>
                <w:color w:val="auto"/>
              </w:rPr>
            </w:pPr>
            <w:r>
              <w:rPr>
                <w:rFonts w:ascii="Arial" w:cs="Arial" w:eastAsia="Arial" w:hAnsi="Arial"/>
                <w:sz w:val="18"/>
                <w:szCs w:val="18"/>
                <w:b w:val="1"/>
                <w:bCs w:val="1"/>
                <w:color w:val="auto"/>
              </w:rPr>
              <w:t>UNITED COMMUNITY BANKS, INC. AND SUBSIDIARIES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0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March 31, 2009</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164,474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400"/>
              <w:spacing w:after="0"/>
              <w:rPr>
                <w:sz w:val="20"/>
                <w:szCs w:val="20"/>
                <w:color w:val="auto"/>
              </w:rPr>
            </w:pPr>
            <w:r>
              <w:rPr>
                <w:rFonts w:ascii="Arial" w:cs="Arial" w:eastAsia="Arial" w:hAnsi="Arial"/>
                <w:sz w:val="18"/>
                <w:szCs w:val="18"/>
                <w:color w:val="auto"/>
              </w:rPr>
              <w:t>State and political subdivisions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40,554</w:t>
            </w:r>
          </w:p>
        </w:tc>
        <w:tc>
          <w:tcPr>
            <w:tcW w:w="14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40,554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1,490,178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1,490,178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23,827</w:t>
            </w:r>
          </w:p>
        </w:tc>
        <w:tc>
          <w:tcPr>
            <w:tcW w:w="14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23,827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Deferred compensation plan assets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Derivative financial instruments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72,942</w:t>
            </w:r>
          </w:p>
        </w:tc>
        <w:tc>
          <w:tcPr>
            <w:tcW w:w="14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72,942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1,791,975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1,795,442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Deferred compensation plan liability</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3,467</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Securities</w:t>
            </w:r>
          </w:p>
        </w:tc>
      </w:tr>
      <w:tr>
        <w:trPr>
          <w:trHeight w:val="230"/>
        </w:trPr>
        <w:tc>
          <w:tcPr>
            <w:tcW w:w="796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w w:val="95"/>
              </w:rPr>
              <w:t>Available for Sale</w:t>
            </w:r>
          </w:p>
        </w:tc>
      </w:tr>
      <w:tr>
        <w:trPr>
          <w:trHeight w:val="20"/>
        </w:trPr>
        <w:tc>
          <w:tcPr>
            <w:tcW w:w="7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38,892</w:t>
            </w: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Amounts included in earnings</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Purchases, sales, issuances, settlements, maturities, paydowns, net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r>
      <w:tr>
        <w:trPr>
          <w:trHeight w:val="223"/>
        </w:trPr>
        <w:tc>
          <w:tcPr>
            <w:tcW w:w="7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38,076</w:t>
            </w:r>
          </w:p>
        </w:tc>
      </w:tr>
      <w:tr>
        <w:trPr>
          <w:trHeight w:val="20"/>
        </w:trPr>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March 31, 2010, December 31, 2009 and March 31, 2009, aggregated by the level in the fair value hierarchy within which those measurements fall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3</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175,166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175,166</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7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93,060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93,060</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268,226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268,226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Loans</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153,038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153,038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81,213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81,213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4"/>
                <w:szCs w:val="24"/>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234,251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234,251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2009</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148,786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148,786</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7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69,256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69,256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235,590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235,590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4"/>
                <w:szCs w:val="24"/>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453,632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453,632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541"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541"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4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March 31, 2010, December 31, 2009 and March 31, 2009 the fair value of interest rate contracts used for balance sheet management was an asset of approximately $6.1 million, $10.7 million and $72.9 million, respectively.</w:t>
      </w:r>
    </w:p>
    <w:p>
      <w:pPr>
        <w:spacing w:after="0" w:line="15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53"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18"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9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in United’s balance sheet at March 31, 2010, December 31, 2009 and March 31, 2009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300" w:type="dxa"/>
            <w:vAlign w:val="bottom"/>
            <w:gridSpan w:val="4"/>
          </w:tcPr>
          <w:p>
            <w:pPr>
              <w:ind w:left="400"/>
              <w:spacing w:after="0"/>
              <w:rPr>
                <w:sz w:val="20"/>
                <w:szCs w:val="20"/>
                <w:color w:val="auto"/>
              </w:rPr>
            </w:pPr>
            <w:r>
              <w:rPr>
                <w:rFonts w:ascii="Arial" w:cs="Arial" w:eastAsia="Arial" w:hAnsi="Arial"/>
                <w:sz w:val="18"/>
                <w:szCs w:val="18"/>
                <w:b w:val="1"/>
                <w:bCs w:val="1"/>
                <w:color w:val="auto"/>
              </w:rPr>
              <w:t>March 31, 2010</w:t>
            </w:r>
          </w:p>
        </w:tc>
        <w:tc>
          <w:tcPr>
            <w:tcW w:w="23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 2009</w:t>
            </w:r>
          </w:p>
        </w:tc>
        <w:tc>
          <w:tcPr>
            <w:tcW w:w="20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March 31, 2009</w:t>
            </w:r>
          </w:p>
        </w:tc>
      </w:tr>
      <w:tr>
        <w:trPr>
          <w:trHeight w:val="191"/>
        </w:trPr>
        <w:tc>
          <w:tcPr>
            <w:tcW w:w="264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9"/>
              </w:rPr>
              <w:t>Carrying</w:t>
            </w:r>
          </w:p>
        </w:tc>
        <w:tc>
          <w:tcPr>
            <w:tcW w:w="8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Carrying</w:t>
            </w:r>
          </w:p>
        </w:tc>
        <w:tc>
          <w:tcPr>
            <w:tcW w:w="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Carrying</w:t>
            </w: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64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Fair Value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$ 4,818,111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$ 4,477,941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$ 4,995,874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$ 4,529,755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$ 5,488,715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$ 5,231,278</w:t>
            </w:r>
          </w:p>
        </w:tc>
      </w:tr>
      <w:tr>
        <w:trPr>
          <w:trHeight w:val="202"/>
        </w:trPr>
        <w:tc>
          <w:tcPr>
            <w:tcW w:w="2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6,487,588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6,513,488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6,627,834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6,660,196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6,616,488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6,680,764</w:t>
            </w:r>
          </w:p>
        </w:tc>
      </w:tr>
      <w:tr>
        <w:trPr>
          <w:trHeight w:val="202"/>
        </w:trPr>
        <w:tc>
          <w:tcPr>
            <w:tcW w:w="2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Federal Home Loan Bank</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114,303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120,422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114,501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119,945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260,125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266,958</w:t>
            </w: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150,086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119,400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150,066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111,561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151,006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85,387</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Stock Dividend</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During the first quarter of 2009, United declared a quarterly stock dividend at a rate of 1 new share for every 130 shares owned. The stock dividends have been reflected in the financial statements as an issuance of stock with no proceeds rather than a stock split and therefore prior period numbers of shares outstanding have not been adjusted. For the three months ended March 31, 2009, the amount of $8,000 shown in the consolidated statement of changes in shareholders’ equity as a reduction of capital related to the stock dividend is the amount of cash paid to shareholders for fractional shares. No stock dividends were declared or paid during the first quarter of 2010.</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Reclassifications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2009 amounts have been reclassified to conform to the 2010 presentation.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Subsequent Events</w:t>
      </w:r>
    </w:p>
    <w:p>
      <w:pPr>
        <w:spacing w:after="0" w:line="189"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an aggregate sales price equal to the Bank’s carrying value. The non-performing assets sale transaction closed on April 30, 2010. The consideration for the sale consisted of $20.6 million in cash and a loan for $82.4 million. As part of the agreement, Fletcher received a warrant to acquire 7,058,824 shares of United’s common stock at a price of $4.25 per share. In accordance with the terms of the securities purchase agreement, Fletcher has the right during the next two years to purchase up to $65 million in United’s Series C Convertible Preferred Stock. The Series C Convertible Preferred Stock pays a dividend equal to the lesser of LIBOR plus 4% or 8%. If the transaction with Fletcher is not approved by shareholders, the dividend will be equal to the lesser of LIBOR plus 8% or 12%. The Series C Convertible Preferred Stock is convertible by Fletcher into common stock at $5.25 per share. If Fletcher has not purchased all of the Series C Convertible Preferred Stock by May 26, 2011, it must pay United 5% of the commitment amount not purchased by such date, and it must pay United an additional 5% of the commitment amount not purchased by May 26, 2012. In addition, Fletcher will receive an additional warrant to purchase $35 million in common stock at $6.02 per share (5,813,953 shares) when it purchases the last $35 million of Series C Convertible Preferred Stock.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 Discontinued Operations</w:t>
      </w:r>
    </w:p>
    <w:p>
      <w:pPr>
        <w:spacing w:after="0" w:line="202"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March 31, 2010, United completed the sale of its consulting subsidiary, Brintech, Inc. (“Brintech”). The sales price was $2.9 million with United covering certain costs related to the sale transaction resulting in a net, pre-tax gain of $2.1 million. As a result of the sale, Brintech is presented in the consolidated financial statements as a discontinued operation with all revenue and expenses related to the sold operations deconsolidated from the Consolidated Statement of Income for all periods presented. The net results of operations from Brintech are reported on a separate line on the Consolidated Statement of Income titled “(Loss) income from discontinued operations, net of income taxes.” The gain from the sale, net of income taxes and selling costs, is presented on a separate line titled “Gain from sale of subsidiary, net of income taxes and selling costs.”</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or the Securities Act, and Section 21E of the Securities Exchange Act of 1934, as amended, or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4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2009, as well as the following:</w:t>
      </w:r>
    </w:p>
    <w:p>
      <w:pPr>
        <w:spacing w:after="0" w:line="127"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become profitable;</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raise capital consistent with our capital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maintain liquidity or access other sources of funding;</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the cost and availability of funding;</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success of the local economies in which we operate;</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accounting and reporting policies of United;</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adverse effects on future earnings resulting from non-cash charges for goodwill impairment;</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fully realize our deferred tax asset balances;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United States Department of Treasury may change the terms of our Series B Preferred Stock;</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risks with respect to future expansion and acquisitions;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failure of other financial institutions;</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special assessment that may be imposed by the Federal Deposit Insurance Corporation (“FDIC”) on all FDIC-insured institutions in the future, similar to the assessment in 2009 that decreased our earnings; and</w:t>
      </w:r>
    </w:p>
    <w:p>
      <w:pPr>
        <w:spacing w:after="0" w:line="102"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board resolutions, informal memorandums of understanding or formal enforcement actions imposed by regulators that occur, or any such proceedings or enforcement actions that is more severe than we anticipate.</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All written or oral forward-looking statements attributable to us or any person acting on our behalf made after the date of this prospectus supplement are expressly qualified in their entirety by the risk factors and cautionary statements contained in and incorporated by reference into this prospectus supplement and the accompanying prospectus. We do not undertake any obligation to release publicly any revisions to such forward-looking statements to reflect events or circumstances after the date of this prospectus supplement or to reflect the occurrence of unanticipated events.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219"/>
          </w:cols>
          <w:pgMar w:left="240" w:top="419" w:right="1440" w:bottom="0" w:gutter="0" w:footer="0" w:header="0"/>
          <w:type w:val="continuous"/>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March 31, 2010, United had total consolidated assets of $7.84 billion, total loans of $4.99 billion, excluding the loans acquired from Southern Community Bank (“SCB”) that are covered by loss sharing agreements, total deposits of $6.49 billion and stockholders’ equity of $926 million.</w:t>
      </w:r>
    </w:p>
    <w:p>
      <w:pPr>
        <w:spacing w:after="0" w:line="14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United’s activities are primarily conducted by its wholly owned Georgia banking subsidiary (the “Bank”). The Bank operations are conducted under a community bank model that operates 27 “community banks” with local bank presidents and boards in north Georgia, the Atlanta-Sandy Springs-Marietta, Georgia metropolitan statistical area (the “Atlanta, Georgia MSA”), the Gainesville, Georgia MSA, coastal Georgia, western North Carolina, and east Tennessee. On March 31, 2010, United sold Brintech, Inc., (“Brintech”) a consulting services firm for the financial services industry resulting in a pre-tax gain of $2.1 million, net of selling costs. The income statements for all periods presented reflect Brintech as a discontinued operation with revenue, expenses and income taxes related to Brintech removed from revenue, expenses, income taxes and loss from continuing operations. The balance sheet and cash flow statement have not been adjusted to reflect Brintech as a discontinued operation as Brintech’s assets and contribution to cash flows were not material.</w:t>
      </w:r>
    </w:p>
    <w:p>
      <w:pPr>
        <w:spacing w:after="0" w:line="15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Operating loss from continuing operations and operating loss from continuing operations per diluted share are non-GAAP performance measures. United’s management believes that operating performance is useful in analyzing the company’s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26.</w:t>
      </w:r>
    </w:p>
    <w:p>
      <w:pPr>
        <w:spacing w:after="0" w:line="14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 reported a net loss from continuing operations of $34.5 million for the first quarter of 2010. This compared to a loss from continuing operations of $104 million and a net operating loss from continuing operations of $32.1 million for the first quarter of 2009. The net operating loss from continuing operations in the first quarter of 2009 excluded a $70 million goodwill impairment charge and severance costs of $2.9 million. Diluted loss from continuing operations per common share was $.39 for the first quarter of 2010, compared with a diluted operating loss from continuing operations per common share of $.72 for the first quarter of 2009. The goodwill impairment charge and severance costs represented $1.45 and $.03 of loss per share for the first quarter of 2009, increasing the net loss from continuing operations per diluted share to $2.20. The first quarter of 2010 loss reflects the continuing recessionary economic environment and credit and foreclosed property losses primarily resulting from the weak residential construction and housing market.</w:t>
      </w:r>
    </w:p>
    <w:p>
      <w:pPr>
        <w:spacing w:after="0" w:line="14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United’s approach to managing through the challenging economic cycle has been to aggressively deal with its credit problems and dispose of troubled assets quickly, taking losses as necessary. As a result, United’s provision for loan losses was $75 million for the three months ended March 31, 2010, compared to $65 million for the same period in 2009. Net charge-offs for the first quarter of 2010 were $56.7 million, compared to $43.3 million for the first quarter of 2009. As of March 31, 2010, United’s allowance for loan losses of $174 million was 3.48% of loans, compared to $144 million, or 2.56% of total loans at March 31, 2009. Nonperforming assets of $417 million, which excludes assets of SCB that are covered by the loss sharing agreements with the FDIC, increased to 5.32% of total assets as of March 31, 2010, compared to 4.81% as of December 31, 2009, and 4.09% as of March 31, 2009. This increase was primarily the reflection of the continuing effects of the weak economy and some slowing of demand for foreclosed properties.</w:t>
      </w:r>
    </w:p>
    <w:p>
      <w:pPr>
        <w:spacing w:after="0" w:line="15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Taxable equivalent net interest revenue was $61.3 million for the first quarter of 2010, compared to $57.4 million for the same period of 2009. The increase in net interest revenue was the result of the 41 basis point increase in the net interest margin, which increased from 3.08% for the first quarter of 2009 to 3.49% for the first quarter of 2010. The margin improvement results from management’s ongoing efforts to manage loan and deposit pricing. The increase in the net interest margin more than offset the effect on net interest revenue of the $445 million decrease in interest-earning assets.</w:t>
      </w:r>
    </w:p>
    <w:p>
      <w:pPr>
        <w:spacing w:after="0" w:line="13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Operating fee revenue decreased $157,000, or 1%, from the first quarter of 2009 primarily due to a $1.2 million decrease in mortgage fees as refinancing activity continued to slow from the record levels of 2009. Net securities gains were $242,000 lower in the first quarter of 2010 than the same period in 2009. Included in the 2010 net securities gains is a $950,000 impairment loss on a bank trust preferred securities investment. These decreases were partially offset by an increase in service charges and fees on deposit accounts and an increase in earnings on bank owned life insurance and income resulting from hedge ineffectiveness that are included in other fee revenue.</w:t>
      </w:r>
    </w:p>
    <w:p>
      <w:pPr>
        <w:spacing w:after="0" w:line="15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Despite a $3 million decrease in staff costs and a $1.3 million decrease in professional fees, operating expenses increased $3 million, or 6%, from the first quarter of 2009 due to higher foreclosed property costs and FDIC insurance charges. Operating expenses for the first quarter of 2009 excluded the $70 million goodwill impairment charge and severance costs of $2.9 million. Foreclosed property expense was up $6.5 million from a year ago primarily due to write downs and losses on sales of foreclosed properties. For the first quarter of 2010, United recognized $8.1 million in losses and write downs on foreclosed properties compared with $1.8 million in the first quarter of 2009. Staff costs were down from a year ago primarily due to the staff reduction that occurred at the end of the first quarter of 2009. The decrease in professional fees reflects the completion in the first quarter of 2009 of a project to improve United’s financial performance. Consulting costs associated with that project are included in the first quarter professional fees expense. Legal fees were also down from a year ago.</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19"/>
          </w:cols>
          <w:pgMar w:left="240" w:top="419" w:right="1440" w:bottom="0" w:gutter="0" w:footer="0" w:header="0"/>
          <w:type w:val="continuous"/>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fair value measurements, intangible assets and income taxes. In particular, United’s accounting policies related to allowance for loan losses, fair value measurements, intangibles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Mergers and Acquisitions</w:t>
      </w:r>
    </w:p>
    <w:p>
      <w:pPr>
        <w:spacing w:after="0" w:line="189"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 xml:space="preserve">On June 19, 2009, the Bank acquired the banking operations of SCB from the FDIC. The Bank acquired $378 million of assets and assumed $367 million of liabilities. The Bank and the FDIC entered loss sharing agreements regarding future losses incurred on loans and foreclosed loan collateral existing at June 19, 2009. Under the terms of the loss sharing agreements, the FDIC will absorb 80% of losses and share in 80% of loss recoveries on the first $109 million of losses, and absorb 95% of losses and share in 95% of loss recoveries on losses exceeding $109 million. The term for loss sharing on 1 to 4 family loans is ten years, while the term for loss sharing on all other loans is five years. The SCB acquisition was accounted for under the purchase method of accounting in accordance with the Financial Accounting Standards Board’s Accounting Standards Codification, Topic 805,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(“ASC 805”). United recorded a gain totaling $11.4 million in the second quarter of 2009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which is a component of fee revenue on the consolidated statement of income. The amount of the gain is equal to the amount by which the fair value of assets purchased exceeded the fair value of liabilities assumed. See Note 3 of the Notes to unaudited Consolidated Financial Statements for additional information regarding the acquisition.</w:t>
      </w:r>
    </w:p>
    <w:p>
      <w:pPr>
        <w:spacing w:after="0" w:line="146" w:lineRule="exact"/>
        <w:rPr>
          <w:sz w:val="20"/>
          <w:szCs w:val="20"/>
          <w:color w:val="auto"/>
        </w:rPr>
      </w:pPr>
    </w:p>
    <w:p>
      <w:pPr>
        <w:ind w:left="340" w:right="559"/>
        <w:spacing w:after="0" w:line="454" w:lineRule="auto"/>
        <w:rPr>
          <w:sz w:val="20"/>
          <w:szCs w:val="20"/>
          <w:color w:val="auto"/>
        </w:rPr>
      </w:pPr>
      <w:r>
        <w:rPr>
          <w:rFonts w:ascii="Arial" w:cs="Arial" w:eastAsia="Arial" w:hAnsi="Arial"/>
          <w:sz w:val="18"/>
          <w:szCs w:val="18"/>
          <w:color w:val="auto"/>
        </w:rPr>
        <w:t xml:space="preserve">The results of operations of SCB are included in the consolidated statement of income from the acquisition date of June 19, 2009. </w:t>
      </w:r>
      <w:r>
        <w:rPr>
          <w:rFonts w:ascii="Arial" w:cs="Arial" w:eastAsia="Arial" w:hAnsi="Arial"/>
          <w:sz w:val="18"/>
          <w:szCs w:val="18"/>
          <w:b w:val="1"/>
          <w:bCs w:val="1"/>
          <w:color w:val="auto"/>
        </w:rPr>
        <w:t>GAAP Reconciliation and Explanation</w:t>
      </w:r>
    </w:p>
    <w:p>
      <w:pPr>
        <w:jc w:val="both"/>
        <w:ind w:left="340" w:right="559"/>
        <w:spacing w:after="0" w:line="269" w:lineRule="auto"/>
        <w:rPr>
          <w:sz w:val="20"/>
          <w:szCs w:val="20"/>
          <w:color w:val="auto"/>
        </w:rPr>
      </w:pPr>
      <w:r>
        <w:rPr>
          <w:rFonts w:ascii="Arial" w:cs="Arial" w:eastAsia="Arial" w:hAnsi="Arial"/>
          <w:sz w:val="17"/>
          <w:szCs w:val="17"/>
          <w:color w:val="auto"/>
        </w:rPr>
        <w:t>This Form 10-Q contains non-GAAP financial measures determined by methods other than in accordance with GAAP. Such non-GAAP financial measures include, among others the following: operating revenue, operating expense, operating (loss) income from continuing operations, operating (loss) income, operating earnings (loss) from continuing operations per share, operating earnings (loss) per share, operating earnings (loss) from continuing operations per diluted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26.</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Effective March 31, 2010, United sold its investment in Brintech. As a result, the operations of Brintech are being accounted for as a discontinued operation. All revenue, including the gain from the sale, expenses and income taxes relating to Brintech have been deconsolidated from the income statement and are presented on one line titled “(Loss) income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202"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On April 1, 2010, the Bank entered into an asset purchase and sale agreement (the “Asset Purchase Agreement”) with Fletcher International Inc. and certain affiliates thereof (collectively, the “Purchasers”). Pursuant to the Asset Purchase Agreement, Fletcher International Inc. made a $10 million deposit (the “Deposit”) and the Bank subsequently sold to the Purchasers certain non-performing commercial and residential mortgage loans and other real estate owned (collectively, the “Purchased Assets”) with an aggregate purchase price equal to Bank’s carrying value of $103 million. The asset purchase and sale transaction closed on April 30, 2010 (the “Asset Sale”). In connection with the Asset Sale, the Bank loaned to the Purchasers 80% of the purchase price to acquire the Purchased Assets, with the remaining 20% paid in cash by such Purchasers. The Purchasers were required to have at least 17.5% of the carrying value of the Purchased Assets, up front in cash and securities, to pre-fund the estimated three years’ worth of interest, principal amortization and other carry costs related to such assets.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Also on April 1, 2010, United and Fletcher International, Ltd. (“Fletcher”) entered into a securities purchase agreement (the “Securities Purchase Agreement”) pursuant to which Fletcher agrees to purchase from United, and United agrees to issue and sell to Fletcher, 65,000 shares of United’s Series C convertible preferred stock, par value $1.00 per share (the “Convertible Preferred Stock”), at a purchase price of $1,000 per share, for an aggregate purchase price of $65 million. Fletcher is required to purchase the Convertible Preferred Stock by May 26, 2012, subject to limited extensions upon certain events specified in the Securities Purchase Agreement (the “Securities Sale”). The Convertible Preferred Stock will initially bear interest at a rate equal to the lesser of 12% per annum and LIBOR + 8% per annum. If at United’s annual shareholders meeting, Shareholder Approval (as defined below) is received, the interest rate on the Convertible Preferred Stock will be reduced to bear interest at a rate equal to the lesser of 8% and LIBOR + 4% per annum. If all conditions precedent to Fletcher’s obligations to purchase the Convertible Preferred Stock have been satisfied and Fletcher has not purchased all of the Convertible Preferred Stock by May 26, 2011, it must pay United 5% of the commitment amount not purchased by such date, and it must pay United an additional 5% of the commitment amount not purchased by May 26, 2012.</w:t>
      </w:r>
    </w:p>
    <w:p>
      <w:pPr>
        <w:spacing w:after="0" w:line="153"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Securities Purchase Agreement provides that United shall not affect any conversion or redemption of the Convertible Preferred Stock, and Fletcher shall not have the right to convert or redeem any portion of the Convertible Preferred Stock, into Common Stock to the extent such conversion or redemption would result in aggregate issuances to Fletcher of in excess of 9.75% of the number of shares of Common Stock that would be outstanding after giving effect to such conversion or redemption.</w:t>
      </w:r>
    </w:p>
    <w:p>
      <w:pPr>
        <w:spacing w:after="0" w:line="114"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Convertible Preferred Stock is redeemable by Fletcher at any time into common stock, par value $1.00 per share (“Common Stock”), or Junior Preferred Stock, at $5.25 per share of Common Stock or one-hundredth of a share of Junior Preferred Stock (equal to 12,380,952 shares of Common Stock). After May 26, 2015, United will have the option to convert all of the then outstanding Convertible Preferred Stock into Common Stock or Junior Preferred Stock if United’s stock price exceeds $12.04.</w:t>
      </w:r>
    </w:p>
    <w:p>
      <w:pPr>
        <w:spacing w:after="0" w:line="114"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Concurrently with payment of the Deposit under the Asset Purchase Agreement by Fletcher International Inc., Fletcher received a warrant (the “Warrant”) to purchase non-voting Common Stock Equivalent Junior Preferred Stock, par value $1.00 per share, of United (“Junior Preferred Stock”). The warrant amount was initially equal $15 million at the time the Asset Purchase Agreement was entered into on April 1, 2010. On April 30, 2010, the warrant amount was increased to $30 million upon the completion of the Asset Sale. The warrant may be increased on a dollar for dollar basis by the aggregate dollar amount of the Convertible Preferred Stock purchased under the Securities Purchase Agreement in excess of $30 million. The warrant exercise price for the first $30 million of the warrant amount is $4.25 for each one-hundredth of a share of Junior Preferred Stock (equal to 7,058,824 shares of Common Stock). The warrant price for the warrant amount in excess of $30 million shall be $6.02 for each one-hundredth of a share of Junior Preferred Stock (equal to 5,813,953 shares of Common Stock). The Warrant may only be exercised via cashless exercise and is exercisable for nine years following its issuance, subject to limited extension upon certain events specified in the Warrant.</w:t>
      </w:r>
    </w:p>
    <w:p>
      <w:pPr>
        <w:spacing w:after="0" w:line="15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descriptions of the Asset Purchase Agreement, Securities Purchase Agreement and Warrant above are summaries and are qualified in their entirety by reference to the full text of such agreements, which are incorporated by reference to Exhibits 1.1, 1.2 and 1.3, respectively, of United’s current report on Form 8-K filed with the Securities and Exchange Commission on April 1,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United reported a net operating loss from continuing operations of $34.5 million for the first quarter of 2010. This compared to a net operating loss from continuing operations of $32.1 million for the same period in 2009. The 2009 net operating loss from continuing operations excludes a non-cash charge of $70 million for goodwill impairment and non-recurring severance costs of $2.9 million. Including the goodwill impairment and severance charges, the net loss from continuing operations for the first quarter of 2009 was $104 million. For the first quarter 2010, diluted operating loss from continuing operations per share was $.39. This compared to diluted operating loss from continuing operations per share of $.72 for the first quarter of 2009. The diluted operating loss from continuing operations per share for the first quarter of 2009 excludes the goodwill impairment charge and severance costs, representing $1.45 and $.03 per share, respectively. Including the goodwill impairment and severance charges, the first quarter 2009 net loss from continuing operations per diluted share was $2.20. The net operating losses in 2010 and 2009 reflect higher provisions for loan losses related to the continuing effect of the economic recession and the weak residential construction and housing markets.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4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2500" w:type="dxa"/>
            <w:vAlign w:val="bottom"/>
            <w:gridSpan w:val="3"/>
          </w:tcPr>
          <w:p>
            <w:pPr>
              <w:spacing w:after="0"/>
              <w:rPr>
                <w:sz w:val="20"/>
                <w:szCs w:val="20"/>
                <w:color w:val="auto"/>
              </w:rPr>
            </w:pPr>
            <w:r>
              <w:rPr>
                <w:rFonts w:ascii="Arial" w:cs="Arial" w:eastAsia="Arial" w:hAnsi="Arial"/>
                <w:sz w:val="18"/>
                <w:szCs w:val="18"/>
                <w:b w:val="1"/>
                <w:bCs w:val="1"/>
                <w:color w:val="auto"/>
                <w:w w:val="94"/>
              </w:rPr>
              <w:t>Table 1 — Financial Highlights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500" w:type="dxa"/>
            <w:vAlign w:val="bottom"/>
            <w:gridSpan w:val="3"/>
          </w:tcPr>
          <w:p>
            <w:pPr>
              <w:spacing w:after="0"/>
              <w:rPr>
                <w:sz w:val="20"/>
                <w:szCs w:val="20"/>
                <w:color w:val="auto"/>
              </w:rPr>
            </w:pPr>
            <w:r>
              <w:rPr>
                <w:rFonts w:ascii="Arial" w:cs="Arial" w:eastAsia="Arial" w:hAnsi="Arial"/>
                <w:sz w:val="18"/>
                <w:szCs w:val="18"/>
                <w:b w:val="1"/>
                <w:bCs w:val="1"/>
                <w:color w:val="auto"/>
                <w:w w:val="94"/>
              </w:rPr>
              <w:t>Selected Financial Information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2009</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First</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500" w:type="dxa"/>
            <w:vAlign w:val="bottom"/>
            <w:gridSpan w:val="3"/>
          </w:tcPr>
          <w:p>
            <w:pPr>
              <w:spacing w:after="0" w:line="191" w:lineRule="exact"/>
              <w:rPr>
                <w:sz w:val="20"/>
                <w:szCs w:val="20"/>
                <w:color w:val="auto"/>
              </w:rPr>
            </w:pPr>
            <w:r>
              <w:rPr>
                <w:rFonts w:ascii="Arial" w:cs="Arial" w:eastAsia="Arial" w:hAnsi="Arial"/>
                <w:sz w:val="18"/>
                <w:szCs w:val="18"/>
                <w:i w:val="1"/>
                <w:iCs w:val="1"/>
                <w:color w:val="auto"/>
                <w:w w:val="98"/>
              </w:rPr>
              <w:t>(in thousands, except per share</w:t>
            </w:r>
          </w:p>
        </w:tc>
        <w:tc>
          <w:tcPr>
            <w:tcW w:w="10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First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8"/>
              </w:rPr>
              <w:t>Fourth</w:t>
            </w:r>
          </w:p>
        </w:tc>
        <w:tc>
          <w:tcPr>
            <w:tcW w:w="80" w:type="dxa"/>
            <w:vAlign w:val="bottom"/>
          </w:tcPr>
          <w:p>
            <w:pPr>
              <w:spacing w:after="0"/>
              <w:rPr>
                <w:sz w:val="16"/>
                <w:szCs w:val="16"/>
                <w:color w:val="auto"/>
              </w:rPr>
            </w:pPr>
          </w:p>
        </w:tc>
        <w:tc>
          <w:tcPr>
            <w:tcW w:w="10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0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89"/>
              </w:rPr>
              <w:t>Second</w:t>
            </w:r>
          </w:p>
        </w:tc>
        <w:tc>
          <w:tcPr>
            <w:tcW w:w="100" w:type="dxa"/>
            <w:vAlign w:val="bottom"/>
          </w:tcPr>
          <w:p>
            <w:pPr>
              <w:spacing w:after="0"/>
              <w:rPr>
                <w:sz w:val="16"/>
                <w:szCs w:val="16"/>
                <w:color w:val="auto"/>
              </w:rPr>
            </w:pPr>
          </w:p>
        </w:tc>
        <w:tc>
          <w:tcPr>
            <w:tcW w:w="7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First</w:t>
            </w:r>
          </w:p>
        </w:tc>
        <w:tc>
          <w:tcPr>
            <w:tcW w:w="380" w:type="dxa"/>
            <w:vAlign w:val="bottom"/>
          </w:tcPr>
          <w:p>
            <w:pPr>
              <w:spacing w:after="0"/>
              <w:rPr>
                <w:sz w:val="16"/>
                <w:szCs w:val="16"/>
                <w:color w:val="auto"/>
              </w:rPr>
            </w:pPr>
          </w:p>
        </w:tc>
        <w:tc>
          <w:tcPr>
            <w:tcW w:w="9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2010-2009</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data; taxable equivalent)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Quarter</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Quarter</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Quarter</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Interest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89,849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97,481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101,181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102,737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103,562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33,552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38,177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46,150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Net interest revenue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61,279</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63,929</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63,004</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60,882</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57,412</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65,000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 xml:space="preserve">Operating fee revenue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14,447</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13,389</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11,823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Total operating revenue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(11,624)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(18,607)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54,820</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60,126</w:t>
            </w:r>
          </w:p>
        </w:tc>
        <w:tc>
          <w:tcPr>
            <w:tcW w:w="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51,426</w:t>
            </w: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53,710</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51,788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loss from</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before taxes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(56,875)</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(71,750)</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(70,033)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(41,523)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(47,553)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Operating income tax benefit</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(22,417)</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(31,687)</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(26,252)</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(18,394)</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(15,421)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500" w:type="dxa"/>
            <w:vAlign w:val="bottom"/>
            <w:gridSpan w:val="3"/>
            <w:shd w:val="clear" w:color="auto" w:fill="CCEEFF"/>
          </w:tcPr>
          <w:p>
            <w:pPr>
              <w:ind w:left="200"/>
              <w:spacing w:after="0" w:line="198" w:lineRule="exact"/>
              <w:rPr>
                <w:sz w:val="20"/>
                <w:szCs w:val="20"/>
                <w:color w:val="auto"/>
              </w:rPr>
            </w:pPr>
            <w:r>
              <w:rPr>
                <w:rFonts w:ascii="Arial" w:cs="Arial" w:eastAsia="Arial" w:hAnsi="Arial"/>
                <w:sz w:val="18"/>
                <w:szCs w:val="18"/>
                <w:b w:val="1"/>
                <w:bCs w:val="1"/>
                <w:color w:val="auto"/>
              </w:rPr>
              <w:t>Net operating loss from</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w w:val="97"/>
              </w:rPr>
              <w:t xml:space="preserve">continuing operations </w:t>
            </w:r>
            <w:r>
              <w:rPr>
                <w:rFonts w:ascii="Arial" w:cs="Arial" w:eastAsia="Arial" w:hAnsi="Arial"/>
                <w:sz w:val="15"/>
                <w:szCs w:val="15"/>
                <w:color w:val="auto"/>
                <w:w w:val="97"/>
              </w:rPr>
              <w:t>(1)</w:t>
            </w:r>
          </w:p>
        </w:tc>
        <w:tc>
          <w:tcPr>
            <w:tcW w:w="10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(34,458)</w:t>
            </w:r>
          </w:p>
        </w:tc>
        <w:tc>
          <w:tcPr>
            <w:tcW w:w="10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(40,063)</w:t>
            </w:r>
          </w:p>
        </w:tc>
        <w:tc>
          <w:tcPr>
            <w:tcW w:w="8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(43,781)</w:t>
            </w:r>
          </w:p>
        </w:tc>
        <w:tc>
          <w:tcPr>
            <w:tcW w:w="10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(23,129)</w:t>
            </w:r>
          </w:p>
        </w:tc>
        <w:tc>
          <w:tcPr>
            <w:tcW w:w="10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(32,132)</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w w:val="97"/>
              </w:rPr>
              <w:t>Gain from acquisition, net of tax</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Noncash goodwill impairment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(70,000)</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rPr>
              <w:t>Severance costs, net of tax</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(1,797)</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(Loss) income from</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Gain from sale of subsidiary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(39,835)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(103,773)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w w:val="94"/>
              </w:rPr>
              <w:t>Preferred dividends and discount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color w:val="auto"/>
              </w:rPr>
              <w:t>accretion</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2,554</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5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Net loss available to common</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(106,327)</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MEASURES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Diluted operating loss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color w:val="auto"/>
              </w:rPr>
              <w:t>from continuing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color w:val="auto"/>
              </w:rPr>
              <w:t xml:space="preserve">operations </w:t>
            </w:r>
            <w:r>
              <w:rPr>
                <w:rFonts w:ascii="Arial" w:cs="Arial" w:eastAsia="Arial" w:hAnsi="Arial"/>
                <w:sz w:val="15"/>
                <w:szCs w:val="15"/>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rPr>
              <w:t>Diluted loss from</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Diluted loss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500" w:type="dxa"/>
            <w:vAlign w:val="bottom"/>
            <w:gridSpan w:val="3"/>
            <w:shd w:val="clear" w:color="auto" w:fill="CCEEFF"/>
          </w:tcPr>
          <w:p>
            <w:pPr>
              <w:ind w:left="400"/>
              <w:spacing w:after="0" w:line="203" w:lineRule="exact"/>
              <w:rPr>
                <w:sz w:val="20"/>
                <w:szCs w:val="20"/>
                <w:color w:val="auto"/>
              </w:rPr>
            </w:pPr>
            <w:r>
              <w:rPr>
                <w:rFonts w:ascii="Arial" w:cs="Arial" w:eastAsia="Arial" w:hAnsi="Arial"/>
                <w:sz w:val="18"/>
                <w:szCs w:val="18"/>
                <w:color w:val="auto"/>
              </w:rPr>
              <w:t>Stock dividends declared</w:t>
            </w:r>
          </w:p>
        </w:tc>
        <w:tc>
          <w:tcPr>
            <w:tcW w:w="1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1 for 130</w:t>
            </w:r>
          </w:p>
        </w:tc>
        <w:tc>
          <w:tcPr>
            <w:tcW w:w="1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1 for 130</w:t>
            </w: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w w:val="98"/>
              </w:rPr>
              <w:t>1 for 130</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020" w:type="dxa"/>
            <w:vAlign w:val="bottom"/>
            <w:shd w:val="clear" w:color="auto" w:fill="CCEEFF"/>
          </w:tcPr>
          <w:p>
            <w:pPr>
              <w:ind w:left="600"/>
              <w:spacing w:after="0"/>
              <w:rPr>
                <w:sz w:val="20"/>
                <w:szCs w:val="20"/>
                <w:color w:val="auto"/>
              </w:rPr>
            </w:pPr>
            <w:r>
              <w:rPr>
                <w:rFonts w:ascii="Arial" w:cs="Arial" w:eastAsia="Arial" w:hAnsi="Arial"/>
                <w:sz w:val="15"/>
                <w:szCs w:val="15"/>
                <w:color w:val="auto"/>
              </w:rPr>
              <w:t>(6)</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Book value</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14.70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color w:val="auto"/>
              </w:rPr>
              <w:t>Key performance ratios: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xml:space="preserve">Return on equity </w:t>
            </w:r>
            <w:r>
              <w:rPr>
                <w:rFonts w:ascii="Arial" w:cs="Arial" w:eastAsia="Arial" w:hAnsi="Arial"/>
                <w:sz w:val="15"/>
                <w:szCs w:val="15"/>
                <w:color w:val="auto"/>
              </w:rPr>
              <w:t>(3)(5)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 xml:space="preserve">Return on assets </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Operating efficiency ratio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color w:val="auto"/>
              </w:rPr>
              <w:t>from continuing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color w:val="auto"/>
              </w:rPr>
              <w:t xml:space="preserve">operations </w:t>
            </w: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78.74</w:t>
            </w: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75.13</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Equity to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50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Tangible equity to assets</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7"/>
                <w:szCs w:val="17"/>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7"/>
                <w:szCs w:val="17"/>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8.24</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940"/>
              <w:spacing w:after="0"/>
              <w:rPr>
                <w:sz w:val="20"/>
                <w:szCs w:val="20"/>
                <w:color w:val="auto"/>
              </w:rPr>
            </w:pPr>
            <w:r>
              <w:rPr>
                <w:rFonts w:ascii="Arial" w:cs="Arial" w:eastAsia="Arial" w:hAnsi="Arial"/>
                <w:sz w:val="15"/>
                <w:szCs w:val="15"/>
                <w:color w:val="auto"/>
              </w:rPr>
              <w:t>(4)</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rPr>
              <w:t>Tangible common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xml:space="preserve">to assets </w:t>
            </w: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6.09</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0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Tangible common equity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color w:val="auto"/>
              </w:rPr>
              <w:t>to risk-weighted assets</w:t>
            </w:r>
          </w:p>
        </w:tc>
        <w:tc>
          <w:tcPr>
            <w:tcW w:w="100" w:type="dxa"/>
            <w:vAlign w:val="bottom"/>
          </w:tcPr>
          <w:p>
            <w:pPr>
              <w:spacing w:after="0"/>
              <w:rPr>
                <w:sz w:val="18"/>
                <w:szCs w:val="18"/>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8"/>
                <w:szCs w:val="18"/>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8.03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ind w:left="940"/>
              <w:spacing w:after="0"/>
              <w:rPr>
                <w:sz w:val="20"/>
                <w:szCs w:val="20"/>
                <w:color w:val="auto"/>
              </w:rPr>
            </w:pPr>
            <w:r>
              <w:rPr>
                <w:rFonts w:ascii="Arial" w:cs="Arial" w:eastAsia="Arial" w:hAnsi="Arial"/>
                <w:sz w:val="15"/>
                <w:szCs w:val="15"/>
                <w:color w:val="auto"/>
              </w:rPr>
              <w:t>(4)</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 QUALITY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color w:val="auto"/>
              </w:rPr>
              <w:t>Non-performing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280,802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264,092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304,381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287,848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259,155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136,275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120,770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110,610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75,383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Total non-performing</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tcPr>
          <w:p>
            <w:pPr>
              <w:ind w:left="600"/>
              <w:spacing w:after="0"/>
              <w:rPr>
                <w:sz w:val="20"/>
                <w:szCs w:val="20"/>
                <w:color w:val="auto"/>
              </w:rPr>
            </w:pPr>
            <w:r>
              <w:rPr>
                <w:rFonts w:ascii="Arial" w:cs="Arial" w:eastAsia="Arial" w:hAnsi="Arial"/>
                <w:sz w:val="18"/>
                <w:szCs w:val="18"/>
                <w:color w:val="auto"/>
              </w:rPr>
              <w:t>assets (NPAs)</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417,077</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384,862</w:t>
            </w: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414,991</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392,602</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334,538</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173,934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155,602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150,187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145,678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143,990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56,668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84,585</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90,491</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58,312</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43,281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Allowance for loan losses to</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405" w:right="1440" w:bottom="0" w:gutter="0" w:footer="0" w:header="0"/>
        </w:sectPr>
      </w:pPr>
    </w:p>
    <w:bookmarkStart w:id="30" w:name="page31"/>
    <w:bookmarkEnd w:id="3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w:t>
            </w: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2"/>
        </w:trPr>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Net charge-offs to average</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420" w:type="dxa"/>
            <w:vAlign w:val="bottom"/>
          </w:tcPr>
          <w:p>
            <w:pPr>
              <w:ind w:left="400"/>
              <w:spacing w:after="0"/>
              <w:rPr>
                <w:sz w:val="20"/>
                <w:szCs w:val="20"/>
                <w:color w:val="auto"/>
              </w:rPr>
            </w:pPr>
            <w:r>
              <w:rPr>
                <w:rFonts w:ascii="Arial" w:cs="Arial" w:eastAsia="Arial" w:hAnsi="Arial"/>
                <w:sz w:val="18"/>
                <w:szCs w:val="18"/>
                <w:color w:val="auto"/>
              </w:rPr>
              <w:t xml:space="preserve">loans </w:t>
            </w:r>
            <w:r>
              <w:rPr>
                <w:rFonts w:ascii="Arial" w:cs="Arial" w:eastAsia="Arial" w:hAnsi="Arial"/>
                <w:sz w:val="15"/>
                <w:szCs w:val="15"/>
                <w:color w:val="auto"/>
              </w:rPr>
              <w:t>(5)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4.51</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6.37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6.57</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4.18</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3.09</w:t>
            </w:r>
          </w:p>
        </w:tc>
        <w:tc>
          <w:tcPr>
            <w:tcW w:w="840" w:type="dxa"/>
            <w:vAlign w:val="bottom"/>
          </w:tcPr>
          <w:p>
            <w:pPr>
              <w:spacing w:after="0"/>
              <w:rPr>
                <w:sz w:val="20"/>
                <w:szCs w:val="20"/>
                <w:color w:val="auto"/>
              </w:rPr>
            </w:pPr>
          </w:p>
        </w:tc>
      </w:tr>
      <w:tr>
        <w:trPr>
          <w:trHeight w:val="202"/>
        </w:trPr>
        <w:tc>
          <w:tcPr>
            <w:tcW w:w="2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NPAs to loans and foreclosed</w:t>
            </w: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properties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7.30</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7.58</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6.99</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5.86</w:t>
            </w:r>
          </w:p>
        </w:tc>
        <w:tc>
          <w:tcPr>
            <w:tcW w:w="840" w:type="dxa"/>
            <w:vAlign w:val="bottom"/>
            <w:shd w:val="clear" w:color="auto" w:fill="CCEEFF"/>
          </w:tcPr>
          <w:p>
            <w:pPr>
              <w:spacing w:after="0"/>
              <w:rPr>
                <w:sz w:val="20"/>
                <w:szCs w:val="20"/>
                <w:color w:val="auto"/>
              </w:rPr>
            </w:pP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NPAs to total assets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5.32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4.81</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4.91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4.63</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4.09</w:t>
            </w:r>
          </w:p>
        </w:tc>
        <w:tc>
          <w:tcPr>
            <w:tcW w:w="84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w:t>
            </w: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Loans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7"/>
              </w:rPr>
              <w:t>$5,172,847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$5,357,150</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$5,565,498</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$5,597,259</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$5,675,054</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1,517,696</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1,528,805</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1,615,499</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1,771,482</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1,712,654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7,084,891</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7,486,790</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7,400,539</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7,442,178</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7,530,230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7,946,303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8,286,544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8,208,199</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8,212,140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8,372,281</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6,570,016</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6,835,052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6,689,948</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6,544,537</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6,780,531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945,426</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989,279</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843,130</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879,210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967,505</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Common shares — basic</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94,390</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94,219</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49,771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48,794</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48,324</w:t>
            </w:r>
          </w:p>
        </w:tc>
        <w:tc>
          <w:tcPr>
            <w:tcW w:w="840" w:type="dxa"/>
            <w:vAlign w:val="bottom"/>
          </w:tcPr>
          <w:p>
            <w:pPr>
              <w:spacing w:after="0"/>
              <w:rPr>
                <w:sz w:val="18"/>
                <w:szCs w:val="18"/>
                <w:color w:val="auto"/>
              </w:rPr>
            </w:pP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 diluted</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94,390</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94,219</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49,771</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48,794</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48,324</w:t>
            </w:r>
          </w:p>
        </w:tc>
        <w:tc>
          <w:tcPr>
            <w:tcW w:w="84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b w:val="1"/>
                <w:bCs w:val="1"/>
                <w:color w:val="auto"/>
              </w:rPr>
              <w:t>AT PERIOD END</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$4,992,045</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$5,151,476</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$5,362,689</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$5,513,087</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$5,632,705</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1,526,589</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1,530,047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1,532,514</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1,816,787</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1,719,033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7,837,018</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7,999,914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8,443,617</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8,477,355</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8,171,663</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6,487,588</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6,627,834</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6,821,306</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6,848,760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6,616,488</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925,895</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962,321</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1,006,638</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855,272</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888,853</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w w:val="95"/>
              </w:rPr>
              <w:t>Common shares outstanding</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94,176</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94,046</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93,901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48,933</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48,487</w:t>
            </w:r>
          </w:p>
        </w:tc>
        <w:tc>
          <w:tcPr>
            <w:tcW w:w="840" w:type="dxa"/>
            <w:vAlign w:val="bottom"/>
          </w:tcPr>
          <w:p>
            <w:pPr>
              <w:spacing w:after="0"/>
              <w:rPr>
                <w:sz w:val="20"/>
                <w:szCs w:val="20"/>
                <w:color w:val="auto"/>
              </w:rPr>
            </w:pPr>
          </w:p>
        </w:tc>
      </w:tr>
    </w:tbl>
    <w:p>
      <w:pPr>
        <w:spacing w:after="0" w:line="93" w:lineRule="exact"/>
        <w:rPr>
          <w:sz w:val="20"/>
          <w:szCs w:val="20"/>
          <w:color w:val="auto"/>
        </w:rPr>
      </w:pPr>
    </w:p>
    <w:p>
      <w:pPr>
        <w:ind w:left="348" w:right="559" w:hanging="348"/>
        <w:spacing w:after="0" w:line="277"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the gain from acquisition of $11.4 million, net of income tax expense of $4.3 million in the second quarter of 2009 and revenue generated by discontinued operations in all periods presented.</w:t>
      </w:r>
    </w:p>
    <w:p>
      <w:pPr>
        <w:spacing w:after="0" w:line="21"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the goodwill impairment charges of $25 million and $70 million in the third and first quarters of 2009, respectively, severance costs of $2.9 million, net of income tax benefit of $1.1 million in the first quarter of 2009 and expenses relating to discontinued operations for all periods presented.</w:t>
      </w:r>
    </w:p>
    <w:p>
      <w:pPr>
        <w:spacing w:after="0" w:line="32"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available to common shareholders, which is net of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new shares issued for shares currently held.</w:t>
      </w:r>
    </w:p>
    <w:p>
      <w:pPr>
        <w:spacing w:after="0" w:line="77" w:lineRule="exact"/>
        <w:rPr>
          <w:sz w:val="20"/>
          <w:szCs w:val="20"/>
          <w:color w:val="auto"/>
        </w:rPr>
      </w:pPr>
    </w:p>
    <w:p>
      <w:pPr>
        <w:ind w:left="4568" w:right="2859" w:hanging="4568"/>
        <w:spacing w:after="0" w:line="951" w:lineRule="auto"/>
        <w:tabs>
          <w:tab w:leader="none" w:pos="342"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40"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4019"/>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First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6"/>
                <w:szCs w:val="16"/>
                <w:color w:val="auto"/>
              </w:rPr>
            </w:pPr>
          </w:p>
        </w:tc>
        <w:tc>
          <w:tcPr>
            <w:tcW w:w="120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122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6"/>
                <w:szCs w:val="16"/>
                <w:color w:val="auto"/>
              </w:rPr>
            </w:pPr>
          </w:p>
        </w:tc>
        <w:tc>
          <w:tcPr>
            <w:tcW w:w="8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i w:val="1"/>
                <w:iCs w:val="1"/>
                <w:color w:val="auto"/>
              </w:rPr>
              <w:t>data; taxable equivalent)</w:t>
            </w:r>
          </w:p>
        </w:tc>
        <w:tc>
          <w:tcPr>
            <w:tcW w:w="12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revenue reconciliation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Interest revenue — taxable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equivalent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89,849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97,481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101,181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102,737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103,562</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Interest revenue (GAAP)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89,356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96,880</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100,601</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102,274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Net interest revenue reconciliation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Net interest revenue — taxable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equivalent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61,279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63,929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63,004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60,882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57,412</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Net interest revenue (GAAP)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63,328</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62,424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60,419</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Fee revenue reconciliation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Operating fee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11,666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14,447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13,389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11,305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acquisition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11,390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Fee revenue (GAAP)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14,447</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22,695</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(11,624)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(18,607)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12,187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11,390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54,820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60,126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51,788</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w w:val="98"/>
              </w:rPr>
              <w:t>Noncash goodwill impairment charge</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3"/>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Operating expense (GAAP)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54,820</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60,126</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76,426</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53,710</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Loss from continuing operations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before taxes reconciliation</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Operating loss from continuing</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0"/>
              <w:spacing w:after="0"/>
              <w:rPr>
                <w:sz w:val="20"/>
                <w:szCs w:val="20"/>
                <w:color w:val="auto"/>
              </w:rPr>
            </w:pPr>
            <w:r>
              <w:rPr>
                <w:rFonts w:ascii="Arial" w:cs="Arial" w:eastAsia="Arial" w:hAnsi="Arial"/>
                <w:sz w:val="18"/>
                <w:szCs w:val="18"/>
                <w:color w:val="auto"/>
              </w:rPr>
              <w:t>operations before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(56,875)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(71,750)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(70,033)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(41,523)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11,390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Noncash goodwill impairment charge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12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2"/>
        </w:trPr>
        <w:tc>
          <w:tcPr>
            <w:tcW w:w="29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Loss from continuing operations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before taxes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(57,368)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(120,939)</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tax benefit reconciliation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tax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acquisition, tax expense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4,328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Severance costs, tax benefit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loss from continuing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operations per common share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reconciliation</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Diluted operating loss from</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continuing operations per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Noncash goodwill impairment charge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12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9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Diluted loss from continuing</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operations per common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Book value per common share</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5925820" cy="104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25820" cy="104775"/>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Tangible book value per common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Effect of goodwill and other</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Book value per common share</w:t>
            </w: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Efficiency ratio from continuing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b w:val="1"/>
                <w:bCs w:val="1"/>
                <w:color w:val="auto"/>
              </w:rPr>
              <w:t>operations reconciliation</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efficiency ratio from</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78.74%</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68.35%</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73.68%</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Gain from acquisition</w:t>
            </w:r>
          </w:p>
        </w:tc>
        <w:tc>
          <w:tcPr>
            <w:tcW w:w="3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8"/>
              </w:rPr>
              <w:t>Noncash goodwill impairment charge</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Efficiency ratio from continuing</w:t>
            </w: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 (GAAP)</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78.74%</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101.57%</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63.72%</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180.88%</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Tangible common equity to assets</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equity to assets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Effect of goodwill and other</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to assets (GAAP)</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Actual tangible common equity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tcPr>
          <w:p>
            <w:pPr>
              <w:ind w:left="200"/>
              <w:spacing w:after="0"/>
              <w:rPr>
                <w:sz w:val="20"/>
                <w:szCs w:val="20"/>
                <w:color w:val="auto"/>
              </w:rPr>
            </w:pPr>
            <w:r>
              <w:rPr>
                <w:rFonts w:ascii="Arial" w:cs="Arial" w:eastAsia="Arial" w:hAnsi="Arial"/>
                <w:sz w:val="18"/>
                <w:szCs w:val="18"/>
                <w:b w:val="1"/>
                <w:bCs w:val="1"/>
                <w:color w:val="auto"/>
              </w:rPr>
              <w:t>risk-weighted assets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Tangible common equity to risk-</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assets</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Effect of other comprehensive</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Effect of deferred tax limitation</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3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vMerge w:val="restart"/>
          </w:tcPr>
          <w:p>
            <w:pPr>
              <w:ind w:left="200"/>
              <w:spacing w:after="0"/>
              <w:rPr>
                <w:sz w:val="20"/>
                <w:szCs w:val="20"/>
                <w:color w:val="auto"/>
              </w:rPr>
            </w:pPr>
            <w:r>
              <w:rPr>
                <w:rFonts w:ascii="Arial" w:cs="Arial" w:eastAsia="Arial" w:hAnsi="Arial"/>
                <w:sz w:val="18"/>
                <w:szCs w:val="18"/>
                <w:color w:val="auto"/>
              </w:rPr>
              <w:t>Tier I capital ratio (Regulatory)</w:t>
            </w: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12.41%</w:t>
            </w: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13.15%</w:t>
            </w:r>
          </w:p>
        </w:tc>
        <w:tc>
          <w:tcPr>
            <w:tcW w:w="3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10.44%</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5740" w:type="dxa"/>
            <w:vAlign w:val="bottom"/>
            <w:gridSpan w:val="9"/>
          </w:tcPr>
          <w:p>
            <w:pPr>
              <w:spacing w:after="0"/>
              <w:rPr>
                <w:sz w:val="20"/>
                <w:szCs w:val="20"/>
                <w:color w:val="auto"/>
              </w:rPr>
            </w:pPr>
            <w:r>
              <w:rPr>
                <w:rFonts w:ascii="Arial" w:cs="Arial" w:eastAsia="Arial" w:hAnsi="Arial"/>
                <w:sz w:val="18"/>
                <w:szCs w:val="18"/>
                <w:b w:val="1"/>
                <w:bCs w:val="1"/>
                <w:color w:val="auto"/>
                <w:w w:val="99"/>
              </w:rPr>
              <w:t>Table 2 — Income Statement Trend — Continuing Operations Basis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2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80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3"/>
              </w:rPr>
              <w:t>(in thousands, except per share data)</w:t>
            </w:r>
          </w:p>
        </w:tc>
        <w:tc>
          <w:tcPr>
            <w:tcW w:w="280" w:type="dxa"/>
            <w:vAlign w:val="bottom"/>
            <w:vMerge w:val="restart"/>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8"/>
                <w:szCs w:val="18"/>
                <w:b w:val="1"/>
                <w:bCs w:val="1"/>
                <w:color w:val="auto"/>
                <w:w w:val="93"/>
              </w:rPr>
              <w:t>Revised for Discontinued Operations</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80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1Q10</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4Q09</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3Q09</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2Q09</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72,215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78,064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80,874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81,691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81,880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securities, including tax</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exempt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16,203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17,313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18,820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20,485</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Federal funds sold, commercial</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paper and deposits in banks</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89,356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96,880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100,601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102,274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103,074</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2,315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2,843</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28,183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32,064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36,053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8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23,893</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28,774</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33,552</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37,297</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Federal funds purchased,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8"/>
              </w:rPr>
              <w:t>repurchase agreements and 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w w:val="99"/>
              </w:rPr>
              <w:t>Federal Home Loan Bank advances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28,570</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33,552</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38,177</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41,855</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62,424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90,000</w:t>
            </w:r>
          </w:p>
        </w:tc>
        <w:tc>
          <w:tcPr>
            <w:tcW w:w="1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rPr>
              <w:t>Net interest revenue after</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(14,214)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(26,672)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(32,576)</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7,447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Mortgage loan and other related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fees</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2,825</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Securities gains (losses), net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1,149</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Gain from acquisition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11,390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2,112</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fee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11,666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13,389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23,114</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24,360</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24,061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23,889</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26,305</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Occupancy</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3,814</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4,003</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4,063</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3,818</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Postage, printing and supplies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Foreclosed preoperty</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10,813</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14,391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7,918</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5,737</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FDIC assessments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regulatory charges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3,626</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6,810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Severance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54,820</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60,126</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76,426</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53,710</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before income taxes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(57,368)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(72,351)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(95,613)</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(30,596)</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(120,939)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(22,910)</w:t>
            </w:r>
          </w:p>
        </w:tc>
        <w:tc>
          <w:tcPr>
            <w:tcW w:w="1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(32,288)</w:t>
            </w:r>
          </w:p>
        </w:tc>
        <w:tc>
          <w:tcPr>
            <w:tcW w:w="1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(26,832)</w:t>
            </w: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(14,529)</w:t>
            </w: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080" w:type="dxa"/>
            <w:vAlign w:val="bottom"/>
            <w:gridSpan w:val="3"/>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Net loss from continuing</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8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(34,458)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(40,063)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(68,781)</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(16,067)</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(103,929)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(Loss) income from discontinued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operations, net of income taxes</w:t>
            </w: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Gain from sale of subsidiary, net of</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income taxes and selling costs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(33,293)</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(39,835)</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(68,718)</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(16,001)</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(103,773)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Preferred stock dividends and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discount accretion</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2,567</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 available to common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(35,865)</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(42,402)</w:t>
            </w:r>
          </w:p>
        </w:tc>
        <w:tc>
          <w:tcPr>
            <w:tcW w:w="3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(71,280)</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(18,560)</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(106,327)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05" w:right="1440"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80" w:type="dxa"/>
            <w:vAlign w:val="bottom"/>
          </w:tcPr>
          <w:p>
            <w:pPr>
              <w:ind w:left="60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per</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 Basic /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Loss per common share — Basic /</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 Basic / Diluted</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94,390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94,219</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49,771</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48,794</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48,324</w:t>
            </w:r>
          </w:p>
        </w:tc>
        <w:tc>
          <w:tcPr>
            <w:tcW w:w="17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w w:val="89"/>
              </w:rPr>
              <w:t>27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0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United’s revenue. United actively manages this revenue source to provide an optimal level of revenue while balancing interest rate, credit and liquidity risks. Net interest revenue for the three months ended March 31, 2010 was $61.3 million, up $3.9 million, or 7%, from the first quarter of 2009. The increase in net interest revenue for the first quarter of 2010 compared to the first quarter of 2009 was due to improvement in the net interest margin, resulting from management’s focus on improving earnings performance. The margin had been on a downward trend leading up to the first quarter of 2009 as a result of many factors including the decrease in the prime rate, intensely competitive deposit pricing, efforts to build liquidity and a higher level of non-performing assets. United intensified its focus on loan pricing to ensure that it was being adequately compensated for the credit risk it was taking. Much of the improvement in loan pricing was due to United’s ability to negotiate floors (minimum interest rates) into its floating rate loans. This loan spread improvement, combined with the effect of eased competition on deposit pricing, led to a steady improving trend in the net interest margin from the fourth quarter of 2008 to the first quarter of 2010. The improved net interest margin more than offset the reduction in net interest revenue caused by the $445 million decrease in average interest-earning assets.</w:t>
      </w:r>
    </w:p>
    <w:p>
      <w:pPr>
        <w:spacing w:after="0" w:line="134"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Average loans decreased $502 million, or 9%, from the first quarter of last year. The decrease in the loan portfolio was a result of the slowdown in the housing market, particularly in the Atlanta, Georgia MSA where period-end loans decreased $256 million from March 31, 2009. Weak lending conditions have migrated to United’s other markets resulting in a $200 million decrease in loans in north Georgia from the March 31, 2009. The decrease was also due to loan charge-offs, foreclosure activity and management’s efforts to rebalance the loan portfolio by reducing the concentration of residential construction loans. Period-end loans in United’s other markets of western North Carolina, the Gainesville, Georgia MSA, coastal Georgia and east Tennessee decreased $52 million, $49 million, $72 million and $11 million, respectively, also a result of weak lending conditions.</w:t>
      </w:r>
    </w:p>
    <w:p>
      <w:pPr>
        <w:spacing w:after="0" w:line="127"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Average interest-earning assets for the first quarter of 2010 decreased $445 million, or 6%, from the same period in 2009. Decreases of $502 million in loans and $195 million in the investment securities portfolio were partially offset by a $252 million increase in federal funds sold and other interest-earning assets. Loan demand has been weak due to the poor economy and management’s efforts to reduce United’s exposure to residential construction loans. The increase in federal funds sold and other interest-earning assets is due to purchases of short-term commercial paper and bank certificates of deposit in an effort to temporarily invest excess liquidity. Average interest-bearing liabilities decreased $419 million from the first quarter of 2009 due to the rolling off of high-cost deposits as funding needs decreased. The average yield on interest-earning assets for the three months ended March 31, 2010 was 5.13%, down from 5.56% for the same period of 2009, reflecting the effect of lower short-term interest rates on United’s prime-based loans as well as increased levels of non-performing loans.</w:t>
      </w:r>
    </w:p>
    <w:p>
      <w:pPr>
        <w:spacing w:after="0" w:line="14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average cost of interest-bearing liabilities for the first quarter of 2010 was 1.86% compared to 2.82% for the same period of 2009, reflecting the effect of falling rates on United’s floating rate liabilities and United’s ability to reduce deposit pricing. Also contributing to the lower overall rate on interest-bearing liabilities was a shift in the mix of deposits away from more expensive time deposits toward lower-rate transaction deposits. United’s shrinking balance sheet also required less use of more expensive wholesale borrowings.</w:t>
      </w:r>
    </w:p>
    <w:p>
      <w:pPr>
        <w:spacing w:after="0" w:line="14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 earning assets with customers’ non-interest-bearing deposits and with stockholders’ equity.</w:t>
      </w:r>
    </w:p>
    <w:p>
      <w:pPr>
        <w:spacing w:after="0" w:line="124"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For the three months ended March 31, 2010 and 2009, the net interest spread was 3.27% and 2.74%, respectively, while the net interest margin was 3.49% and 3.08%, respectively. The improved net interest margin for the quarter reflects management’s focus on improving earnings performance. The margin had been on a downward trend leading up to the first quarter of 2009 as a result of a rise in non-performing assets and higher than normal deposit pricing resulting from competition for deposits. The intense competition occurred due to liquidity pressures affecting the banking industry as a whole in the second half of 2008. Although deposit pricing competition began to ease late in the fourth quarter of 2008, its effects continued to be felt in the first quarter of 2009. At the same time, United intensified its focus on loan pricing to ensure that it was being adequately compensated for the credit risk it was taking. The combined effect of easing deposit pricing and widening credit spreads in United’s loan portfolio led to the 41 basis point increase in the net interest margin from the first quarter of 2009 to the first quarter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2010 and 2009.</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Three Months Ended March 31,</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2010</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2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$5,172,847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$5,675,054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1,487,646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15,892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4.27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1,682,603</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20,433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394,348</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1,229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142,522</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7,084,891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89,849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7,530,230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103,562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(128,798)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104,545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104,411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181,927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762,228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686,943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7,946,303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8,372,281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$1,361,696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$1,358,149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723,470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1,757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477,325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2,237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180,448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172,708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1,692,652</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8,891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1,942,897</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17,217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1,155,776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1,393,188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736,999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786,171</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6,011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5,851,041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6,130,438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41,754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102,058</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1,038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150,517</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553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114,388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204,941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150,078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2,662</w:t>
            </w:r>
          </w:p>
        </w:tc>
        <w:tc>
          <w:tcPr>
            <w:tcW w:w="3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7.19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150,997</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2,769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506,455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6,217,565</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28,570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6,636,893</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46,150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718,975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650,093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64,337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117,790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7,000,877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7,404,776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945,426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967,505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7,946,303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8,372,281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61,279</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57,412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3.27%</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$43.2 million and $10.6 million in 2010 and 2009, respectively,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1"/>
              </w:rPr>
              <w:t>Three Months Ended March 31, 2010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Compared to 2009</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Increase (decrease)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Due to Changes in</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Volume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(7,069)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(2,461)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Tax-exempt securities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5700" w:type="dxa"/>
            <w:vAlign w:val="bottom"/>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NOW accounts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(4,123)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(14,452)</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Increase in net interest revenue</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(4,104)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7,971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Provision for Loan 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$75 million for the first quarter of 2010, compared to $65 million for the same period in 2009. The amount of provision recorded in the first quarter of 2010 was the amount required such that the total allowance for loan losses reflected, in the estimation of management, the amount of inherent losses in the loan portfolio. The increases in the provision and the allowance for loan losses compared to a year ago were due to an increase in substandard loans, deterioration in the collateral values leading to an expectation of higher charge-offs upon default, further weakening of the residential construction and housing markets, and the recessionary economic environment. The ratio of net loan charge-offs to average outstanding loans for the three months ended March 31, 2010 was 4.51% compared to 3.09% for the first quarter of 2009.</w:t>
      </w:r>
    </w:p>
    <w:p>
      <w:pPr>
        <w:spacing w:after="0" w:line="15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As the residential construction and housing markets have struggled, most notably in the Atlanta, Georgia MSA, it has been difficult for many builders and developers to obtain cash flow from selling lots and houses needed to service debt. This deterioration of the residential construction and housing market was the primary factor that resulted in higher credit losses and an increase in non-performing assets. Although a majority of the losses have been within the residential construction and development portion of the portfolio in the Atlanta, Georgia MSA, credit quality deterioration has migrated to other markets and loan categories. Additional discussion on credit quality and the allowance for loan losses is included in the Asset Quality and Risk Elements section of this report on page 34.</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Fee revenue for the three months ended March 31, 2010 was $11.7 million, a decrease of $157,000, or 1%, from the same period of 2009.</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 presents the components of fee revenue for the first quarters of 2010 and 2009. The table is presented to reflect Brintech as a discontinued operation and therefore consulting fees previously recognized by Brintech and reflected in fee revenue as well as the gain resulting from the sale are not included in the table.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1,479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2,651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Brokerage fees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Securities gains, net</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303</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2,112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5680" w:type="dxa"/>
            <w:vAlign w:val="bottom"/>
          </w:tcPr>
          <w:p>
            <w:pPr>
              <w:ind w:left="200"/>
              <w:spacing w:after="0"/>
              <w:rPr>
                <w:sz w:val="20"/>
                <w:szCs w:val="20"/>
                <w:color w:val="auto"/>
              </w:rPr>
            </w:pPr>
            <w:r>
              <w:rPr>
                <w:rFonts w:ascii="Arial" w:cs="Arial" w:eastAsia="Arial" w:hAnsi="Arial"/>
                <w:sz w:val="18"/>
                <w:szCs w:val="18"/>
                <w:color w:val="auto"/>
              </w:rPr>
              <w:t>Total fee revenue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3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Service charges and fees of $7.4 million were up $413,000, or 6%, from the first quarter of 2009. The increase was primarily related to an increase in ATM and debit card usage fees.</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Mortgage loans and related fees of $1.5 million for the three months ended March 31, 2010, were down $1.2 million, or 44%, from the same period in 2009. In 2009, refinancing activity reached record levels due to historically low interest rates. In the first quarter of 2010, United closed 412 loans totaling $65 million compared to 996 loans totaling $174 million in the first quarter of 2009. Substantially all originated residential mortgages were sold into the secondary market including the right to service these loans.</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For the first quarter of 2010, brokerage fees were $567,000, a decrease of $122,000, or 18%, from the first quarter of 2009. The decrease in brokerage fees was due to continued weak market conditions.</w:t>
      </w:r>
    </w:p>
    <w:p>
      <w:pPr>
        <w:spacing w:after="0" w:line="14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United incurred net securities gains of $61,000 and $303,000 for the three months ended March 31, 2010 and 2009, respectively. The net gains for the first quarter of 2010 included $950,000 in impairment charges on trust preferred securities investments in a bank whose financial condition had deteriorated.</w:t>
      </w:r>
    </w:p>
    <w:p>
      <w:pPr>
        <w:spacing w:after="0" w:line="14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Other fee revenue of $2.1 million increased $966,000, or 84%, from the first quarter of 2009. The increase was due to hedge ineffectiveness on terminated cash flow hedging positions that resulted in the accelerated recognition of approximately $522,000 in deferred gains in the first quarter of 2010 and higher earnings of $100,000 and $320,000, respectively, on deferred compensation plan assets and Bank Owned Life Insurance (“BOLI”) assets. In the second half of 2008 and through the first quarter of 2009, United’s BOLI assets were held in money market funds that yielded nominal earnings on the cash surrender value due to a dispute with the carrier that was settled early in the second quarter of 2009.</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Operating expenses before non-recurring items for the three months ended March 31, 2010, totaled $54.8 million, up $3.0 million, or 6%, from the first quarter of 2009, primarily due to higher foreclosed property expenses. Non-recurring charges for the first quarter of 2009 included $70 million for goodwill impairment and $2.9 million in severance costs. Including those non-recurring charges, operating expenses for the first quarter of 2009 were $125 million.</w:t>
      </w:r>
    </w:p>
    <w:p>
      <w:pPr>
        <w:spacing w:after="0" w:line="13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Salaries and employee benefits expense for the first quarter of 2010 totaled $24.4 million, down $3.0 million, or 11%, from the same period of 2009. The decrease is directly related to the reduction in force at the end of the first quarter of 2009. Headcount, excluding Brintech employees totaled 1,814 at March 31, 2009, down from 1,956 at December 31, 2008 reflecting the reduction in force initiated at the end of the first quarter. This reduction in workforce was partially offset by the addition of 39 employees resulting from the second quarter 2009 acquisition of SCB.</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Communications and equipment expense of $3.3 million for the first quarter of 2010 was down $373,000, or 10%, from the first quarter of 2009 mostly due to a reduction in depreciation and maintenance charges.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 presents the components of operating expenses for the three months ended March 31, 2010 and 2009. The table is presented to reflect Brintech as a discontinued operation, and accordingly, operating expenses associated with Brintech have been excluded from the table below for all periods presented.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6"/>
              </w:rPr>
              <w:t>Three Months Ended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3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3,273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3,646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1,044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3,281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2,682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3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 excluding non-recurring items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51,788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70,000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2,898</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124,686</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Professional fees for the first quarter of 2010 of $1.9 million were down $1.3 million, or 41%, from the same period in 2009. During the first quarter of 2009, United was engaged in a project to improve operational efficiency and reduce operating expenses. Consulting services related to that project were performed by Brintech, a wholly-owned subsidiary at the time. Since the table above is presented with Brintech as a discontinued operation, the fees charged by Brintech for those services are no longer eliminated in the Consolidated Statement of Income and are therefore reflected in the balance of professional fees for the first quarter of 2009. The consulting fees relating to the efficiency project in the first quarter of 2009 account for approximately $1 million of the decrease in professional fees. The remainder of the decrease is due to lower legal fees.</w:t>
      </w:r>
    </w:p>
    <w:p>
      <w:pPr>
        <w:spacing w:after="0" w:line="127"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Foreclosed property expense of $10.8 million for the first quarter of 2010 was up $6.5 million from the first quarter of 2009. Foreclosed property expenses have remained elevated throughout the weak economic cycle. This expense category includes legal fees, property taxes, marketing costs, utility services, maintenance and repair charges as well as realized losses and write downs associated with foreclosed properties. Realized losses and write-downs were $8.1 million for the three months ended March 31, 2010, compared to $1.8 million for the same period of 2009.</w:t>
      </w:r>
    </w:p>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FDIC assessments and other regulatory charges totaled $3.6 million for the first three months of 2010, an increase of $944,000 million, or 35%, from the first quarter of 2009, reflecting an increase in FDIC insurance premiums.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Income tax benefit for the first quarter 2010 was $22.9 million, compared to an income tax benefit of $17.0 million for the first quarter of 2009, representing an effective tax rate of 39.9% and 14.1%, respectively. The effective tax rates were different from the statutory tax rates primarily due to interest revenue on certain investment securities and loans that are exempt from income taxes, tax exempt fee revenue, tax credits received on affordable housing investments, goodwill impairment charges and the change in valuation allowance on deferred tax assets as discussed below.</w:t>
      </w:r>
    </w:p>
    <w:p>
      <w:pPr>
        <w:spacing w:after="0" w:line="16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effective tax rate for the first quarter of 2009 reflects the tax treatment of the $70 million goodwill impairment charges. Since the majority of United’s goodwill originated from acquisitions that were treated as tax-free exchanges, no goodwill was recognized for tax reporting purposes and therefore no tax deduction is allowed for the impairment charge. Likewise, no tax benefit is recognized in the financial statements relating to the goodwill impairment charges. The first quarter of 2009 effective tax rate also reflects a valuation allowance established for deferred tax assets. In the first quarter of 2009, management determined that it was more likely than not that approximately $2.3 million, net of Federal benefit, in prior year state low income housing tax credits would expire unused due to their very short three year carry forward period. Absent the goodwill impairment charges and the valuation allowance on deferred tax assets, United’s effective tax rate for the first quarter of 2009 would have been approximately 38%. There were no unusual tax items in the first quarter of 2010 and the effective tax rate of 40% is the expected effective tax rate for the remainder of the year.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 xml:space="preserve">At March 31, 2010, United had net deferred tax assets of $94.5 million, including a valuation allowance of $3.9 million related to state tax credits that are expected to expire unused.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March 31, 2010, United’s management believes that it is more likely than not that, with the exception of those state tax credits that are expected to expire unused due to relatively short carryforward periods of three to five years, it will be able to realize its deferred tax benefits through its ability to carry losses forward to future profitable years. Despite recent losses and the challenging economic environment, United has a history of strong earnings, is well-capitalized, and has cautiously optimistic expectations regarding future taxable income. The deferred tax assets are analyzed quarterly for changes affecting realizability, and there can be no guarantee that a valuation allowance will not be necessary in future periods.</w:t>
      </w:r>
    </w:p>
    <w:p>
      <w:pPr>
        <w:spacing w:after="0" w:line="14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Additional information regarding income taxes can be found in Note 14 to the consolidated financial statements filed with United’s 2009 Form 10-K.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Total assets at March 31, 2010 and 2009 were $7.84 billion and $8.17 billion, respectively. Average total assets for the first quarter of 2010 were $7.95 billion, down $426 million, or 5%, from $8.37 billion in the first quarter of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1,765,204</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1,779,398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1,778,691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357,188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362,566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376,682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380,331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390,520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387,344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2,502,723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2,532,484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2,542,717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960,372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1,050,065</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1,430,319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1,390,270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1,427,198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1,503,893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138,680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155,776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4,992,045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5,151,476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5,632,705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40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Atlanta MSA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1,404,247</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1,435,223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1,660,177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372,064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389,766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421,420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North Georgia</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1,813,774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1,883,880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2,013,458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755,674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771,709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808,127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Coastal Georgia</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388,245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405,689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460,122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258,041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265,209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269,401</w:t>
            </w:r>
          </w:p>
        </w:tc>
        <w:tc>
          <w:tcPr>
            <w:tcW w:w="0" w:type="dxa"/>
            <w:vAlign w:val="bottom"/>
          </w:tcPr>
          <w:p>
            <w:pPr>
              <w:spacing w:after="0"/>
              <w:rPr>
                <w:sz w:val="1"/>
                <w:szCs w:val="1"/>
                <w:color w:val="auto"/>
              </w:rPr>
            </w:pPr>
          </w:p>
        </w:tc>
      </w:tr>
      <w:tr>
        <w:trPr>
          <w:trHeight w:val="223"/>
        </w:trPr>
        <w:tc>
          <w:tcPr>
            <w:tcW w:w="540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4,992,045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5,151,476</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5,632,705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and Tennessee. At March 31, 2010, total loans, excluding loans acquired from SCB that are covered by loss sharing agreements with the FDIC, were $4.99 billion, a decrease of $641 million, or 11%, from March 31, 2009. The rate of loan growth began to decline in the first quarter of 2007 and the balances have continued to decline through 2008, 2009 and into 2010. The decrease in the loan portfolio began with deterioration in the residential construction and housing markets. This deterioration resulted in part in an oversupply of lot inventory, houses and land within United’s markets, which further slowed construction activities and acquisition and development projects. To date, the decline in the housing market has been most severe in the Atlanta, Georgia MSA although there has been migration of deterioration into United’s other markets. The resulting recession that began in the housing market led to high rates of unemployment that resulted in stress in other segments of United’s loan portfolio.</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6"/>
          <w:szCs w:val="16"/>
          <w:i w:val="1"/>
          <w:iCs w:val="1"/>
          <w:color w:val="auto"/>
        </w:rPr>
        <w:t>Loan Review and Non-performing Assets</w:t>
      </w:r>
      <w:r>
        <w:rPr>
          <w:rFonts w:ascii="Arial" w:cs="Arial" w:eastAsia="Arial" w:hAnsi="Arial"/>
          <w:sz w:val="16"/>
          <w:szCs w:val="16"/>
          <w:color w:val="auto"/>
        </w:rPr>
        <w:t xml:space="preserve"> in United’s Annual Report on Form 10-K.</w:t>
      </w:r>
    </w:p>
    <w:p>
      <w:pPr>
        <w:spacing w:after="0" w:line="11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United classifies performing loans as substandard loans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rPr>
              <w:t>March 31,</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June 30,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2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 by RE)</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151,573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93,454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69,657</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65,211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75,304</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51,696</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50,888</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36,316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31,733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35,474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33,976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34,491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14,931</w:t>
            </w:r>
          </w:p>
        </w:tc>
      </w:tr>
      <w:tr>
        <w:trPr>
          <w:trHeight w:val="223"/>
        </w:trPr>
        <w:tc>
          <w:tcPr>
            <w:tcW w:w="29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262,351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209,410</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178,833</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117,787</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111,875</w:t>
            </w:r>
          </w:p>
        </w:tc>
        <w:tc>
          <w:tcPr>
            <w:tcW w:w="80" w:type="dxa"/>
            <w:vAlign w:val="bottom"/>
          </w:tcPr>
          <w:p>
            <w:pPr>
              <w:spacing w:after="0"/>
              <w:rPr>
                <w:sz w:val="19"/>
                <w:szCs w:val="19"/>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153,799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196,909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207,711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148,094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138,353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80,812</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79,579</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83,504</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71,959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62,374</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3,222</w:t>
            </w:r>
          </w:p>
        </w:tc>
      </w:tr>
      <w:tr>
        <w:trPr>
          <w:trHeight w:val="223"/>
        </w:trPr>
        <w:tc>
          <w:tcPr>
            <w:tcW w:w="2940" w:type="dxa"/>
            <w:vAlign w:val="bottom"/>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489,452</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473,247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341,306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315,824</w:t>
            </w:r>
          </w:p>
        </w:tc>
        <w:tc>
          <w:tcPr>
            <w:tcW w:w="8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At March 31, 2010, performing substandard loans totaled $501 million and increased $11.4 million from the prior quarter-end, and $185 million from a year ago. Residential construction loans, particularly in Atlanta, have represented the largest proportion of both performing substandard and nonperforming loans. However, the balance of performing substandard residential construction loans has been declining since the third quarter of 2009 as problems in that portfolio segment are being resolved. The increase in substandard residential mortgages is primarily related to rising unemployment rates. The increase in substandard commercial loans reflects the recessionary economic environment.</w:t>
      </w:r>
    </w:p>
    <w:p>
      <w:pPr>
        <w:spacing w:after="0" w:line="138"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United classifies loans as non-accrual substandard loans (or “non-performing loans”) when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27"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Reviews of substandard performing and non-performing loans, past due loans and larger credits, are conducted on a regular basis with management during the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and to ensure the independence of the loan review process.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months ended March 31, 2010 and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155,602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122,271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65,000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2,936</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4,554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44,190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37,967</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4,640</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3,111</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r>
      <w:tr>
        <w:trPr>
          <w:trHeight w:val="230"/>
        </w:trPr>
        <w:tc>
          <w:tcPr>
            <w:tcW w:w="686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59,660</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44,131</w:t>
            </w:r>
          </w:p>
        </w:tc>
        <w:tc>
          <w:tcPr>
            <w:tcW w:w="16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r>
      <w:tr>
        <w:trPr>
          <w:trHeight w:val="230"/>
        </w:trPr>
        <w:tc>
          <w:tcPr>
            <w:tcW w:w="686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0"/>
                <w:szCs w:val="20"/>
                <w:color w:val="auto"/>
              </w:rPr>
            </w:pP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43,281</w:t>
            </w:r>
          </w:p>
        </w:tc>
      </w:tr>
      <w:tr>
        <w:trPr>
          <w:trHeight w:val="20"/>
        </w:trPr>
        <w:tc>
          <w:tcPr>
            <w:tcW w:w="6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686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173,934</w:t>
            </w:r>
          </w:p>
        </w:tc>
        <w:tc>
          <w:tcPr>
            <w:tcW w:w="44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143,990</w:t>
            </w: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At period-end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4,992,045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5,632,705</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5,091,474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5,675,054</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Allowance as a percentage of non-performing loans **</w:t>
            </w:r>
          </w:p>
        </w:tc>
        <w:tc>
          <w:tcPr>
            <w:tcW w:w="16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bl>
    <w:p>
      <w:pPr>
        <w:spacing w:after="0" w:line="107"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77" w:lineRule="exact"/>
        <w:rPr>
          <w:sz w:val="20"/>
          <w:szCs w:val="20"/>
          <w:color w:val="auto"/>
        </w:rPr>
      </w:pPr>
    </w:p>
    <w:p>
      <w:pPr>
        <w:jc w:val="both"/>
        <w:ind w:left="680" w:right="559" w:hanging="348"/>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impaired loans with no allocated reserve, the coverage ratio was 142% and 117% at March 31, 2010 and 2009, respectively. Excluding loans with no allocated reserve and those loans subsequently sold to affiliates of Fletcher International, Inc. under the asset sale agreement announced April 1, 2010, the pro forma coverage ratio was 196% at March 31, 2010.</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increases in the provision and the allowance for loan losses compared to a year ago were due to increasing trends in substandard loans, deterioration in the collateral values leading to an expectation of higher charge-offs upon default, further weakening of the residential construction and housing markets, and the recessionary economic environment.</w:t>
      </w:r>
    </w:p>
    <w:p>
      <w:pPr>
        <w:spacing w:after="0" w:line="126"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Management believes that the allowance for loan losses at March 31, 2010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in United’s Annual Report on Form 10-K for additional information on the allowance for loan losses.</w:t>
      </w:r>
    </w:p>
    <w:p>
      <w:pPr>
        <w:sectPr>
          <w:pgSz w:w="11900" w:h="16838" w:orient="portrait"/>
          <w:cols w:equalWidth="0" w:num="1">
            <w:col w:w="10219"/>
          </w:cols>
          <w:pgMar w:left="240" w:top="419" w:right="1440" w:bottom="663"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63"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9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table below summarizes non-performing assets, excluding assets covered by the loss-sharing agreement with the FDIC. These assets have been excluded from non-performing assets as the loss-sharing agreement with the FDIC and purchase price adjustments to reflect credit losses effectively eliminate the likelihood of recognizing any losses on the covered assets.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6"/>
              </w:rPr>
              <w:t>March 31,</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280,802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264,092</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259,155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280,802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264,092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259,155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136,275</w:t>
            </w: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120,770</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75,383</w:t>
            </w:r>
          </w:p>
        </w:tc>
      </w:tr>
      <w:tr>
        <w:trPr>
          <w:trHeight w:val="223"/>
        </w:trPr>
        <w:tc>
          <w:tcPr>
            <w:tcW w:w="5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417,077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384,862</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334,538</w:t>
            </w: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40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r>
    </w:tbl>
    <w:p>
      <w:pPr>
        <w:spacing w:after="0" w:line="147"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Excluded from the table above at March 31, 2010 and December 31, 2009 were $70.7 million and $60.4 million in loans with terms that have been modified in a troubled debt restructuring (“TDR”). At March 31, 2010, $6.1 million of the TDRs were not performing in accordance with their modified terms and were included in non-accrual loans. The remaining TDRs with an aggregate balance of $64.6 million at March 31, 2010 were performing according to their modified terms and are therefore not considered non-performing assets. At December 31, 2009, $7.0 million of the TDRs were not performing in accordance with their modified terms and were included in non-accrual loans. The remaining TDRs of $53.4 million at December 31, 2009 were performing in accordance with their modified terms and are therefore not considered to be non-performing assets. There were no TDRs reported as of March 31, 2009.</w:t>
      </w:r>
    </w:p>
    <w:p>
      <w:pPr>
        <w:spacing w:after="0" w:line="16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At March 31, 2010, non-performing loans, which include non-accrual loans and accruing loans past due over 90 days, totaled $281 million, compared to $264 million at December 31, 2009 and $259 million at March 31, 2009. The ratio of non-performing loans to total loans increased substantially from December 31, 2009 and March 31, 2009 reflecting continued deterioration in United’s residential construction and development portfolio primarily in the Atlanta, Georgia MSA and deterioration in other loan types and markets. Non-performing assets, which include non-performing loans and foreclosed real estate, totaled $417 million at March 31, 2010, compared to $385 million at December 31, 2009 and $335 million at March 31, 2009. United’s position throughout the recession has been to actively and aggressively work to dispose of problem assets quickly.</w:t>
      </w:r>
    </w:p>
    <w:p>
      <w:pPr>
        <w:spacing w:after="0" w:line="12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11 —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2010</w:t>
            </w:r>
            <w:r>
              <w:rPr>
                <w:rFonts w:ascii="Arial" w:cs="Arial" w:eastAsia="Arial" w:hAnsi="Arial"/>
                <w:sz w:val="12"/>
                <w:szCs w:val="12"/>
                <w:color w:val="auto"/>
              </w:rPr>
              <w:t>(1)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2009</w:t>
            </w:r>
            <w:r>
              <w:rPr>
                <w:rFonts w:ascii="Arial" w:cs="Arial" w:eastAsia="Arial" w:hAnsi="Arial"/>
                <w:sz w:val="12"/>
                <w:szCs w:val="12"/>
                <w:color w:val="auto"/>
              </w:rPr>
              <w:t>(1)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March 31, 2009</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6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0"/>
                <w:szCs w:val="10"/>
                <w:color w:val="auto"/>
              </w:rPr>
            </w:pPr>
          </w:p>
        </w:tc>
        <w:tc>
          <w:tcPr>
            <w:tcW w:w="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Nonaccrual</w:t>
            </w:r>
          </w:p>
        </w:tc>
        <w:tc>
          <w:tcPr>
            <w:tcW w:w="24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Loans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NPAs</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NPAs</w:t>
            </w: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Loans</w:t>
            </w:r>
          </w:p>
        </w:tc>
        <w:tc>
          <w:tcPr>
            <w:tcW w:w="2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BY CATEGORY</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line="130" w:lineRule="exact"/>
              <w:rPr>
                <w:sz w:val="20"/>
                <w:szCs w:val="20"/>
                <w:color w:val="auto"/>
              </w:rPr>
            </w:pPr>
            <w:r>
              <w:rPr>
                <w:rFonts w:ascii="Arial" w:cs="Arial" w:eastAsia="Arial" w:hAnsi="Arial"/>
                <w:sz w:val="14"/>
                <w:szCs w:val="14"/>
                <w:color w:val="auto"/>
              </w:rPr>
              <w:t>Commercial (sec. by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200"/>
              <w:spacing w:after="0"/>
              <w:rPr>
                <w:sz w:val="20"/>
                <w:szCs w:val="20"/>
                <w:color w:val="auto"/>
              </w:rPr>
            </w:pPr>
            <w:r>
              <w:rPr>
                <w:rFonts w:ascii="Arial" w:cs="Arial" w:eastAsia="Arial" w:hAnsi="Arial"/>
                <w:sz w:val="14"/>
                <w:szCs w:val="14"/>
                <w:color w:val="auto"/>
              </w:rPr>
              <w:t>RE)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45,918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21,597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67,515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37,040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15,842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52,882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18,188</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3,811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21,999</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23,556</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14,285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37,841</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19,976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9,761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29,737</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2,948</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9,397</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3,610</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3,610</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3,946</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3,946</w:t>
            </w: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12,066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12,066</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73,084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35,882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108,966</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60,962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25,603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86,565</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36,703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6,759</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43,462</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147,326</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74,220</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221,546</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142,332</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76,519</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218,851</w:t>
            </w: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187,656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58,327</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245,983</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57,920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26,173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84,093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58,767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77,415</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33,148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10,297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43,445</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Consumer / installment</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2,472</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2,472</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280,802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136,275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417,077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264,092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120,770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384,862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259,155</w:t>
            </w:r>
          </w:p>
        </w:tc>
        <w:tc>
          <w:tcPr>
            <w:tcW w:w="4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75,383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334,538</w:t>
            </w: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BY MARKET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81,914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36,951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118,865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106,536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41,125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147,661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131,020</w:t>
            </w:r>
          </w:p>
        </w:tc>
        <w:tc>
          <w:tcPr>
            <w:tcW w:w="4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48,574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179,594</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17,058</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3,192</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20,250</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5,074</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2,614</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7,688</w:t>
            </w: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17,448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694</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18,142</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109,280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63,128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172,408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87,598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53,072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140,670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66,875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20,811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87,686</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Western North Carolina</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31,353</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8,588</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39,941</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29,610</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5,096</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34,706</w:t>
            </w: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21,240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3,067</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24,307</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33,438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21,871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55,309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26,871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17,150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44,021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16,985</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East Tennessee</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7,759</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2,545</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10,304</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8,403</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1,713</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10,116</w:t>
            </w: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951</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7,824</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280,802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136,275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417,077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264,092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120,770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384,862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259,155</w:t>
            </w:r>
          </w:p>
        </w:tc>
        <w:tc>
          <w:tcPr>
            <w:tcW w:w="4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75,383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334,538</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ectPr>
          <w:pgSz w:w="11900" w:h="16838" w:orient="portrait"/>
          <w:cols w:equalWidth="0" w:num="1">
            <w:col w:w="10219"/>
          </w:cols>
          <w:pgMar w:left="240" w:top="419" w:right="1440" w:bottom="609"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09"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Non-performing assets in the residential construction category were $222 million at March 31, 2010, compared to $246 million at March 31, 2009, a decrease of $24 million, or 10%. While residential construction non-performing assets have begun to decrease, other categories of non-performing assets have experienced significant increases, with commercial non-performing assets of $109 million at March 31, 2010, up $66 million over the prior year, and residential non-performing assets of $84 million, up $41 million from March 31, 2009. As described previously, the majority of the non-performing assets had been concentrated in the Atlanta, Georgia MSA, however, Atlanta non-performing assets have been declining, down $61 million from March 31, 2009. At the same time, credit problems have migrated beyond Atlanta and are having a greater impact on United’s other markets. United’s north Georgia and coastal Georgia markets have seen significant increases. Non-performing assets in the north Georgia market at March 31, 2010 were $172 million, compared to $87.7 million at the end of the first quarter of 2009. United’s coastal Georgia market’s non-performing assets were up $38 million from March 31, 2009.</w:t>
      </w:r>
    </w:p>
    <w:p>
      <w:pPr>
        <w:spacing w:after="0" w:line="14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At March 31, 2010, December 31, 2009 and March 31, 2009 there were $215 million, $198 million and $201 million, respectively, of loans classified as impaired. Included in impaired loans at March 31, 2010, December 31, 2009 and March 31, 2009, were $159 million, $182 million, and $136 million, respectively, that did not require specific reserves or had previously been charged down to net realizable value. The remaining balance of impaired loans at March 31, 2010, December 31, 2009, and March 31, 2009, of $56.5 million, $16.1 million and $64.7 million, respectively, had specific reserves that totaled $6.8 million, $3.0 million, and $22.6 million, respectively. The average recorded investment in impaired loans for the quarters ended March 31, 2010 and 2009 totaled $211 million and $206 million, respectively. There was no interest revenue recognized on loans while they were impaired for the first three months of 2010 or 2009.</w:t>
      </w:r>
    </w:p>
    <w:p>
      <w:pPr>
        <w:spacing w:after="0" w:line="13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the loss sharing agreement with the FDIC, related to the acquisition of SCB, are not included in this table.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First Quarter 2010</w:t>
            </w: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Fourth Quarter 2009</w:t>
            </w: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7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First Quarter 2009</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1500" w:type="dxa"/>
            <w:vAlign w:val="bottom"/>
          </w:tcPr>
          <w:p>
            <w:pPr>
              <w:spacing w:after="0"/>
              <w:rPr>
                <w:sz w:val="10"/>
                <w:szCs w:val="10"/>
                <w:color w:val="auto"/>
              </w:rPr>
            </w:pPr>
          </w:p>
        </w:tc>
        <w:tc>
          <w:tcPr>
            <w:tcW w:w="9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560" w:type="dxa"/>
            <w:vAlign w:val="bottom"/>
            <w:tcBorders>
              <w:top w:val="single" w:sz="8" w:color="auto"/>
            </w:tcBorders>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560" w:type="dxa"/>
            <w:vAlign w:val="bottom"/>
            <w:tcBorders>
              <w:top w:val="single" w:sz="8" w:color="auto"/>
            </w:tcBorders>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r>
      <w:tr>
        <w:trPr>
          <w:trHeight w:val="17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Loans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Loans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NPAs</w:t>
            </w: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Loans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NPAs</w:t>
            </w:r>
          </w:p>
        </w:tc>
      </w:tr>
      <w:tr>
        <w:trPr>
          <w:trHeight w:val="142"/>
        </w:trPr>
        <w:tc>
          <w:tcPr>
            <w:tcW w:w="1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Beginning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264,092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120,770</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$384,862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304,381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110,610</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$414,991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190,723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59,768</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$250,491</w:t>
            </w: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Loans placed on non-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00" w:type="dxa"/>
            <w:vAlign w:val="bottom"/>
          </w:tcPr>
          <w:p>
            <w:pPr>
              <w:ind w:left="200"/>
              <w:spacing w:after="0"/>
              <w:rPr>
                <w:sz w:val="20"/>
                <w:szCs w:val="20"/>
                <w:color w:val="auto"/>
              </w:rPr>
            </w:pPr>
            <w:r>
              <w:rPr>
                <w:rFonts w:ascii="Arial" w:cs="Arial" w:eastAsia="Arial" w:hAnsi="Arial"/>
                <w:sz w:val="14"/>
                <w:szCs w:val="14"/>
                <w:color w:val="auto"/>
              </w:rPr>
              <w:t>accrual</w:t>
            </w: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139,030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139,030</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174,898</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174,898</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175,759</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175,759</w:t>
            </w: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received</w:t>
            </w: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(5,733)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(26,935)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(26,935)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(24,778)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(24,778)</w:t>
            </w: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Loan charge-offs</w:t>
            </w:r>
          </w:p>
        </w:tc>
        <w:tc>
          <w:tcPr>
            <w:tcW w:w="1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(58,897)</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(58,897)</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(88,427)</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(88,427)</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(43,807)</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(43,807)</w:t>
            </w: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Foreclosures</w:t>
            </w: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49,233</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(79,983)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79,983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(38,742)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38,742</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Capitalized costs</w:t>
            </w:r>
          </w:p>
        </w:tc>
        <w:tc>
          <w:tcPr>
            <w:tcW w:w="12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320</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320</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981</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981</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1,452</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1,452</w:t>
            </w: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 property sales</w:t>
            </w: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(8,457)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(25,951)</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(34,408)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(19,842)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(61,228)</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(81,070)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(22,999)</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(22,999)</w:t>
            </w: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Write downs</w:t>
            </w:r>
          </w:p>
        </w:tc>
        <w:tc>
          <w:tcPr>
            <w:tcW w:w="12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(4,579)</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(4,579)</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(2,209)</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(2,209)</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(2,151)</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(2,151)</w:t>
            </w: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gains (losses) on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w:t>
            </w: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(3,518)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(3,518)</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(7,367)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(7,367)</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571</w:t>
            </w:r>
          </w:p>
        </w:tc>
      </w:tr>
      <w:tr>
        <w:trPr>
          <w:trHeight w:val="156"/>
        </w:trPr>
        <w:tc>
          <w:tcPr>
            <w:tcW w:w="15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Ending Balance</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280,802</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136,275</w:t>
            </w:r>
          </w:p>
        </w:tc>
        <w:tc>
          <w:tcPr>
            <w:tcW w:w="2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417,077</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264,092</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120,770</w:t>
            </w:r>
          </w:p>
        </w:tc>
        <w:tc>
          <w:tcPr>
            <w:tcW w:w="2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384,862</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259,155</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75,383</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334,538</w:t>
            </w:r>
          </w:p>
        </w:tc>
        <w:tc>
          <w:tcPr>
            <w:tcW w:w="8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 xml:space="preserve">Foreclosed property is initially recorded at fair value, less costs to sell. If the fair value, less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OREO are accounted for in accordance with Accounting Standards Codification, Topic 360, Subtopic 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first quarters of 2010 and 2009, United transferred $49.2 million and $38.7 million, respectively, of loans into foreclosed property. During the same periods, proceeds from sales of foreclosed properties were $26.0 million and $23.0 million, which includes $4.3 million and $2.2 million of sales that were financed by United,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5"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available for sale at March 31, 2010 decreased $192 million from March 31, 2009. At March 31, 2010, December 31, 2009 and March 31, 2009, the securities portfolio represented approximately 19%, 19% and 21% of total assets,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 United performed its annual goodwill impairment assessment as of December 31, 2009. United engaged the services of a national third party valuation expert who employed commonly used valuation techniques including an earnings approach that considered discounted future expected cash earnings and two market approaches. The annual goodwill impairment test performed as of December 31, 2009, did not result in the recognition of any goodwill impairment.</w:t>
      </w:r>
    </w:p>
    <w:p>
      <w:pPr>
        <w:spacing w:after="0" w:line="14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Conditions in the first quarter of 2010 did not lead management to believe that further impairment existed at the time. During the first quarter of 2009, United’s stock price fell from $13.58 at December 31, 2008 to a low of $2.28 in the first quarter and ended the first quarter of 2009 at $4.16. Management believed this fall in stock price reflected uncertainty about the economic cycle. Additionally, the stock prices of the peer group used as part of the valuation analysis in the December 31, 2008 goodwill impairment assessment experienced similar declines. The ongoing economic recession has resulted in lower earnings with higher credit costs and those costs have been reflected in the income statement as well as valuation adjustments to the loan balances through increases to the level of the allowance for loan losses. With the stock price trading at a significant discount to book value and tangible book value, in addition to these other factors, management believed that goodwill should be re-assessed for impairment in the first quarter of 2009. As a result of this assessment, United recognized a goodwill impairment charge to earnings in the amount of $70 million during the first quarter of 2009.</w:t>
      </w:r>
    </w:p>
    <w:p>
      <w:pPr>
        <w:spacing w:after="0" w:line="151"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United will perform its annual goodwill impairment assessment in the fourth quarter of 2010 and will perform interim testing if conditions indicate that further impairment may be present. Events and conditions that could lead to further goodwill impairment include, among other things, changes in the long-term risk free interest rate or any of the risk premium assumptions used to compile the discount rate for the discounted cash flows valuation method used in Step 1, changes in stock price valuations for United or the selected peer group of banks used to determine United’s value under the guideline public companies method or further deterioration in United’s financial performance or outlook for future financial performance.</w:t>
      </w:r>
    </w:p>
    <w:p>
      <w:pPr>
        <w:spacing w:after="0" w:line="12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Total deposits as of March 31, 2010 were $6.49 billion, a decrease of $129 million, or 2%, from March 31, 2009. Total non-interest-bearing demand deposit accounts of $741 million increased $75.3 million, or 11%, and NOW, money market and savings accounts of $2.26 billion increased $299 million, or 15%. The increase was primarily in money market deposits as customers sought higher yields without the time commitment of certificates of deposit.</w:t>
      </w:r>
    </w:p>
    <w:p>
      <w:pPr>
        <w:spacing w:after="0" w:line="14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Total time deposits, excluding brokered deposits, as of March 31, 2010 were $2.78 billion, down $487 million from March 31, 2009. Time deposits less than $100,000 totaled $1.64 billion, a decrease of $269 million, or 14%, from a year ago. Time deposits $100,000 or greater totaled $1.13 billion as of March 31, 2010, a decrease of $218 million, or 16%, from March 31, 2009. During the second quarter of 2008, United made a decision to actively pursue time deposits by offering a 15-month certificate of deposit at an attractive rate, in order to increase liquidity. The program was successful in adding over $400 million of customer deposits. Most of those certificates of deposit matured in the third quarter of 2009 and United did not offer a special rate upon their maturity. Approximately half of the certificates of deposit that were part of the 15-month special renewed at standard rates in effect at the time of renewal. The other half left the bank, accounting for a large part of the decline in the balance of certificates of deposit from a year ago. United lowered its rates on non-special certificates during 2009, allowing balances to decline as United’s funding needs have declined due to weak loan demand. Brokered deposits as of March 31, 2010 were $711 million, compared to $727 million at March 31,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$114 million and $260 million as of March 31, 2010 and 2009, respectively. United anticipates continued use of this short- and long-term source of funds. FHLB advances outstanding at March 31, 2010 had fixed interest rates to 4.49%. Additional information regarding FHLB advances, is provided in Note 10 to the consolidated financial statements included in United’s 2009 Form 10-K.</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At March 31, 2010, United had $102 million in Federal funds purchased, repurchase agreements, and other short-term borrowings outstanding, compared to $159 million outstanding at March 31, 2009. United takes advantage of these additional sources of liquidity when rates are favorable compared to other forms of short-term borrowings, such as FHLB advances and brokered deposits.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3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The ALCO meets periodically and has responsibility for approving asset/liability management policies, formulating and implementing strategies to improve balance sheet positioning and/or earnings, and reviewing United’s interest rate sensitivity.</w:t>
      </w:r>
    </w:p>
    <w:p>
      <w:pPr>
        <w:spacing w:after="0" w:line="148"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twelve-month time frame, longer time horizons are also modeled.</w:t>
      </w:r>
    </w:p>
    <w:p>
      <w:pPr>
        <w:spacing w:after="0" w:line="156"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March 31, 2010 made use of the down 200 basis point scenario problematic. At March 31, 2010, United’s simulation model indicated that a 200 basis point increase in rates would cause an approximate .65% increase in net interest revenue over the next twelve months and a 25 basis point decrease in would cause an approximate .77% increase in net interest revenue over the next twelve months. At March 31, 2009, United’s simulation model indicated that a 200 basis point increase in rates would cause an approximate 3.2% decrease in net interest revenue over the next twelve months and a 25 basis point decrease in rates would cause an approximate .8% increase in net interest revenue over the next twelve months.</w:t>
      </w:r>
    </w:p>
    <w:p>
      <w:pPr>
        <w:spacing w:after="0" w:line="137"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order to manage its interest rate sensitivity, United uses off-balance sheet contracts that are considered derivative financial instruments. Derivative financial instruments can be a cost-effective and capital-effective means of modifying the repricing characteristics of on-balance sheet assets and liabilities. These contracts consist of interest rate swaps under which United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interest rate derivative contracts outstanding.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Derivative Financial Instruments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 of March 31, 2010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Notional</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Received /</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Floor Rate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Rate Paid</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15"/>
                <w:szCs w:val="15"/>
                <w:color w:val="auto"/>
                <w:w w:val="96"/>
              </w:rPr>
              <w:t>(4)</w:t>
            </w:r>
          </w:p>
        </w:tc>
      </w:tr>
      <w:tr>
        <w:trPr>
          <w:trHeight w:val="210"/>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27, 2010</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w:t>
            </w: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September 22, 2010</w:t>
            </w: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4.25</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4.25</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1,342</w:t>
            </w:r>
          </w:p>
        </w:tc>
      </w:tr>
      <w:tr>
        <w:trPr>
          <w:trHeight w:val="230"/>
        </w:trPr>
        <w:tc>
          <w:tcPr>
            <w:tcW w:w="3980" w:type="dxa"/>
            <w:vAlign w:val="bottom"/>
          </w:tcPr>
          <w:p>
            <w:pPr>
              <w:ind w:left="600"/>
              <w:spacing w:after="0"/>
              <w:rPr>
                <w:sz w:val="20"/>
                <w:szCs w:val="20"/>
                <w:color w:val="auto"/>
              </w:rPr>
            </w:pPr>
            <w:r>
              <w:rPr>
                <w:rFonts w:ascii="Arial" w:cs="Arial" w:eastAsia="Arial" w:hAnsi="Arial"/>
                <w:sz w:val="18"/>
                <w:szCs w:val="18"/>
                <w:color w:val="auto"/>
              </w:rPr>
              <w:t>Total Fair Value Hedges</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79"/>
              </w:rPr>
              <w:t>4.26</w:t>
            </w:r>
          </w:p>
        </w:tc>
        <w:tc>
          <w:tcPr>
            <w:tcW w:w="44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5"/>
              </w:rPr>
              <w:t>1.36</w:t>
            </w:r>
          </w:p>
        </w:tc>
        <w:tc>
          <w:tcPr>
            <w:tcW w:w="4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Hedges: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b w:val="1"/>
                <w:bCs w:val="1"/>
                <w:color w:val="auto"/>
              </w:rPr>
              <w:t>Prime Swaps (Prime Loans)</w:t>
            </w: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22, 2013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6.88</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w:t>
            </w: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July 25,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6.91</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1,791</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Cash Flow Hedges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6.90</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3,548</w:t>
            </w:r>
          </w:p>
        </w:tc>
      </w:tr>
      <w:tr>
        <w:trPr>
          <w:trHeight w:val="223"/>
        </w:trPr>
        <w:tc>
          <w:tcPr>
            <w:tcW w:w="3980" w:type="dxa"/>
            <w:vAlign w:val="bottom"/>
          </w:tcPr>
          <w:p>
            <w:pPr>
              <w:ind w:left="400"/>
              <w:spacing w:after="0"/>
              <w:rPr>
                <w:sz w:val="20"/>
                <w:szCs w:val="20"/>
                <w:color w:val="auto"/>
              </w:rPr>
            </w:pPr>
            <w:r>
              <w:rPr>
                <w:rFonts w:ascii="Arial" w:cs="Arial" w:eastAsia="Arial" w:hAnsi="Arial"/>
                <w:sz w:val="18"/>
                <w:szCs w:val="18"/>
                <w:b w:val="1"/>
                <w:bCs w:val="1"/>
                <w:color w:val="auto"/>
              </w:rPr>
              <w:t>Total Derivative Contracts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Paid equals Prime rate as of March 31, 2010</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185"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March 31, 2010, United had interest rate swap contracts in which United receives a fixed rate and pays a floating rate based on the prime interest rate with a total notional amount of $50 million that were designated as cash flow hedges of prime-based loans. At March 31, 2010, United had receive fixed, pay LIBOR swap contracts with a total notional amount of $195 million that were accounted for as fair value hedges of brokered deposits.</w:t>
      </w:r>
    </w:p>
    <w:p>
      <w:pPr>
        <w:spacing w:after="0" w:line="152"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at the time of termination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March 31, 2010, United had $27.5 million in gains from terminated derivative positions included in Other Comprehensive Income that will be amortized into earnings over their remaining original contract terms.</w:t>
      </w:r>
    </w:p>
    <w:p>
      <w:pPr>
        <w:spacing w:after="0" w:line="17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ectPr>
          <w:pgSz w:w="11900" w:h="16838" w:orient="portrait"/>
          <w:cols w:equalWidth="0" w:num="1">
            <w:col w:w="10219"/>
          </w:cols>
          <w:pgMar w:left="240" w:top="419" w:right="1440" w:bottom="1108"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8"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2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asset portion of the balance sheet provides liquidity primarily through loan sales and repayments and the maturities and sales of securities, as well as the ability to use these as collateral for borrowings on a secured basis. We also maintain excess funds in short-term interest-bearing assets that provide additional liquidity. Mortgage loans held for sale totaled $22.0 million at March 31, 2010, and typically turn over every 45 days as the closed loans are sold to investors in the secondary market.</w:t>
      </w:r>
    </w:p>
    <w:p>
      <w:pPr>
        <w:spacing w:after="0" w:line="114"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1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is limited by applicable law.</w:t>
      </w:r>
    </w:p>
    <w:p>
      <w:pPr>
        <w:spacing w:after="0" w:line="143"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March 31, 2010, United had sufficient qualifying collateral to increase FHLB advances by $791 million and Federal Reserve discount window capacity of $328 million. United’s internal policy limits brokered deposits to 25% of total assets. At March 31, 2010, United had the capacity to increase brokered deposits by $1.2 billion and still remain within this limit. In addition to these wholesale sources, United has the ability to attract retail deposits at any time by competing more aggressively on pricing.</w:t>
      </w:r>
    </w:p>
    <w:p>
      <w:pPr>
        <w:spacing w:after="0" w:line="114"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As disclosed in United’s consolidated statement of cash flows, net cash provided by operating activities was $43.5 million for the three months ended March 31, 2010. The net loss of $33.3 million for the three-month period included non-cash expenses for provision for loan losses of $75 million. Net cash provided by investing activities of $108 million consisted primarily of cash received from sales, maturities and calls of securities of $241 million that was partially reinvested in the securities portfolio through $219 million in securities purchases, a net decrease in loans of $65.9 million and net proceeds from the sale of other real estate of $21.7 million. Net cash used by financing activities of $140 million consisted primarily of a net decrease of $139 million in deposits. In the opinion of management, United’s liquidity position at March 31, 2010, is sufficient to meet its expected cash flow requirements.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20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Shareholders’ equity at March 31, 2010 was $926 million, a decrease of $36.4 million from December 31, 2009.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decreased $34.1 million from December 31, 2009. United paid $2.3 million in dividends on Series A and Series B preferred stock in the first three months of 2010. United recognizes that cash dividends are an important component of shareholder value, and therefore, intends to provide for cash dividends when earnings, capital levels and other factors permit.</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2010 and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4"/>
              </w:rPr>
              <w:t>2010</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9"/>
              </w:rPr>
              <w:t>2009</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Avg Daily</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Avg Daily</w:t>
            </w:r>
          </w:p>
        </w:tc>
        <w:tc>
          <w:tcPr>
            <w:tcW w:w="80" w:type="dxa"/>
            <w:vAlign w:val="bottom"/>
          </w:tcPr>
          <w:p>
            <w:pPr>
              <w:spacing w:after="0"/>
              <w:rPr>
                <w:sz w:val="16"/>
                <w:szCs w:val="16"/>
                <w:color w:val="auto"/>
              </w:rPr>
            </w:pPr>
          </w:p>
        </w:tc>
      </w:tr>
      <w:tr>
        <w:trPr>
          <w:trHeight w:val="234"/>
        </w:trPr>
        <w:tc>
          <w:tcPr>
            <w:tcW w:w="200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High</w:t>
            </w:r>
          </w:p>
        </w:tc>
        <w:tc>
          <w:tcPr>
            <w:tcW w:w="34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Low</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Close</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34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Close</w:t>
            </w:r>
          </w:p>
        </w:tc>
        <w:tc>
          <w:tcPr>
            <w:tcW w:w="3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80" w:type="dxa"/>
            <w:vAlign w:val="bottom"/>
          </w:tcPr>
          <w:p>
            <w:pPr>
              <w:spacing w:after="0"/>
              <w:rPr>
                <w:sz w:val="20"/>
                <w:szCs w:val="20"/>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  5.00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3.21</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4.41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882,923</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$ 13.87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  2.28</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4.16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524,492</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9.30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5.99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244,037</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525,369</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3.39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1,041,113</w:t>
            </w:r>
          </w:p>
        </w:tc>
      </w:tr>
    </w:tbl>
    <w:p>
      <w:pPr>
        <w:spacing w:after="0" w:line="14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the quarterly cash and stock dividends declared in 2010 and 2009 and the respective cash dividend payout ratios as a percentage of basic operating earnings per share.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15 — Dividend Payout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Cash</w:t>
            </w: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Stock</w:t>
            </w: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Payout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Cash</w:t>
            </w: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Stock</w:t>
            </w:r>
          </w:p>
        </w:tc>
        <w:tc>
          <w:tcPr>
            <w:tcW w:w="7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Payout</w:t>
            </w:r>
          </w:p>
        </w:tc>
        <w:tc>
          <w:tcPr>
            <w:tcW w:w="16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Dividend</w:t>
            </w: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Dividend</w:t>
            </w: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Ratio</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Dividend</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Dividend</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Ratio</w:t>
            </w:r>
          </w:p>
        </w:tc>
      </w:tr>
      <w:tr>
        <w:trPr>
          <w:trHeight w:val="210"/>
        </w:trPr>
        <w:tc>
          <w:tcPr>
            <w:tcW w:w="2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dividends are presented as the dollar amount declared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dividends are presented as the number of new shares issued for shares already owned.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payout ratio is presented for cash dividends only.</w:t>
      </w:r>
    </w:p>
    <w:p>
      <w:pPr>
        <w:spacing w:after="0" w:line="19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24"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1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United’s capital ratios, as calculated under regulatory guidelines, at March 31, 2010 and 2009.</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16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340" w:type="dxa"/>
            <w:vAlign w:val="bottom"/>
            <w:gridSpan w:val="4"/>
          </w:tcPr>
          <w:p>
            <w:pPr>
              <w:ind w:left="560"/>
              <w:spacing w:after="0"/>
              <w:rPr>
                <w:sz w:val="20"/>
                <w:szCs w:val="20"/>
                <w:color w:val="auto"/>
              </w:rPr>
            </w:pPr>
            <w:r>
              <w:rPr>
                <w:rFonts w:ascii="Arial" w:cs="Arial" w:eastAsia="Arial" w:hAnsi="Arial"/>
                <w:sz w:val="18"/>
                <w:szCs w:val="18"/>
                <w:b w:val="1"/>
                <w:bCs w:val="1"/>
                <w:color w:val="auto"/>
              </w:rPr>
              <w:t>Regulatory</w:t>
            </w:r>
          </w:p>
        </w:tc>
        <w:tc>
          <w:tcPr>
            <w:tcW w:w="27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United Community Banks, Inc.</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2340" w:type="dxa"/>
            <w:vAlign w:val="bottom"/>
            <w:gridSpan w:val="4"/>
          </w:tcPr>
          <w:p>
            <w:pPr>
              <w:ind w:left="580"/>
              <w:spacing w:after="0"/>
              <w:rPr>
                <w:sz w:val="20"/>
                <w:szCs w:val="20"/>
                <w:color w:val="auto"/>
              </w:rPr>
            </w:pPr>
            <w:r>
              <w:rPr>
                <w:rFonts w:ascii="Arial" w:cs="Arial" w:eastAsia="Arial" w:hAnsi="Arial"/>
                <w:sz w:val="18"/>
                <w:szCs w:val="18"/>
                <w:b w:val="1"/>
                <w:bCs w:val="1"/>
                <w:color w:val="auto"/>
              </w:rPr>
              <w:t>Guidelines</w:t>
            </w:r>
          </w:p>
        </w:tc>
        <w:tc>
          <w:tcPr>
            <w:tcW w:w="27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(Consolidated)</w:t>
            </w:r>
          </w:p>
        </w:tc>
        <w:tc>
          <w:tcPr>
            <w:tcW w:w="21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United Community Bank</w:t>
            </w:r>
          </w:p>
        </w:tc>
      </w:tr>
      <w:tr>
        <w:trPr>
          <w:trHeight w:val="210"/>
        </w:trPr>
        <w:tc>
          <w:tcPr>
            <w:tcW w:w="20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Well</w:t>
            </w:r>
          </w:p>
        </w:tc>
        <w:tc>
          <w:tcPr>
            <w:tcW w:w="340" w:type="dxa"/>
            <w:vAlign w:val="bottom"/>
          </w:tcPr>
          <w:p>
            <w:pPr>
              <w:spacing w:after="0"/>
              <w:rPr>
                <w:sz w:val="18"/>
                <w:szCs w:val="18"/>
                <w:color w:val="auto"/>
              </w:rPr>
            </w:pPr>
          </w:p>
        </w:tc>
        <w:tc>
          <w:tcPr>
            <w:tcW w:w="24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As of March 31,</w:t>
            </w:r>
          </w:p>
        </w:tc>
        <w:tc>
          <w:tcPr>
            <w:tcW w:w="360" w:type="dxa"/>
            <w:vAlign w:val="bottom"/>
          </w:tcPr>
          <w:p>
            <w:pPr>
              <w:spacing w:after="0"/>
              <w:rPr>
                <w:sz w:val="18"/>
                <w:szCs w:val="18"/>
                <w:color w:val="auto"/>
              </w:rPr>
            </w:pPr>
          </w:p>
        </w:tc>
        <w:tc>
          <w:tcPr>
            <w:tcW w:w="19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As of March 31,</w:t>
            </w:r>
          </w:p>
        </w:tc>
        <w:tc>
          <w:tcPr>
            <w:tcW w:w="160" w:type="dxa"/>
            <w:vAlign w:val="bottom"/>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Minimum</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Capitalized</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8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88"/>
              </w:rPr>
              <w:t>Risk-based ratios: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80" w:type="dxa"/>
            <w:vAlign w:val="bottom"/>
          </w:tcPr>
          <w:p>
            <w:pPr>
              <w:jc w:val="center"/>
              <w:ind w:right="670"/>
              <w:spacing w:after="0"/>
              <w:rPr>
                <w:sz w:val="20"/>
                <w:szCs w:val="20"/>
                <w:color w:val="auto"/>
              </w:rPr>
            </w:pPr>
            <w:r>
              <w:rPr>
                <w:rFonts w:ascii="Arial" w:cs="Arial" w:eastAsia="Arial" w:hAnsi="Arial"/>
                <w:sz w:val="18"/>
                <w:szCs w:val="18"/>
                <w:color w:val="auto"/>
                <w:w w:val="93"/>
              </w:rPr>
              <w:t>Tier I capital</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11.72%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10.88%</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208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Total capital</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14.45</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13.58</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Leverage ratio</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8.15</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7.90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8.65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r>
      <w:tr>
        <w:trPr>
          <w:trHeight w:val="202"/>
        </w:trPr>
        <w:tc>
          <w:tcPr>
            <w:tcW w:w="2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8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3"/>
              </w:rPr>
              <w:t>Tier I capital</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622,287</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637,727</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$ 664,163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$ 660,233</w:t>
            </w:r>
          </w:p>
        </w:tc>
      </w:tr>
      <w:tr>
        <w:trPr>
          <w:trHeight w:val="230"/>
        </w:trPr>
        <w:tc>
          <w:tcPr>
            <w:tcW w:w="2080" w:type="dxa"/>
            <w:vAlign w:val="bottom"/>
          </w:tcPr>
          <w:p>
            <w:pPr>
              <w:jc w:val="center"/>
              <w:ind w:right="710"/>
              <w:spacing w:after="0"/>
              <w:rPr>
                <w:sz w:val="20"/>
                <w:szCs w:val="20"/>
                <w:color w:val="auto"/>
              </w:rPr>
            </w:pPr>
            <w:r>
              <w:rPr>
                <w:rFonts w:ascii="Arial" w:cs="Arial" w:eastAsia="Arial" w:hAnsi="Arial"/>
                <w:sz w:val="18"/>
                <w:szCs w:val="18"/>
                <w:color w:val="auto"/>
                <w:w w:val="90"/>
              </w:rPr>
              <w:t>Total capital</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767,099</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795,772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761,777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764,578</w:t>
            </w:r>
          </w:p>
        </w:tc>
      </w:tr>
    </w:tbl>
    <w:p>
      <w:pPr>
        <w:spacing w:after="0" w:line="14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46"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capital ratios of United and the Bank currently exceed the minimum ratios as defined by federal regulators. United monitors these ratios to ensure that United and the Bank remain above the regulatory well capitalized guidelines.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March 31, 2010 from that presented in the Annual Report on Form 10-K for the year ended December 31, 2009. The interest rate sensitivity position at March 31, 2010 is included in management’s discussion and analysis on page 39 of this report.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March 31, 2010.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Form 10-K for the year ended December 31, 2009.</w:t>
      </w:r>
    </w:p>
    <w:p>
      <w:pPr>
        <w:spacing w:after="0" w:line="126" w:lineRule="exact"/>
        <w:rPr>
          <w:sz w:val="20"/>
          <w:szCs w:val="20"/>
          <w:color w:val="auto"/>
        </w:rPr>
      </w:pPr>
    </w:p>
    <w:p>
      <w:pPr>
        <w:ind w:left="340" w:right="5260"/>
        <w:spacing w:after="0" w:line="461" w:lineRule="auto"/>
        <w:rPr>
          <w:sz w:val="20"/>
          <w:szCs w:val="20"/>
          <w:color w:val="auto"/>
        </w:rPr>
      </w:pPr>
      <w:r>
        <w:rPr>
          <w:rFonts w:ascii="Arial" w:cs="Arial" w:eastAsia="Arial" w:hAnsi="Arial"/>
          <w:sz w:val="18"/>
          <w:szCs w:val="18"/>
          <w:b w:val="1"/>
          <w:bCs w:val="1"/>
          <w:color w:val="auto"/>
        </w:rPr>
        <w:t>Item 2. Unregistered Sales of Equity Securities and Use of Proceeds — None Item 3. Defaults upon Senior Securities — None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(Removed and Reserved)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9960" w:type="dxa"/>
            <w:vAlign w:val="bottom"/>
          </w:tcPr>
          <w:p>
            <w:pPr>
              <w:ind w:left="360"/>
              <w:spacing w:after="0"/>
              <w:rPr>
                <w:sz w:val="20"/>
                <w:szCs w:val="20"/>
                <w:color w:val="auto"/>
              </w:rPr>
            </w:pPr>
            <w:r>
              <w:rPr>
                <w:rFonts w:ascii="Arial" w:cs="Arial" w:eastAsia="Arial" w:hAnsi="Arial"/>
                <w:sz w:val="18"/>
                <w:szCs w:val="18"/>
                <w:color w:val="auto"/>
              </w:rPr>
              <w:t>Restated Articles of Incorporation of United Community Banks, Inc., (incorporated herein by reference to</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Exhibit 3.1 to United Community Banks, Inc.’s Quarterly Report on Form 10-Q for the quarter ended</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June 30, 2001, File No. 0-21656, filed with the Commission on August 14, 2001).</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9960" w:type="dxa"/>
            <w:vAlign w:val="bottom"/>
          </w:tcPr>
          <w:p>
            <w:pPr>
              <w:ind w:left="360"/>
              <w:spacing w:after="0"/>
              <w:rPr>
                <w:sz w:val="20"/>
                <w:szCs w:val="20"/>
                <w:color w:val="auto"/>
              </w:rPr>
            </w:pPr>
            <w:r>
              <w:rPr>
                <w:rFonts w:ascii="Arial" w:cs="Arial" w:eastAsia="Arial" w:hAnsi="Arial"/>
                <w:sz w:val="18"/>
                <w:szCs w:val="18"/>
                <w:color w:val="auto"/>
              </w:rPr>
              <w:t>Amendment to the Restated Articles of Incorporation of United Community Banks, Inc. (incorporated herein</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by reference to Exhibit 3.3 to United Community Banks, Inc.’s Registration Statement on Form S-4, File</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No. 333-118893, filed with the Commission on September 9, 2004).</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3.3</w:t>
            </w:r>
          </w:p>
        </w:tc>
        <w:tc>
          <w:tcPr>
            <w:tcW w:w="9960" w:type="dxa"/>
            <w:vAlign w:val="bottom"/>
          </w:tcPr>
          <w:p>
            <w:pPr>
              <w:ind w:left="360"/>
              <w:spacing w:after="0"/>
              <w:rPr>
                <w:sz w:val="20"/>
                <w:szCs w:val="20"/>
                <w:color w:val="auto"/>
              </w:rPr>
            </w:pPr>
            <w:r>
              <w:rPr>
                <w:rFonts w:ascii="Arial" w:cs="Arial" w:eastAsia="Arial" w:hAnsi="Arial"/>
                <w:sz w:val="18"/>
                <w:szCs w:val="18"/>
                <w:color w:val="auto"/>
              </w:rPr>
              <w:t>Amended and Restated Bylaws of United Community Banks, Inc., dated September 12, 1997 (incorporated</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herein by reference to Exhibit 3.1 to United Community Banks, Inc.’s Annual Report on Form 10-K, for the</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year ended December 31, 1997, File No. 0-21656, filed with the Commission on March 27, 1998).</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9960" w:type="dxa"/>
            <w:vAlign w:val="bottom"/>
          </w:tcPr>
          <w:p>
            <w:pPr>
              <w:ind w:left="360"/>
              <w:spacing w:after="0"/>
              <w:rPr>
                <w:sz w:val="20"/>
                <w:szCs w:val="20"/>
                <w:color w:val="auto"/>
              </w:rPr>
            </w:pPr>
            <w:r>
              <w:rPr>
                <w:rFonts w:ascii="Arial" w:cs="Arial" w:eastAsia="Arial" w:hAnsi="Arial"/>
                <w:sz w:val="18"/>
                <w:szCs w:val="18"/>
                <w:color w:val="auto"/>
              </w:rPr>
              <w:t>See Exhibits 3.1, 3.2 and 3.3 for provisions of the Restated Articles of Incorporation, as amended, and</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9960" w:type="dxa"/>
            <w:vAlign w:val="bottom"/>
          </w:tcPr>
          <w:p>
            <w:pPr>
              <w:ind w:left="360"/>
              <w:spacing w:after="0"/>
              <w:rPr>
                <w:sz w:val="20"/>
                <w:szCs w:val="20"/>
                <w:color w:val="auto"/>
              </w:rPr>
            </w:pPr>
            <w:r>
              <w:rPr>
                <w:rFonts w:ascii="Arial" w:cs="Arial" w:eastAsia="Arial" w:hAnsi="Arial"/>
                <w:sz w:val="18"/>
                <w:szCs w:val="18"/>
                <w:color w:val="auto"/>
              </w:rPr>
              <w:t>Form of Warrant to be granted by United Community Banks, Inc. to Fletcher International, Ltd.</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(incorporated herein by reference to Exhibit 1.3 to United Community Banks, Inc.’s periodic report on Form</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8-K dated March 31, 2010, File No. 0-2156, filed with the Commission on April 1, 2010).</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9960" w:type="dxa"/>
            <w:vAlign w:val="bottom"/>
          </w:tcPr>
          <w:p>
            <w:pPr>
              <w:ind w:left="360"/>
              <w:spacing w:after="0"/>
              <w:rPr>
                <w:sz w:val="20"/>
                <w:szCs w:val="20"/>
                <w:color w:val="auto"/>
              </w:rPr>
            </w:pPr>
            <w:r>
              <w:rPr>
                <w:rFonts w:ascii="Arial" w:cs="Arial" w:eastAsia="Arial" w:hAnsi="Arial"/>
                <w:sz w:val="18"/>
                <w:szCs w:val="18"/>
                <w:color w:val="auto"/>
              </w:rPr>
              <w:t>Certificate of Designation of the Common Stock Equivalent Junior Preferred Stock, dated March 31, 2010.</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(incorporated herein by reference to Exhibit 4.1 to United Community Banks, Inc.’s periodic report on</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Form 8-K dated March 31, 2010, File No. 0-2156, filed with the Commission on April 1, 2010).</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9960" w:type="dxa"/>
            <w:vAlign w:val="bottom"/>
          </w:tcPr>
          <w:p>
            <w:pPr>
              <w:ind w:left="360"/>
              <w:spacing w:after="0"/>
              <w:rPr>
                <w:sz w:val="20"/>
                <w:szCs w:val="20"/>
                <w:color w:val="auto"/>
              </w:rPr>
            </w:pPr>
            <w:r>
              <w:rPr>
                <w:rFonts w:ascii="Arial" w:cs="Arial" w:eastAsia="Arial" w:hAnsi="Arial"/>
                <w:sz w:val="18"/>
                <w:szCs w:val="18"/>
                <w:color w:val="auto"/>
              </w:rPr>
              <w:t>Form of Certificate of Rights and Preferences to the Series C Convertible Preferred Stock. (incorporated</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herein by reference to Exhibit 4.2 to United Community Banks, Inc.’s periodic report on Form 8-K dated</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March 31, 2010, File No. 0-2156, filed with the Commission on April 1, 2010).</w:t>
            </w:r>
          </w:p>
        </w:tc>
      </w:tr>
      <w:tr>
        <w:trPr>
          <w:trHeight w:val="418"/>
        </w:trPr>
        <w:tc>
          <w:tcPr>
            <w:tcW w:w="146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9960" w:type="dxa"/>
            <w:vAlign w:val="bottom"/>
          </w:tcPr>
          <w:p>
            <w:pPr>
              <w:ind w:left="360"/>
              <w:spacing w:after="0"/>
              <w:rPr>
                <w:sz w:val="20"/>
                <w:szCs w:val="20"/>
                <w:color w:val="auto"/>
              </w:rPr>
            </w:pPr>
            <w:r>
              <w:rPr>
                <w:rFonts w:ascii="Arial" w:cs="Arial" w:eastAsia="Arial" w:hAnsi="Arial"/>
                <w:sz w:val="18"/>
                <w:szCs w:val="18"/>
                <w:color w:val="auto"/>
              </w:rPr>
              <w:t>Asset Purchase Agreement, dated April 1, 2010 by and among United Community Bank and Fletcher</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International, Inc., and certain affiliates thereof who may become parties thereto as purchasers (incorporated</w:t>
            </w:r>
          </w:p>
        </w:tc>
      </w:tr>
      <w:tr>
        <w:trPr>
          <w:trHeight w:val="216"/>
        </w:trPr>
        <w:tc>
          <w:tcPr>
            <w:tcW w:w="1460" w:type="dxa"/>
            <w:vAlign w:val="bottom"/>
          </w:tcPr>
          <w:p>
            <w:pPr>
              <w:spacing w:after="0"/>
              <w:rPr>
                <w:sz w:val="18"/>
                <w:szCs w:val="18"/>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herein by reference to Exhibit 1.1 to United Community Banks, Inc.’s periodic report on Form 8-K dated</w:t>
            </w:r>
          </w:p>
        </w:tc>
      </w:tr>
      <w:tr>
        <w:trPr>
          <w:trHeight w:val="230"/>
        </w:trPr>
        <w:tc>
          <w:tcPr>
            <w:tcW w:w="1460" w:type="dxa"/>
            <w:vAlign w:val="bottom"/>
          </w:tcPr>
          <w:p>
            <w:pPr>
              <w:spacing w:after="0"/>
              <w:rPr>
                <w:sz w:val="20"/>
                <w:szCs w:val="20"/>
                <w:color w:val="auto"/>
              </w:rPr>
            </w:pPr>
          </w:p>
        </w:tc>
        <w:tc>
          <w:tcPr>
            <w:tcW w:w="9960" w:type="dxa"/>
            <w:vAlign w:val="bottom"/>
          </w:tcPr>
          <w:p>
            <w:pPr>
              <w:ind w:left="360"/>
              <w:spacing w:after="0"/>
              <w:rPr>
                <w:sz w:val="20"/>
                <w:szCs w:val="20"/>
                <w:color w:val="auto"/>
              </w:rPr>
            </w:pPr>
            <w:r>
              <w:rPr>
                <w:rFonts w:ascii="Arial" w:cs="Arial" w:eastAsia="Arial" w:hAnsi="Arial"/>
                <w:sz w:val="18"/>
                <w:szCs w:val="18"/>
                <w:color w:val="auto"/>
              </w:rPr>
              <w:t>March 31, 2010, File No. 0-2156, filed with the Commission on April 1, 2010).</w:t>
            </w:r>
          </w:p>
        </w:tc>
      </w:tr>
      <w:tr>
        <w:trPr>
          <w:trHeight w:val="797"/>
        </w:trPr>
        <w:tc>
          <w:tcPr>
            <w:tcW w:w="1460" w:type="dxa"/>
            <w:vAlign w:val="bottom"/>
          </w:tcPr>
          <w:p>
            <w:pPr>
              <w:spacing w:after="0"/>
              <w:rPr>
                <w:sz w:val="24"/>
                <w:szCs w:val="24"/>
                <w:color w:val="auto"/>
              </w:rPr>
            </w:pPr>
          </w:p>
        </w:tc>
        <w:tc>
          <w:tcPr>
            <w:tcW w:w="9960" w:type="dxa"/>
            <w:vAlign w:val="bottom"/>
          </w:tcPr>
          <w:p>
            <w:pPr>
              <w:ind w:left="3440"/>
              <w:spacing w:after="0"/>
              <w:rPr>
                <w:sz w:val="20"/>
                <w:szCs w:val="20"/>
                <w:color w:val="auto"/>
              </w:rPr>
            </w:pPr>
            <w:r>
              <w:rPr>
                <w:rFonts w:ascii="Arial" w:cs="Arial" w:eastAsia="Arial" w:hAnsi="Arial"/>
                <w:sz w:val="18"/>
                <w:szCs w:val="18"/>
                <w:color w:val="auto"/>
              </w:rPr>
              <w:t>44</w:t>
            </w:r>
          </w:p>
        </w:tc>
      </w:tr>
      <w:tr>
        <w:trPr>
          <w:trHeight w:val="226"/>
        </w:trPr>
        <w:tc>
          <w:tcPr>
            <w:tcW w:w="1460" w:type="dxa"/>
            <w:vAlign w:val="bottom"/>
            <w:tcBorders>
              <w:bottom w:val="single" w:sz="8" w:color="808080"/>
            </w:tcBorders>
          </w:tcPr>
          <w:p>
            <w:pPr>
              <w:spacing w:after="0"/>
              <w:rPr>
                <w:sz w:val="19"/>
                <w:szCs w:val="19"/>
                <w:color w:val="auto"/>
              </w:rPr>
            </w:pPr>
          </w:p>
        </w:tc>
        <w:tc>
          <w:tcPr>
            <w:tcW w:w="9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 continued</w:t>
      </w:r>
    </w:p>
    <w:p>
      <w:pPr>
        <w:spacing w:after="0" w:line="229"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8160" w:type="dxa"/>
            <w:vAlign w:val="bottom"/>
          </w:tcPr>
          <w:p>
            <w:pPr>
              <w:ind w:left="360"/>
              <w:spacing w:after="0"/>
              <w:rPr>
                <w:sz w:val="20"/>
                <w:szCs w:val="20"/>
                <w:color w:val="auto"/>
              </w:rPr>
            </w:pPr>
            <w:r>
              <w:rPr>
                <w:rFonts w:ascii="Arial" w:cs="Arial" w:eastAsia="Arial" w:hAnsi="Arial"/>
                <w:sz w:val="18"/>
                <w:szCs w:val="18"/>
                <w:color w:val="auto"/>
                <w:w w:val="92"/>
              </w:rPr>
              <w:t>Securities Purchase Agreement, dated April 1, 2010 between United Community Banks, Inc. and Fletcher</w:t>
            </w:r>
          </w:p>
        </w:tc>
      </w:tr>
      <w:tr>
        <w:trPr>
          <w:trHeight w:val="216"/>
        </w:trPr>
        <w:tc>
          <w:tcPr>
            <w:tcW w:w="68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w w:val="97"/>
              </w:rPr>
              <w:t>International, Ltd. (incorporated herein by reference to Exhibit 1.2 to United Community Banks, Inc.’s</w:t>
            </w:r>
          </w:p>
        </w:tc>
      </w:tr>
      <w:tr>
        <w:trPr>
          <w:trHeight w:val="216"/>
        </w:trPr>
        <w:tc>
          <w:tcPr>
            <w:tcW w:w="68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w w:val="93"/>
              </w:rPr>
              <w:t>periodic report on Form 8-K dated March 31, 2010, File No. 0-2156, filed with the Commission on April 1,</w:t>
            </w:r>
          </w:p>
        </w:tc>
      </w:tr>
      <w:tr>
        <w:trPr>
          <w:trHeight w:val="230"/>
        </w:trPr>
        <w:tc>
          <w:tcPr>
            <w:tcW w:w="68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rPr>
              <w:t>2010).</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8160" w:type="dxa"/>
            <w:vAlign w:val="bottom"/>
          </w:tcPr>
          <w:p>
            <w:pPr>
              <w:ind w:left="360"/>
              <w:spacing w:after="0"/>
              <w:rPr>
                <w:sz w:val="20"/>
                <w:szCs w:val="20"/>
                <w:color w:val="auto"/>
              </w:rPr>
            </w:pPr>
            <w:r>
              <w:rPr>
                <w:rFonts w:ascii="Arial" w:cs="Arial" w:eastAsia="Arial" w:hAnsi="Arial"/>
                <w:sz w:val="18"/>
                <w:szCs w:val="18"/>
                <w:color w:val="auto"/>
                <w:w w:val="92"/>
              </w:rPr>
              <w:t>Certification by Jimmy C. Tallent, President and Chief Executive Officer of United Community Banks, Inc.,</w:t>
            </w:r>
          </w:p>
        </w:tc>
      </w:tr>
      <w:tr>
        <w:trPr>
          <w:trHeight w:val="230"/>
        </w:trPr>
        <w:tc>
          <w:tcPr>
            <w:tcW w:w="68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8160" w:type="dxa"/>
            <w:vAlign w:val="bottom"/>
          </w:tcPr>
          <w:p>
            <w:pPr>
              <w:ind w:left="360"/>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68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820" w:right="559" w:hanging="897"/>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 May 5, 2010</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19" w:right="1440" w:bottom="1440" w:gutter="0" w:footer="0" w:header="0"/>
        </w:sectPr>
      </w:pPr>
    </w:p>
    <w:bookmarkStart w:id="54" w:name="page55"/>
    <w:bookmarkEnd w:id="54"/>
    <w:p>
      <w:pPr>
        <w:ind w:left="8408"/>
        <w:spacing w:after="0"/>
        <w:rPr>
          <w:sz w:val="20"/>
          <w:szCs w:val="20"/>
          <w:color w:val="auto"/>
        </w:rPr>
      </w:pPr>
      <w:r>
        <w:rPr>
          <w:rFonts w:ascii="Arial" w:cs="Arial" w:eastAsia="Arial" w:hAnsi="Arial"/>
          <w:sz w:val="16"/>
          <w:szCs w:val="16"/>
          <w:b w:val="1"/>
          <w:bCs w:val="1"/>
          <w:color w:val="auto"/>
        </w:rPr>
        <w:t>Exhibit 31.1</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34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-130810</wp:posOffset>
            </wp:positionV>
            <wp:extent cx="2075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Date: May 5, 2010</w:t>
      </w:r>
    </w:p>
    <w:p>
      <w:pPr>
        <w:sectPr>
          <w:pgSz w:w="11900" w:h="16838" w:orient="portrait"/>
          <w:cols w:equalWidth="0" w:num="1">
            <w:col w:w="9887"/>
          </w:cols>
          <w:pgMar w:left="572" w:top="121" w:right="1440" w:bottom="1440" w:gutter="0" w:footer="0" w:header="0"/>
        </w:sectPr>
      </w:pPr>
    </w:p>
    <w:bookmarkStart w:id="55" w:name="page56"/>
    <w:bookmarkEnd w:id="55"/>
    <w:p>
      <w:pPr>
        <w:ind w:left="8408"/>
        <w:spacing w:after="0"/>
        <w:rPr>
          <w:sz w:val="20"/>
          <w:szCs w:val="20"/>
          <w:color w:val="auto"/>
        </w:rPr>
      </w:pPr>
      <w:r>
        <w:rPr>
          <w:rFonts w:ascii="Arial" w:cs="Arial" w:eastAsia="Arial" w:hAnsi="Arial"/>
          <w:sz w:val="16"/>
          <w:szCs w:val="16"/>
          <w:b w:val="1"/>
          <w:bCs w:val="1"/>
          <w:color w:val="auto"/>
        </w:rPr>
        <w:t>Exhibit 31.2</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92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288"/>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-130810</wp:posOffset>
            </wp:positionV>
            <wp:extent cx="24269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288"/>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28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Date: May 5, 2010</w:t>
      </w:r>
    </w:p>
    <w:p>
      <w:pPr>
        <w:sectPr>
          <w:pgSz w:w="11900" w:h="16838" w:orient="portrait"/>
          <w:cols w:equalWidth="0" w:num="1">
            <w:col w:w="9887"/>
          </w:cols>
          <w:pgMar w:left="572" w:top="121" w:right="1440" w:bottom="1440" w:gutter="0" w:footer="0" w:header="0"/>
        </w:sectPr>
      </w:pPr>
    </w:p>
    <w:bookmarkStart w:id="56" w:name="page57"/>
    <w:bookmarkEnd w:id="56"/>
    <w:p>
      <w:pPr>
        <w:jc w:val="right"/>
        <w:ind w:right="559"/>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of United Community Banks, Inc. (“United”) on Form 10-Q for the period ending March 31, 2010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14" w:lineRule="exact"/>
        <w:rPr>
          <w:sz w:val="20"/>
          <w:szCs w:val="20"/>
          <w:color w:val="auto"/>
        </w:rPr>
      </w:pPr>
    </w:p>
    <w:p>
      <w:pPr>
        <w:ind w:left="700" w:hanging="343"/>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-130810</wp:posOffset>
            </wp:positionV>
            <wp:extent cx="2075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-130810</wp:posOffset>
            </wp:positionV>
            <wp:extent cx="2075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Date: May 5, 2010</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3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2019-12-10T08:32:45Z</dcterms:created>
  <dcterms:modified xsi:type="dcterms:W3CDTF">2019-12-10T08:32:45Z</dcterms:modified>
</cp:coreProperties>
</file>